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C" w:rsidRDefault="009E7D3C" w:rsidP="009E7D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</w:t>
      </w:r>
      <w:r w:rsidRPr="009E7D3C">
        <w:rPr>
          <w:rFonts w:ascii="Times New Roman" w:hAnsi="Times New Roman" w:cs="Times New Roman"/>
          <w:b/>
          <w:sz w:val="24"/>
          <w:szCs w:val="24"/>
        </w:rPr>
        <w:t>aterial</w:t>
      </w:r>
    </w:p>
    <w:p w:rsidR="009E7D3C" w:rsidRDefault="009E7D3C" w:rsidP="009E7D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Tables and Figure</w:t>
      </w:r>
      <w:r w:rsidR="005F6C0A">
        <w:rPr>
          <w:rFonts w:ascii="Times New Roman" w:hAnsi="Times New Roman" w:cs="Times New Roman"/>
          <w:b/>
          <w:sz w:val="24"/>
          <w:szCs w:val="24"/>
        </w:rPr>
        <w:t>s</w:t>
      </w:r>
    </w:p>
    <w:p w:rsidR="009E7D3C" w:rsidRDefault="00D211A9" w:rsidP="009E7D3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="009E7D3C" w:rsidRPr="009E7D3C">
        <w:rPr>
          <w:rFonts w:ascii="Times New Roman" w:hAnsi="Times New Roman" w:cs="Times New Roman"/>
          <w:b/>
          <w:bCs/>
        </w:rPr>
        <w:t xml:space="preserve">1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136"/>
        <w:gridCol w:w="831"/>
        <w:gridCol w:w="1136"/>
        <w:gridCol w:w="833"/>
        <w:gridCol w:w="1040"/>
        <w:gridCol w:w="927"/>
        <w:gridCol w:w="967"/>
        <w:gridCol w:w="814"/>
      </w:tblGrid>
      <w:tr w:rsidR="00F62164" w:rsidRPr="00971BE9" w:rsidTr="008B40B9">
        <w:tc>
          <w:tcPr>
            <w:tcW w:w="9576" w:type="dxa"/>
            <w:gridSpan w:val="9"/>
          </w:tcPr>
          <w:p w:rsidR="00F746C1" w:rsidRPr="005C6D8A" w:rsidRDefault="005C6D8A" w:rsidP="005C6D8A">
            <w:pPr>
              <w:spacing w:after="200" w:line="276" w:lineRule="auto"/>
              <w:rPr>
                <w:rFonts w:ascii="Times New Roman" w:eastAsia="Batang" w:hAnsi="Times New Roman" w:cs="Times New Roman"/>
              </w:rPr>
            </w:pPr>
            <w:r w:rsidRPr="005C6D8A">
              <w:rPr>
                <w:rFonts w:ascii="Times New Roman" w:eastAsia="Batang" w:hAnsi="Times New Roman" w:cs="Times New Roman"/>
                <w:b/>
              </w:rPr>
              <w:t>Supplementary Table 1.</w:t>
            </w:r>
            <w:r w:rsidRPr="005C6D8A">
              <w:rPr>
                <w:rFonts w:ascii="Times New Roman" w:eastAsia="Batang" w:hAnsi="Times New Roman" w:cs="Times New Roman"/>
              </w:rPr>
              <w:t xml:space="preserve"> Comparison of an exponential equation and linear equation model for key-enzyme activities and photosynthesis rates.</w:t>
            </w:r>
          </w:p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Model</w:t>
            </w:r>
          </w:p>
        </w:tc>
      </w:tr>
      <w:tr w:rsidR="00F62164" w:rsidRPr="00971BE9" w:rsidTr="008B40B9">
        <w:tc>
          <w:tcPr>
            <w:tcW w:w="1892" w:type="dxa"/>
            <w:vMerge w:val="restart"/>
          </w:tcPr>
          <w:p w:rsidR="00F62164" w:rsidRDefault="00F62164" w:rsidP="008B4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F62164" w:rsidRDefault="00F62164" w:rsidP="008B4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164" w:rsidRPr="00AF65B4" w:rsidRDefault="00F62164" w:rsidP="008B4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14">
              <w:rPr>
                <w:rFonts w:ascii="Arial" w:hAnsi="Arial" w:cs="Arial"/>
                <w:sz w:val="20"/>
                <w:szCs w:val="20"/>
              </w:rPr>
              <w:t>Key-enzymes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2164" w:rsidRPr="00AF65B4" w:rsidRDefault="00F62164" w:rsidP="008B4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CB2776">
              <w:rPr>
                <w:rFonts w:ascii="Arial" w:hAnsi="Arial" w:cs="Arial"/>
                <w:b/>
                <w:sz w:val="20"/>
                <w:szCs w:val="20"/>
              </w:rPr>
              <w:t>xp. E</w:t>
            </w:r>
            <w:r w:rsidRPr="00AF65B4">
              <w:rPr>
                <w:rFonts w:ascii="Arial" w:hAnsi="Arial" w:cs="Arial"/>
                <w:b/>
                <w:sz w:val="20"/>
                <w:szCs w:val="20"/>
              </w:rPr>
              <w:t>q.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2164" w:rsidRPr="00AF65B4" w:rsidRDefault="00F62164" w:rsidP="008B4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B2776">
              <w:rPr>
                <w:rFonts w:ascii="Arial" w:hAnsi="Arial" w:cs="Arial"/>
                <w:b/>
                <w:sz w:val="20"/>
                <w:szCs w:val="20"/>
              </w:rPr>
              <w:t>inear E</w:t>
            </w:r>
            <w:r w:rsidRPr="00AF65B4">
              <w:rPr>
                <w:rFonts w:ascii="Arial" w:hAnsi="Arial" w:cs="Arial"/>
                <w:b/>
                <w:sz w:val="20"/>
                <w:szCs w:val="20"/>
              </w:rPr>
              <w:t>q.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2164" w:rsidRPr="00AF65B4" w:rsidRDefault="00F62164" w:rsidP="008B4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E</w:t>
            </w:r>
            <w:r w:rsidR="00CB2776">
              <w:rPr>
                <w:rFonts w:ascii="Arial" w:hAnsi="Arial" w:cs="Arial"/>
                <w:b/>
                <w:sz w:val="20"/>
                <w:szCs w:val="20"/>
              </w:rPr>
              <w:t>xp. E</w:t>
            </w:r>
            <w:r w:rsidRPr="00AF65B4">
              <w:rPr>
                <w:rFonts w:ascii="Arial" w:hAnsi="Arial" w:cs="Arial"/>
                <w:b/>
                <w:sz w:val="20"/>
                <w:szCs w:val="20"/>
              </w:rPr>
              <w:t>q.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2164" w:rsidRPr="00AF65B4" w:rsidRDefault="00F62164" w:rsidP="008B40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B2776">
              <w:rPr>
                <w:rFonts w:ascii="Arial" w:hAnsi="Arial" w:cs="Arial"/>
                <w:b/>
                <w:sz w:val="20"/>
                <w:szCs w:val="20"/>
              </w:rPr>
              <w:t>inear E</w:t>
            </w:r>
            <w:r w:rsidRPr="00AF65B4">
              <w:rPr>
                <w:rFonts w:ascii="Arial" w:hAnsi="Arial" w:cs="Arial"/>
                <w:b/>
                <w:sz w:val="20"/>
                <w:szCs w:val="20"/>
              </w:rPr>
              <w:t>q.</w:t>
            </w:r>
          </w:p>
        </w:tc>
      </w:tr>
      <w:tr w:rsidR="00F62164" w:rsidRPr="00971BE9" w:rsidTr="008B40B9">
        <w:tc>
          <w:tcPr>
            <w:tcW w:w="1892" w:type="dxa"/>
            <w:vMerge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245FA1" w:rsidRDefault="00F62164" w:rsidP="008B40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5FA1">
              <w:rPr>
                <w:rFonts w:ascii="Arial" w:hAnsi="Arial" w:cs="Arial"/>
                <w:i/>
                <w:sz w:val="20"/>
                <w:szCs w:val="20"/>
              </w:rPr>
              <w:t>AIC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R</w:t>
            </w:r>
            <w:r w:rsidRPr="00C434B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245FA1" w:rsidRDefault="00F62164" w:rsidP="008B40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5FA1">
              <w:rPr>
                <w:rFonts w:ascii="Arial" w:hAnsi="Arial" w:cs="Arial"/>
                <w:i/>
                <w:sz w:val="20"/>
                <w:szCs w:val="20"/>
              </w:rPr>
              <w:t>AIC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R</w:t>
            </w:r>
            <w:r w:rsidRPr="00C434B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245FA1" w:rsidRDefault="00F62164" w:rsidP="008B40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5FA1">
              <w:rPr>
                <w:rFonts w:ascii="Arial" w:hAnsi="Arial" w:cs="Arial"/>
                <w:i/>
                <w:sz w:val="20"/>
                <w:szCs w:val="20"/>
              </w:rPr>
              <w:t xml:space="preserve">      AIC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71BE9">
              <w:rPr>
                <w:rFonts w:ascii="Arial" w:hAnsi="Arial" w:cs="Arial"/>
                <w:sz w:val="20"/>
                <w:szCs w:val="20"/>
              </w:rPr>
              <w:t>R</w:t>
            </w:r>
            <w:r w:rsidRPr="00AF65B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245FA1" w:rsidRDefault="00F62164" w:rsidP="008B40B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5FA1">
              <w:rPr>
                <w:rFonts w:ascii="Arial" w:hAnsi="Arial" w:cs="Arial"/>
                <w:i/>
                <w:sz w:val="20"/>
                <w:szCs w:val="20"/>
              </w:rPr>
              <w:t>AIC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71BE9">
              <w:rPr>
                <w:rFonts w:ascii="Arial" w:hAnsi="Arial" w:cs="Arial"/>
                <w:sz w:val="20"/>
                <w:szCs w:val="20"/>
              </w:rPr>
              <w:t>R</w:t>
            </w:r>
            <w:r w:rsidRPr="00C434B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62164" w:rsidRPr="00971BE9" w:rsidTr="008B40B9"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2164" w:rsidRPr="00495A00" w:rsidRDefault="00495A00" w:rsidP="00560D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5A00">
              <w:rPr>
                <w:rFonts w:ascii="Arial" w:hAnsi="Arial" w:cs="Arial"/>
                <w:b/>
                <w:i/>
                <w:sz w:val="20"/>
                <w:szCs w:val="20"/>
              </w:rPr>
              <w:t>Triticum aestivum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2164" w:rsidRPr="00495A00" w:rsidRDefault="00495A00" w:rsidP="00560D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5A00">
              <w:rPr>
                <w:rFonts w:ascii="Arial" w:hAnsi="Arial" w:cs="Arial"/>
                <w:b/>
                <w:i/>
                <w:sz w:val="20"/>
                <w:szCs w:val="20"/>
              </w:rPr>
              <w:t>Oryza sativa</w:t>
            </w:r>
          </w:p>
        </w:tc>
      </w:tr>
      <w:tr w:rsidR="00F62164" w:rsidRPr="00971BE9" w:rsidTr="008B40B9">
        <w:tc>
          <w:tcPr>
            <w:tcW w:w="1892" w:type="dxa"/>
            <w:tcBorders>
              <w:top w:val="single" w:sz="4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NADP-G3PDH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134.94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.857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146.72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.816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 xml:space="preserve">    </w:t>
            </w: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27.66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.921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42.82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.932</w:t>
            </w:r>
          </w:p>
        </w:tc>
      </w:tr>
      <w:tr w:rsidR="00F62164" w:rsidRPr="00971BE9" w:rsidTr="008B40B9">
        <w:tc>
          <w:tcPr>
            <w:tcW w:w="1892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PGA Kinase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30.70</w:t>
            </w:r>
          </w:p>
        </w:tc>
        <w:tc>
          <w:tcPr>
            <w:tcW w:w="831" w:type="dxa"/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.981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49.83</w:t>
            </w:r>
          </w:p>
        </w:tc>
        <w:tc>
          <w:tcPr>
            <w:tcW w:w="833" w:type="dxa"/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.981</w:t>
            </w:r>
          </w:p>
        </w:tc>
        <w:tc>
          <w:tcPr>
            <w:tcW w:w="1040" w:type="dxa"/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 xml:space="preserve">    </w:t>
            </w: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20.77</w:t>
            </w:r>
          </w:p>
        </w:tc>
        <w:tc>
          <w:tcPr>
            <w:tcW w:w="927" w:type="dxa"/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.968</w:t>
            </w: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51.46</w:t>
            </w:r>
          </w:p>
        </w:tc>
        <w:tc>
          <w:tcPr>
            <w:tcW w:w="814" w:type="dxa"/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.929</w:t>
            </w:r>
          </w:p>
        </w:tc>
      </w:tr>
      <w:tr w:rsidR="00F62164" w:rsidRPr="00971BE9" w:rsidTr="008B40B9">
        <w:tc>
          <w:tcPr>
            <w:tcW w:w="1892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1BE9">
              <w:rPr>
                <w:rFonts w:ascii="Arial" w:hAnsi="Arial" w:cs="Arial"/>
                <w:sz w:val="20"/>
                <w:szCs w:val="20"/>
              </w:rPr>
              <w:t>cpFBPase</w:t>
            </w:r>
            <w:proofErr w:type="spellEnd"/>
          </w:p>
        </w:tc>
        <w:tc>
          <w:tcPr>
            <w:tcW w:w="1136" w:type="dxa"/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39.04</w:t>
            </w:r>
          </w:p>
        </w:tc>
        <w:tc>
          <w:tcPr>
            <w:tcW w:w="831" w:type="dxa"/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.984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80.31</w:t>
            </w:r>
          </w:p>
        </w:tc>
        <w:tc>
          <w:tcPr>
            <w:tcW w:w="833" w:type="dxa"/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.966</w:t>
            </w:r>
          </w:p>
        </w:tc>
        <w:tc>
          <w:tcPr>
            <w:tcW w:w="1040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 xml:space="preserve">     </w:t>
            </w: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23.36</w:t>
            </w:r>
          </w:p>
        </w:tc>
        <w:tc>
          <w:tcPr>
            <w:tcW w:w="927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.929</w:t>
            </w: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41.40</w:t>
            </w:r>
          </w:p>
        </w:tc>
        <w:tc>
          <w:tcPr>
            <w:tcW w:w="814" w:type="dxa"/>
          </w:tcPr>
          <w:p w:rsidR="00F62164" w:rsidRPr="00971BE9" w:rsidRDefault="008E1261" w:rsidP="008B40B9">
            <w:pPr>
              <w:tabs>
                <w:tab w:val="left" w:pos="240"/>
              </w:tabs>
              <w:spacing w:line="276" w:lineRule="auto"/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231F20"/>
                <w:sz w:val="20"/>
                <w:szCs w:val="20"/>
              </w:rPr>
              <w:t>0</w:t>
            </w:r>
            <w:r w:rsidR="00F62164" w:rsidRPr="00971BE9">
              <w:rPr>
                <w:rFonts w:ascii="Arial" w:eastAsia="SimSun" w:hAnsi="Arial" w:cs="Arial"/>
                <w:color w:val="231F20"/>
                <w:sz w:val="20"/>
                <w:szCs w:val="20"/>
              </w:rPr>
              <w:t>.922</w:t>
            </w:r>
          </w:p>
        </w:tc>
      </w:tr>
      <w:tr w:rsidR="00F62164" w:rsidRPr="00971BE9" w:rsidTr="008B40B9">
        <w:tc>
          <w:tcPr>
            <w:tcW w:w="1892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164" w:rsidRPr="00CD4471" w:rsidRDefault="00495A00" w:rsidP="00560DAF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Zea</w:t>
            </w:r>
            <w:r w:rsidR="00F62164" w:rsidRPr="00CD44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mays</w:t>
            </w:r>
          </w:p>
        </w:tc>
        <w:tc>
          <w:tcPr>
            <w:tcW w:w="831" w:type="dxa"/>
          </w:tcPr>
          <w:p w:rsidR="00F62164" w:rsidRPr="00560DAF" w:rsidRDefault="00F62164" w:rsidP="008B40B9">
            <w:pPr>
              <w:tabs>
                <w:tab w:val="left" w:pos="240"/>
              </w:tabs>
              <w:rPr>
                <w:rFonts w:ascii="Arial" w:eastAsia="SimSun" w:hAnsi="Arial" w:cs="Arial"/>
                <w:b/>
                <w:i/>
                <w:color w:val="231F20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164" w:rsidRPr="00971BE9" w:rsidRDefault="00F62164" w:rsidP="008B40B9">
            <w:pPr>
              <w:tabs>
                <w:tab w:val="left" w:pos="240"/>
              </w:tabs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33" w:type="dxa"/>
          </w:tcPr>
          <w:p w:rsidR="00F62164" w:rsidRPr="00971BE9" w:rsidRDefault="00F62164" w:rsidP="008B40B9">
            <w:pPr>
              <w:tabs>
                <w:tab w:val="left" w:pos="240"/>
              </w:tabs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F62164" w:rsidRDefault="00F62164" w:rsidP="008B40B9">
            <w:pPr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7" w:type="dxa"/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</w:tr>
      <w:tr w:rsidR="00F62164" w:rsidRPr="00971BE9" w:rsidTr="008B40B9">
        <w:tc>
          <w:tcPr>
            <w:tcW w:w="1892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NADP-ME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831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.828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142.67</w:t>
            </w:r>
          </w:p>
        </w:tc>
        <w:tc>
          <w:tcPr>
            <w:tcW w:w="833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1040" w:type="dxa"/>
          </w:tcPr>
          <w:p w:rsidR="00F62164" w:rsidRDefault="00F62164" w:rsidP="008B40B9">
            <w:pPr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7" w:type="dxa"/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</w:tr>
      <w:tr w:rsidR="00F62164" w:rsidRPr="00971BE9" w:rsidTr="008B40B9">
        <w:tc>
          <w:tcPr>
            <w:tcW w:w="1892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PCK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42.25</w:t>
            </w:r>
          </w:p>
        </w:tc>
        <w:tc>
          <w:tcPr>
            <w:tcW w:w="831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.839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144.57</w:t>
            </w:r>
          </w:p>
        </w:tc>
        <w:tc>
          <w:tcPr>
            <w:tcW w:w="833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.321</w:t>
            </w:r>
          </w:p>
        </w:tc>
        <w:tc>
          <w:tcPr>
            <w:tcW w:w="1040" w:type="dxa"/>
          </w:tcPr>
          <w:p w:rsidR="00F62164" w:rsidRDefault="00F62164" w:rsidP="008B40B9">
            <w:pPr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7" w:type="dxa"/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</w:tr>
      <w:tr w:rsidR="00F62164" w:rsidRPr="00971BE9" w:rsidTr="008B40B9">
        <w:tc>
          <w:tcPr>
            <w:tcW w:w="1892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Rubis</w:t>
            </w:r>
            <w:r w:rsidRPr="00971BE9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33.83</w:t>
            </w:r>
          </w:p>
        </w:tc>
        <w:tc>
          <w:tcPr>
            <w:tcW w:w="831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.851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146.31</w:t>
            </w:r>
          </w:p>
        </w:tc>
        <w:tc>
          <w:tcPr>
            <w:tcW w:w="833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.346</w:t>
            </w:r>
          </w:p>
        </w:tc>
        <w:tc>
          <w:tcPr>
            <w:tcW w:w="1040" w:type="dxa"/>
          </w:tcPr>
          <w:p w:rsidR="00F62164" w:rsidRDefault="00F62164" w:rsidP="008B40B9">
            <w:pPr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7" w:type="dxa"/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</w:tr>
      <w:tr w:rsidR="00F62164" w:rsidRPr="00971BE9" w:rsidTr="008B40B9">
        <w:tc>
          <w:tcPr>
            <w:tcW w:w="1892" w:type="dxa"/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164" w:rsidRPr="00CD4471" w:rsidRDefault="00495A00" w:rsidP="008B40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Sorghum</w:t>
            </w:r>
            <w:r w:rsidR="00F62164" w:rsidRPr="00CD44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bicolor</w:t>
            </w:r>
          </w:p>
        </w:tc>
        <w:tc>
          <w:tcPr>
            <w:tcW w:w="831" w:type="dxa"/>
          </w:tcPr>
          <w:p w:rsidR="00F62164" w:rsidRPr="00971BE9" w:rsidRDefault="00F62164" w:rsidP="008B40B9">
            <w:pPr>
              <w:tabs>
                <w:tab w:val="left" w:pos="240"/>
              </w:tabs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164" w:rsidRPr="00971BE9" w:rsidRDefault="00F62164" w:rsidP="008B40B9">
            <w:pPr>
              <w:tabs>
                <w:tab w:val="left" w:pos="240"/>
              </w:tabs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33" w:type="dxa"/>
          </w:tcPr>
          <w:p w:rsidR="00F62164" w:rsidRPr="00971BE9" w:rsidRDefault="00F62164" w:rsidP="008B40B9">
            <w:pPr>
              <w:tabs>
                <w:tab w:val="left" w:pos="240"/>
              </w:tabs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040" w:type="dxa"/>
          </w:tcPr>
          <w:p w:rsidR="00F62164" w:rsidRDefault="00F62164" w:rsidP="008B40B9">
            <w:pPr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7" w:type="dxa"/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</w:tr>
      <w:tr w:rsidR="00F62164" w:rsidRPr="00971BE9" w:rsidTr="008B40B9">
        <w:tc>
          <w:tcPr>
            <w:tcW w:w="1892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1BE9">
              <w:rPr>
                <w:rFonts w:ascii="Arial" w:hAnsi="Arial" w:cs="Arial"/>
                <w:sz w:val="20"/>
                <w:szCs w:val="20"/>
              </w:rPr>
              <w:t>Rubisco</w:t>
            </w:r>
            <w:proofErr w:type="spellEnd"/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42.63</w:t>
            </w:r>
          </w:p>
        </w:tc>
        <w:tc>
          <w:tcPr>
            <w:tcW w:w="831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.87</w:t>
            </w:r>
          </w:p>
        </w:tc>
        <w:tc>
          <w:tcPr>
            <w:tcW w:w="1136" w:type="dxa"/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78.97</w:t>
            </w:r>
          </w:p>
        </w:tc>
        <w:tc>
          <w:tcPr>
            <w:tcW w:w="833" w:type="dxa"/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.597</w:t>
            </w:r>
          </w:p>
        </w:tc>
        <w:tc>
          <w:tcPr>
            <w:tcW w:w="1040" w:type="dxa"/>
          </w:tcPr>
          <w:p w:rsidR="00F62164" w:rsidRDefault="00F62164" w:rsidP="008B40B9">
            <w:pPr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7" w:type="dxa"/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dxa"/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</w:tr>
      <w:tr w:rsidR="00F62164" w:rsidRPr="00971BE9" w:rsidTr="008B40B9">
        <w:tc>
          <w:tcPr>
            <w:tcW w:w="1892" w:type="dxa"/>
            <w:tcBorders>
              <w:bottom w:val="single" w:sz="12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PEPC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27.84</w:t>
            </w:r>
          </w:p>
        </w:tc>
        <w:tc>
          <w:tcPr>
            <w:tcW w:w="831" w:type="dxa"/>
            <w:tcBorders>
              <w:bottom w:val="single" w:sz="12" w:space="0" w:color="auto"/>
            </w:tcBorders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.953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F62164" w:rsidRPr="00971BE9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  <w:r w:rsidRPr="00971BE9">
              <w:rPr>
                <w:rFonts w:ascii="Arial" w:hAnsi="Arial" w:cs="Arial"/>
                <w:sz w:val="20"/>
                <w:szCs w:val="20"/>
              </w:rPr>
              <w:t>74.02</w:t>
            </w: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F62164" w:rsidRPr="00971BE9" w:rsidRDefault="008E1261" w:rsidP="008B4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62164" w:rsidRPr="00971BE9">
              <w:rPr>
                <w:rFonts w:ascii="Arial" w:hAnsi="Arial" w:cs="Arial"/>
                <w:sz w:val="20"/>
                <w:szCs w:val="20"/>
              </w:rPr>
              <w:t>.79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F62164" w:rsidRDefault="00F62164" w:rsidP="008B40B9">
            <w:pPr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F62164" w:rsidRDefault="00F62164" w:rsidP="008B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F62164" w:rsidRPr="00971BE9" w:rsidRDefault="00F62164" w:rsidP="008B40B9">
            <w:pPr>
              <w:tabs>
                <w:tab w:val="left" w:pos="240"/>
              </w:tabs>
              <w:jc w:val="center"/>
              <w:rPr>
                <w:rFonts w:ascii="Arial" w:eastAsia="SimSun" w:hAnsi="Arial" w:cs="Arial"/>
                <w:color w:val="231F20"/>
                <w:sz w:val="20"/>
                <w:szCs w:val="20"/>
              </w:rPr>
            </w:pPr>
          </w:p>
        </w:tc>
      </w:tr>
      <w:tr w:rsidR="00F62164" w:rsidRPr="00971BE9" w:rsidTr="008B40B9">
        <w:trPr>
          <w:trHeight w:val="931"/>
        </w:trPr>
        <w:tc>
          <w:tcPr>
            <w:tcW w:w="9576" w:type="dxa"/>
            <w:gridSpan w:val="9"/>
            <w:tcBorders>
              <w:top w:val="single" w:sz="12" w:space="0" w:color="auto"/>
            </w:tcBorders>
          </w:tcPr>
          <w:p w:rsidR="00F62164" w:rsidRDefault="00F62164" w:rsidP="008B40B9">
            <w:pPr>
              <w:tabs>
                <w:tab w:val="left" w:pos="2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2164" w:rsidRPr="00E34ADD" w:rsidRDefault="00F62164" w:rsidP="00E01435">
            <w:pPr>
              <w:tabs>
                <w:tab w:val="left" w:pos="24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  <w:b/>
              </w:rPr>
              <w:t>Note:</w:t>
            </w:r>
            <w:r w:rsidRPr="00E34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231F20"/>
              </w:rPr>
              <w:t>Akaike’</w:t>
            </w:r>
            <w:r w:rsidRPr="00E34ADD">
              <w:rPr>
                <w:rFonts w:ascii="Times New Roman" w:eastAsia="SimSun" w:hAnsi="Times New Roman" w:cs="Times New Roman"/>
                <w:color w:val="231F20"/>
              </w:rPr>
              <w:t>s information criterion (</w:t>
            </w:r>
            <w:r w:rsidRPr="00E34ADD">
              <w:rPr>
                <w:rFonts w:ascii="Times New Roman" w:hAnsi="Times New Roman" w:cs="Times New Roman"/>
                <w:i/>
              </w:rPr>
              <w:t>AIC</w:t>
            </w:r>
            <w:r w:rsidRPr="00E34ADD">
              <w:rPr>
                <w:rFonts w:ascii="Times New Roman" w:hAnsi="Times New Roman" w:cs="Times New Roman"/>
              </w:rPr>
              <w:t>) and best R</w:t>
            </w:r>
            <w:r w:rsidRPr="00E34ADD">
              <w:rPr>
                <w:rFonts w:ascii="Times New Roman" w:hAnsi="Times New Roman" w:cs="Times New Roman"/>
                <w:vertAlign w:val="superscript"/>
              </w:rPr>
              <w:t>2</w:t>
            </w:r>
            <w:r w:rsidR="00E01435">
              <w:rPr>
                <w:rFonts w:ascii="Times New Roman" w:hAnsi="Times New Roman" w:cs="Times New Roman"/>
              </w:rPr>
              <w:t xml:space="preserve"> were used.</w:t>
            </w:r>
          </w:p>
        </w:tc>
      </w:tr>
    </w:tbl>
    <w:p w:rsidR="009E7D3C" w:rsidRPr="009E7D3C" w:rsidRDefault="009E7D3C" w:rsidP="009E7D3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E7D3C" w:rsidRPr="009E7D3C" w:rsidRDefault="009E7D3C" w:rsidP="009E7D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7D3C" w:rsidRDefault="009E7D3C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3C" w:rsidRDefault="009E7D3C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3C" w:rsidRDefault="009E7D3C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D22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E7D3C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</w:rPr>
        <w:t>Figure</w:t>
      </w:r>
      <w:r w:rsidR="00D211A9">
        <w:rPr>
          <w:rFonts w:ascii="Times New Roman" w:hAnsi="Times New Roman" w:cs="Times New Roman"/>
          <w:b/>
          <w:bCs/>
        </w:rPr>
        <w:t xml:space="preserve"> </w:t>
      </w:r>
      <w:r w:rsidRPr="009E7D3C">
        <w:rPr>
          <w:rFonts w:ascii="Times New Roman" w:hAnsi="Times New Roman" w:cs="Times New Roman"/>
          <w:b/>
          <w:bCs/>
        </w:rPr>
        <w:t xml:space="preserve">1 </w:t>
      </w:r>
    </w:p>
    <w:p w:rsidR="005C6D8A" w:rsidRDefault="005C6D8A" w:rsidP="005C6D8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114675" cy="2447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8A" w:rsidRDefault="005C6D8A" w:rsidP="005C6D8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C6D8A" w:rsidRPr="009E580E" w:rsidRDefault="005C6D8A" w:rsidP="005C6D8A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Supplementary Figure </w:t>
      </w:r>
      <w:r w:rsidRPr="007D2F98">
        <w:rPr>
          <w:rFonts w:ascii="Times New Roman" w:hAnsi="Times New Roman" w:cs="Times New Roman"/>
          <w:b/>
        </w:rPr>
        <w:t>1.</w:t>
      </w:r>
      <w:r w:rsidRPr="007D2F98">
        <w:rPr>
          <w:rFonts w:ascii="Times New Roman" w:hAnsi="Times New Roman" w:cs="Times New Roman"/>
        </w:rPr>
        <w:t xml:space="preserve"> Relationships </w:t>
      </w:r>
      <w:r>
        <w:rPr>
          <w:rFonts w:ascii="Times New Roman" w:hAnsi="Times New Roman" w:cs="Times New Roman"/>
        </w:rPr>
        <w:t xml:space="preserve">in </w:t>
      </w:r>
      <w:r w:rsidRPr="000D761A">
        <w:rPr>
          <w:rFonts w:ascii="Times New Roman" w:hAnsi="Times New Roman" w:cs="Times New Roman"/>
          <w:i/>
          <w:iCs/>
        </w:rPr>
        <w:t>Sorghum bicolor</w:t>
      </w:r>
      <w:r w:rsidRPr="007D2F98">
        <w:rPr>
          <w:rFonts w:ascii="Times New Roman" w:hAnsi="Times New Roman" w:cs="Times New Roman"/>
        </w:rPr>
        <w:t xml:space="preserve"> between the photosynthesis rate</w:t>
      </w:r>
      <w:r>
        <w:rPr>
          <w:rFonts w:ascii="Times New Roman" w:hAnsi="Times New Roman" w:cs="Times New Roman"/>
        </w:rPr>
        <w:t>s</w:t>
      </w:r>
      <w:r w:rsidRPr="007D2F98">
        <w:rPr>
          <w:rFonts w:ascii="Times New Roman" w:hAnsi="Times New Roman" w:cs="Times New Roman"/>
        </w:rPr>
        <w:t xml:space="preserve"> and leaf N content</w:t>
      </w:r>
      <w:r>
        <w:rPr>
          <w:rFonts w:ascii="Times New Roman" w:hAnsi="Times New Roman" w:cs="Times New Roman"/>
        </w:rPr>
        <w:t xml:space="preserve">s </w:t>
      </w:r>
      <w:r w:rsidRPr="007D2F98">
        <w:rPr>
          <w:rFonts w:ascii="Times New Roman" w:hAnsi="Times New Roman" w:cs="Times New Roman"/>
        </w:rPr>
        <w:t>(0.05, 0.2, 0.4, or 0.6</w:t>
      </w:r>
      <w:r>
        <w:rPr>
          <w:rFonts w:ascii="Times New Roman" w:hAnsi="Times New Roman" w:cs="Times New Roman"/>
        </w:rPr>
        <w:t xml:space="preserve"> </w:t>
      </w:r>
      <w:r w:rsidRPr="007D2F98">
        <w:rPr>
          <w:rFonts w:ascii="Times New Roman" w:hAnsi="Times New Roman" w:cs="Times New Roman"/>
        </w:rPr>
        <w:t>g N).</w:t>
      </w:r>
      <w:r>
        <w:rPr>
          <w:rFonts w:ascii="Times New Roman" w:hAnsi="Times New Roman" w:cs="Times New Roman"/>
        </w:rPr>
        <w:t xml:space="preserve"> Photosynthesis rate increased with increased amount of leaf N content in sorghum, respectively. </w:t>
      </w:r>
      <w:r w:rsidRPr="009E580E">
        <w:rPr>
          <w:rFonts w:ascii="Times New Roman" w:hAnsi="Times New Roman" w:cs="Times New Roman"/>
        </w:rPr>
        <w:t xml:space="preserve">The error bars indicate </w:t>
      </w:r>
      <w:r>
        <w:rPr>
          <w:rFonts w:ascii="Times New Roman" w:hAnsi="Times New Roman" w:cs="Times New Roman"/>
        </w:rPr>
        <w:t xml:space="preserve">the </w:t>
      </w:r>
      <w:r w:rsidRPr="009E580E">
        <w:rPr>
          <w:rFonts w:ascii="Times New Roman" w:hAnsi="Times New Roman" w:cs="Times New Roman"/>
        </w:rPr>
        <w:t>standard errors.</w:t>
      </w:r>
      <w:r>
        <w:rPr>
          <w:rFonts w:ascii="Times New Roman" w:hAnsi="Times New Roman" w:cs="Times New Roman"/>
        </w:rPr>
        <w:t xml:space="preserve"> Data taken from (Makino and Ueno 2018).</w:t>
      </w: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80E" w:rsidRDefault="009E580E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490DAA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FC3" w:rsidRDefault="00055FC3" w:rsidP="00490D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DAA" w:rsidRDefault="00D211A9" w:rsidP="00490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490DAA" w:rsidRPr="00490DAA">
        <w:rPr>
          <w:rFonts w:ascii="Times New Roman" w:hAnsi="Times New Roman" w:cs="Times New Roman"/>
          <w:b/>
          <w:sz w:val="24"/>
          <w:szCs w:val="24"/>
        </w:rPr>
        <w:t>2</w:t>
      </w:r>
    </w:p>
    <w:p w:rsidR="00816FB5" w:rsidRDefault="00816FB5" w:rsidP="00816F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B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0F7EDEC" wp14:editId="126F4078">
            <wp:extent cx="3238500" cy="2190750"/>
            <wp:effectExtent l="0" t="0" r="0" b="0"/>
            <wp:docPr id="1026" name="Picture 2" descr="C:\Users\user\Desktop\Graph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Graph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9" t="29426" r="38677" b="11052"/>
                    <a:stretch/>
                  </pic:blipFill>
                  <pic:spPr bwMode="auto">
                    <a:xfrm>
                      <a:off x="0" y="0"/>
                      <a:ext cx="3241666" cy="21928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C6D8A" w:rsidRDefault="005C6D8A" w:rsidP="005C6D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0A8" w:rsidRDefault="00816FB5" w:rsidP="001C10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1C10A8">
        <w:rPr>
          <w:rFonts w:ascii="Times New Roman" w:hAnsi="Times New Roman" w:cs="Times New Roman"/>
          <w:b/>
        </w:rPr>
        <w:t xml:space="preserve">upplementary Figure </w:t>
      </w:r>
      <w:r w:rsidR="001C10A8" w:rsidRPr="00F073A9">
        <w:rPr>
          <w:rFonts w:ascii="Times New Roman" w:hAnsi="Times New Roman" w:cs="Times New Roman"/>
          <w:b/>
        </w:rPr>
        <w:t>2.</w:t>
      </w:r>
      <w:r w:rsidR="00CD62EE">
        <w:rPr>
          <w:rFonts w:ascii="Times New Roman" w:hAnsi="Times New Roman" w:cs="Times New Roman"/>
          <w:b/>
        </w:rPr>
        <w:t xml:space="preserve"> </w:t>
      </w:r>
      <w:r w:rsidR="0024566D" w:rsidRPr="0024566D">
        <w:rPr>
          <w:rFonts w:ascii="Times New Roman" w:hAnsi="Times New Roman" w:cs="Times New Roman"/>
        </w:rPr>
        <w:t>Response of the leaf photosynthesis rates on the intercellular CO</w:t>
      </w:r>
      <w:r w:rsidR="0024566D" w:rsidRPr="00302000">
        <w:rPr>
          <w:rFonts w:ascii="Times New Roman" w:hAnsi="Times New Roman" w:cs="Times New Roman"/>
          <w:vertAlign w:val="subscript"/>
        </w:rPr>
        <w:t xml:space="preserve">2 </w:t>
      </w:r>
      <w:r w:rsidR="0024566D" w:rsidRPr="0024566D">
        <w:rPr>
          <w:rFonts w:ascii="Times New Roman" w:hAnsi="Times New Roman" w:cs="Times New Roman"/>
        </w:rPr>
        <w:t>concentrations (</w:t>
      </w:r>
      <w:r w:rsidR="0024566D" w:rsidRPr="00302000">
        <w:rPr>
          <w:rFonts w:ascii="Times New Roman" w:hAnsi="Times New Roman" w:cs="Times New Roman"/>
          <w:i/>
        </w:rPr>
        <w:t>C</w:t>
      </w:r>
      <w:r w:rsidR="0024566D" w:rsidRPr="00302000">
        <w:rPr>
          <w:rFonts w:ascii="Times New Roman" w:hAnsi="Times New Roman" w:cs="Times New Roman"/>
          <w:i/>
          <w:vertAlign w:val="subscript"/>
        </w:rPr>
        <w:t>i</w:t>
      </w:r>
      <w:r w:rsidR="0024566D" w:rsidRPr="0024566D">
        <w:rPr>
          <w:rFonts w:ascii="Times New Roman" w:hAnsi="Times New Roman" w:cs="Times New Roman"/>
        </w:rPr>
        <w:t xml:space="preserve">), due to the nitrogen deficiencies in the </w:t>
      </w:r>
      <w:r w:rsidR="0024566D" w:rsidRPr="00302000">
        <w:rPr>
          <w:rFonts w:ascii="Times New Roman" w:hAnsi="Times New Roman" w:cs="Times New Roman"/>
          <w:i/>
        </w:rPr>
        <w:t>Sorghum bicolor</w:t>
      </w:r>
      <w:r w:rsidR="0024566D" w:rsidRPr="0024566D">
        <w:rPr>
          <w:rFonts w:ascii="Times New Roman" w:hAnsi="Times New Roman" w:cs="Times New Roman"/>
        </w:rPr>
        <w:t xml:space="preserve">. Three types of Hoagland nutrient solution (0, 20, and 100 %) were tested, and after 46 to 50 days measurements were taken of the fully expanded leaves. The nitrogen deficiency in the leaves is seen to cause a decrease in the </w:t>
      </w:r>
      <w:r w:rsidR="0024566D" w:rsidRPr="00302000">
        <w:rPr>
          <w:rFonts w:ascii="Times New Roman" w:hAnsi="Times New Roman" w:cs="Times New Roman"/>
          <w:i/>
        </w:rPr>
        <w:t>C</w:t>
      </w:r>
      <w:r w:rsidR="0024566D" w:rsidRPr="00302000">
        <w:rPr>
          <w:rFonts w:ascii="Times New Roman" w:hAnsi="Times New Roman" w:cs="Times New Roman"/>
          <w:i/>
          <w:vertAlign w:val="subscript"/>
        </w:rPr>
        <w:t>i</w:t>
      </w:r>
      <w:r w:rsidR="0024566D" w:rsidRPr="0024566D">
        <w:rPr>
          <w:rFonts w:ascii="Times New Roman" w:hAnsi="Times New Roman" w:cs="Times New Roman"/>
        </w:rPr>
        <w:t>.  While, the 0 and 20 % N reduced the leaf photosynthesis rates, they also reduced the intercellular CO</w:t>
      </w:r>
      <w:bookmarkStart w:id="0" w:name="_GoBack"/>
      <w:r w:rsidR="0024566D" w:rsidRPr="00302000">
        <w:rPr>
          <w:rFonts w:ascii="Times New Roman" w:hAnsi="Times New Roman" w:cs="Times New Roman"/>
          <w:vertAlign w:val="subscript"/>
        </w:rPr>
        <w:t>2</w:t>
      </w:r>
      <w:bookmarkEnd w:id="0"/>
      <w:r w:rsidR="0024566D" w:rsidRPr="0024566D">
        <w:rPr>
          <w:rFonts w:ascii="Times New Roman" w:hAnsi="Times New Roman" w:cs="Times New Roman"/>
        </w:rPr>
        <w:t xml:space="preserve"> concentrations, compared with the 100 % N. The error bars indicate the standard errors of three measurements. Data are taken from (Zhao et al, 2005).</w:t>
      </w:r>
    </w:p>
    <w:p w:rsidR="001C10A8" w:rsidRPr="009D5CD1" w:rsidRDefault="001C10A8" w:rsidP="0050600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2FBC" w:rsidRPr="00816FB5" w:rsidRDefault="00816FB5" w:rsidP="00816F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22FB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22FBC" w:rsidRPr="0081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BC"/>
    <w:rsid w:val="00055FC3"/>
    <w:rsid w:val="000C68EF"/>
    <w:rsid w:val="0013025C"/>
    <w:rsid w:val="001C10A8"/>
    <w:rsid w:val="001D0478"/>
    <w:rsid w:val="001E440B"/>
    <w:rsid w:val="0024566D"/>
    <w:rsid w:val="00302000"/>
    <w:rsid w:val="0031495E"/>
    <w:rsid w:val="00386008"/>
    <w:rsid w:val="0042672B"/>
    <w:rsid w:val="00490DAA"/>
    <w:rsid w:val="00495A00"/>
    <w:rsid w:val="004A3784"/>
    <w:rsid w:val="004B0289"/>
    <w:rsid w:val="0050600D"/>
    <w:rsid w:val="00525595"/>
    <w:rsid w:val="00560DAF"/>
    <w:rsid w:val="005C6D8A"/>
    <w:rsid w:val="005F6C0A"/>
    <w:rsid w:val="006A7570"/>
    <w:rsid w:val="0072379A"/>
    <w:rsid w:val="0074519F"/>
    <w:rsid w:val="007D2F98"/>
    <w:rsid w:val="00816FB5"/>
    <w:rsid w:val="00886167"/>
    <w:rsid w:val="008E1261"/>
    <w:rsid w:val="008E26A3"/>
    <w:rsid w:val="0098366F"/>
    <w:rsid w:val="00993424"/>
    <w:rsid w:val="009C6597"/>
    <w:rsid w:val="009D5CD1"/>
    <w:rsid w:val="009E580E"/>
    <w:rsid w:val="009E7D3C"/>
    <w:rsid w:val="00A13BC7"/>
    <w:rsid w:val="00A215C0"/>
    <w:rsid w:val="00A8195C"/>
    <w:rsid w:val="00B219F7"/>
    <w:rsid w:val="00BE4858"/>
    <w:rsid w:val="00C120F7"/>
    <w:rsid w:val="00C657A7"/>
    <w:rsid w:val="00C710BF"/>
    <w:rsid w:val="00CA0B90"/>
    <w:rsid w:val="00CB2776"/>
    <w:rsid w:val="00CB4677"/>
    <w:rsid w:val="00CD62EE"/>
    <w:rsid w:val="00CF1359"/>
    <w:rsid w:val="00CF46D5"/>
    <w:rsid w:val="00D211A9"/>
    <w:rsid w:val="00D21626"/>
    <w:rsid w:val="00D22FBC"/>
    <w:rsid w:val="00D90F6B"/>
    <w:rsid w:val="00DB6EEA"/>
    <w:rsid w:val="00DD2832"/>
    <w:rsid w:val="00DF35E3"/>
    <w:rsid w:val="00E01435"/>
    <w:rsid w:val="00E0509E"/>
    <w:rsid w:val="00E103DF"/>
    <w:rsid w:val="00E32066"/>
    <w:rsid w:val="00E35432"/>
    <w:rsid w:val="00EA13E6"/>
    <w:rsid w:val="00EC6E5C"/>
    <w:rsid w:val="00F073A9"/>
    <w:rsid w:val="00F37346"/>
    <w:rsid w:val="00F6200A"/>
    <w:rsid w:val="00F62164"/>
    <w:rsid w:val="00F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D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E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858"/>
    <w:rPr>
      <w:i/>
      <w:iCs/>
    </w:rPr>
  </w:style>
  <w:style w:type="character" w:styleId="Strong">
    <w:name w:val="Strong"/>
    <w:basedOn w:val="DefaultParagraphFont"/>
    <w:uiPriority w:val="22"/>
    <w:qFormat/>
    <w:rsid w:val="00BE4858"/>
    <w:rPr>
      <w:b/>
      <w:bCs/>
    </w:rPr>
  </w:style>
  <w:style w:type="character" w:customStyle="1" w:styleId="kwd-text">
    <w:name w:val="kwd-text"/>
    <w:basedOn w:val="DefaultParagraphFont"/>
    <w:rsid w:val="00BE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D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E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858"/>
    <w:rPr>
      <w:i/>
      <w:iCs/>
    </w:rPr>
  </w:style>
  <w:style w:type="character" w:styleId="Strong">
    <w:name w:val="Strong"/>
    <w:basedOn w:val="DefaultParagraphFont"/>
    <w:uiPriority w:val="22"/>
    <w:qFormat/>
    <w:rsid w:val="00BE4858"/>
    <w:rPr>
      <w:b/>
      <w:bCs/>
    </w:rPr>
  </w:style>
  <w:style w:type="character" w:customStyle="1" w:styleId="kwd-text">
    <w:name w:val="kwd-text"/>
    <w:basedOn w:val="DefaultParagraphFont"/>
    <w:rsid w:val="00BE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2019-10-15T03:51:00Z</dcterms:created>
  <dcterms:modified xsi:type="dcterms:W3CDTF">2019-12-31T13:02:00Z</dcterms:modified>
</cp:coreProperties>
</file>