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D6C6" w14:textId="77777777" w:rsidR="001A383F" w:rsidRPr="00A96926" w:rsidRDefault="00742278" w:rsidP="00A95633">
      <w:pPr>
        <w:spacing w:line="360" w:lineRule="auto"/>
        <w:jc w:val="both"/>
        <w:rPr>
          <w:rFonts w:ascii="Arial" w:hAnsi="Arial" w:cs="Arial"/>
          <w:b/>
        </w:rPr>
      </w:pPr>
      <w:r w:rsidRPr="00A96926">
        <w:rPr>
          <w:rFonts w:ascii="Arial" w:hAnsi="Arial" w:cs="Arial"/>
          <w:b/>
        </w:rPr>
        <w:t>Supplementary methods</w:t>
      </w:r>
    </w:p>
    <w:p w14:paraId="16B333BD" w14:textId="77777777" w:rsidR="00504D0C" w:rsidRPr="00A96926" w:rsidRDefault="00504D0C" w:rsidP="00A95633">
      <w:pPr>
        <w:spacing w:line="360" w:lineRule="auto"/>
        <w:jc w:val="both"/>
        <w:rPr>
          <w:rFonts w:ascii="Arial" w:hAnsi="Arial" w:cs="Arial"/>
          <w:b/>
          <w:i/>
          <w:iCs/>
        </w:rPr>
      </w:pPr>
      <w:r w:rsidRPr="00A96926">
        <w:rPr>
          <w:rFonts w:ascii="Arial" w:hAnsi="Arial" w:cs="Arial"/>
          <w:b/>
          <w:i/>
          <w:iCs/>
        </w:rPr>
        <w:t>Cell culture</w:t>
      </w:r>
    </w:p>
    <w:p w14:paraId="3BBBAEF3" w14:textId="3CA73534" w:rsidR="0096239B" w:rsidRPr="00A96926" w:rsidRDefault="0096239B" w:rsidP="00A95633">
      <w:pPr>
        <w:spacing w:line="360" w:lineRule="auto"/>
        <w:jc w:val="both"/>
        <w:rPr>
          <w:rFonts w:ascii="Arial" w:hAnsi="Arial" w:cs="Arial"/>
          <w:iCs/>
        </w:rPr>
      </w:pPr>
      <w:r w:rsidRPr="00A96926">
        <w:rPr>
          <w:rFonts w:ascii="Arial" w:hAnsi="Arial" w:cs="Arial"/>
          <w:iCs/>
        </w:rPr>
        <w:t xml:space="preserve">C2C12 myoblast media requirements and seeding densities in Tables 1 and 2, respectively. Cells were maintained sub-confluent </w:t>
      </w:r>
      <w:r w:rsidR="00460241" w:rsidRPr="00A96926">
        <w:rPr>
          <w:rFonts w:ascii="Arial" w:hAnsi="Arial" w:cs="Arial"/>
          <w:iCs/>
        </w:rPr>
        <w:t xml:space="preserve">(60 – 70 %) </w:t>
      </w:r>
      <w:r w:rsidRPr="00A96926">
        <w:rPr>
          <w:rFonts w:ascii="Arial" w:hAnsi="Arial" w:cs="Arial"/>
          <w:iCs/>
        </w:rPr>
        <w:t>in culture in growth medium. For differentiation, cells were plated according to seeding densities and volumes on Table 2, in plating medium, and incubated for 48 hrs at 37 °</w:t>
      </w:r>
      <w:r w:rsidR="00460241" w:rsidRPr="00A96926">
        <w:rPr>
          <w:rFonts w:ascii="Arial" w:hAnsi="Arial" w:cs="Arial"/>
          <w:iCs/>
        </w:rPr>
        <w:t>C, 5% CO</w:t>
      </w:r>
      <w:r w:rsidRPr="00A96926">
        <w:rPr>
          <w:rFonts w:ascii="Arial" w:hAnsi="Arial" w:cs="Arial"/>
          <w:iCs/>
          <w:vertAlign w:val="subscript"/>
        </w:rPr>
        <w:t>2</w:t>
      </w:r>
      <w:r w:rsidRPr="00A96926">
        <w:rPr>
          <w:rFonts w:ascii="Arial" w:hAnsi="Arial" w:cs="Arial"/>
          <w:iCs/>
        </w:rPr>
        <w:t xml:space="preserve">. After 48 hrs (100 % confluence) medium was replaced with differentiation medium. Medium was changed every day for 6 consecutive days. Overnight treatments were conducted in serum-deprived amino acid poor medium (Table 1). All experiments were conducted in serum-deprived medium. </w:t>
      </w:r>
      <w:r w:rsidR="00A95633" w:rsidRPr="00A96926">
        <w:rPr>
          <w:rFonts w:ascii="Arial" w:hAnsi="Arial" w:cs="Arial"/>
          <w:iCs/>
        </w:rPr>
        <w:t xml:space="preserve"> </w:t>
      </w:r>
    </w:p>
    <w:tbl>
      <w:tblPr>
        <w:tblStyle w:val="TableGrid"/>
        <w:tblpPr w:leftFromText="180" w:rightFromText="180" w:vertAnchor="text" w:horzAnchor="margin" w:tblpY="327"/>
        <w:tblW w:w="9257" w:type="dxa"/>
        <w:tblLook w:val="04A0" w:firstRow="1" w:lastRow="0" w:firstColumn="1" w:lastColumn="0" w:noHBand="0" w:noVBand="1"/>
      </w:tblPr>
      <w:tblGrid>
        <w:gridCol w:w="2689"/>
        <w:gridCol w:w="6568"/>
      </w:tblGrid>
      <w:tr w:rsidR="0096239B" w:rsidRPr="00A96926" w14:paraId="04C6DA4D" w14:textId="77777777" w:rsidTr="0096239B">
        <w:trPr>
          <w:trHeight w:val="274"/>
        </w:trPr>
        <w:tc>
          <w:tcPr>
            <w:tcW w:w="2689" w:type="dxa"/>
            <w:tcBorders>
              <w:top w:val="single" w:sz="4" w:space="0" w:color="auto"/>
              <w:left w:val="single" w:sz="4" w:space="0" w:color="auto"/>
              <w:bottom w:val="single" w:sz="4" w:space="0" w:color="auto"/>
              <w:right w:val="single" w:sz="4" w:space="0" w:color="auto"/>
            </w:tcBorders>
            <w:hideMark/>
          </w:tcPr>
          <w:p w14:paraId="2A336B22" w14:textId="77777777" w:rsidR="0096239B" w:rsidRPr="00A96926" w:rsidRDefault="0096239B" w:rsidP="0096239B">
            <w:pPr>
              <w:ind w:right="-188"/>
              <w:rPr>
                <w:rFonts w:ascii="Arial" w:hAnsi="Arial" w:cs="Arial"/>
                <w:b/>
                <w:color w:val="000000" w:themeColor="text1"/>
                <w:sz w:val="22"/>
                <w:szCs w:val="22"/>
              </w:rPr>
            </w:pPr>
            <w:r w:rsidRPr="00A96926">
              <w:rPr>
                <w:rFonts w:ascii="Arial" w:hAnsi="Arial" w:cs="Arial"/>
                <w:b/>
                <w:color w:val="000000" w:themeColor="text1"/>
                <w:sz w:val="22"/>
                <w:szCs w:val="22"/>
              </w:rPr>
              <w:t>Medium</w:t>
            </w:r>
          </w:p>
        </w:tc>
        <w:tc>
          <w:tcPr>
            <w:tcW w:w="6568" w:type="dxa"/>
            <w:tcBorders>
              <w:top w:val="single" w:sz="4" w:space="0" w:color="auto"/>
              <w:left w:val="single" w:sz="4" w:space="0" w:color="auto"/>
              <w:bottom w:val="single" w:sz="4" w:space="0" w:color="auto"/>
              <w:right w:val="single" w:sz="4" w:space="0" w:color="auto"/>
            </w:tcBorders>
            <w:hideMark/>
          </w:tcPr>
          <w:p w14:paraId="11A1BC70" w14:textId="77777777" w:rsidR="0096239B" w:rsidRPr="00A96926" w:rsidRDefault="0096239B" w:rsidP="0096239B">
            <w:pPr>
              <w:ind w:right="-188"/>
              <w:rPr>
                <w:rFonts w:ascii="Arial" w:hAnsi="Arial" w:cs="Arial"/>
                <w:b/>
                <w:color w:val="000000" w:themeColor="text1"/>
                <w:sz w:val="22"/>
                <w:szCs w:val="22"/>
              </w:rPr>
            </w:pPr>
            <w:r w:rsidRPr="00A96926">
              <w:rPr>
                <w:rFonts w:ascii="Arial" w:hAnsi="Arial" w:cs="Arial"/>
                <w:b/>
                <w:color w:val="000000" w:themeColor="text1"/>
                <w:sz w:val="22"/>
                <w:szCs w:val="22"/>
              </w:rPr>
              <w:t>Components</w:t>
            </w:r>
          </w:p>
        </w:tc>
      </w:tr>
      <w:tr w:rsidR="0096239B" w:rsidRPr="00A96926" w14:paraId="4B31C57D" w14:textId="77777777" w:rsidTr="0096239B">
        <w:trPr>
          <w:trHeight w:val="846"/>
        </w:trPr>
        <w:tc>
          <w:tcPr>
            <w:tcW w:w="2689" w:type="dxa"/>
            <w:tcBorders>
              <w:top w:val="single" w:sz="4" w:space="0" w:color="auto"/>
              <w:left w:val="single" w:sz="4" w:space="0" w:color="auto"/>
              <w:bottom w:val="single" w:sz="4" w:space="0" w:color="auto"/>
              <w:right w:val="single" w:sz="4" w:space="0" w:color="auto"/>
            </w:tcBorders>
            <w:vAlign w:val="center"/>
            <w:hideMark/>
          </w:tcPr>
          <w:p w14:paraId="5BB165A2"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Growth medium</w:t>
            </w:r>
          </w:p>
        </w:tc>
        <w:tc>
          <w:tcPr>
            <w:tcW w:w="6568" w:type="dxa"/>
            <w:tcBorders>
              <w:top w:val="single" w:sz="4" w:space="0" w:color="auto"/>
              <w:left w:val="single" w:sz="4" w:space="0" w:color="auto"/>
              <w:bottom w:val="single" w:sz="4" w:space="0" w:color="auto"/>
              <w:right w:val="single" w:sz="4" w:space="0" w:color="auto"/>
            </w:tcBorders>
            <w:vAlign w:val="center"/>
            <w:hideMark/>
          </w:tcPr>
          <w:p w14:paraId="3F94D164"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 xml:space="preserve">High glucose (25 </w:t>
            </w:r>
            <w:proofErr w:type="spellStart"/>
            <w:r w:rsidRPr="00A96926">
              <w:rPr>
                <w:rFonts w:ascii="Arial" w:hAnsi="Arial" w:cs="Arial"/>
                <w:color w:val="000000" w:themeColor="text1"/>
                <w:sz w:val="22"/>
                <w:szCs w:val="22"/>
              </w:rPr>
              <w:t>mM</w:t>
            </w:r>
            <w:proofErr w:type="spellEnd"/>
            <w:r w:rsidRPr="00A96926">
              <w:rPr>
                <w:rFonts w:ascii="Arial" w:hAnsi="Arial" w:cs="Arial"/>
                <w:color w:val="000000" w:themeColor="text1"/>
                <w:sz w:val="22"/>
                <w:szCs w:val="22"/>
              </w:rPr>
              <w:t xml:space="preserve">) DMEM supplemented with 10 % FBS, </w:t>
            </w:r>
            <w:r w:rsidRPr="00A96926">
              <w:rPr>
                <w:rFonts w:ascii="Arial" w:hAnsi="Arial" w:cs="Arial"/>
                <w:color w:val="000000" w:themeColor="text1"/>
                <w:sz w:val="22"/>
                <w:szCs w:val="22"/>
                <w:shd w:val="clear" w:color="auto" w:fill="FFFFFF"/>
              </w:rPr>
              <w:t>4 % (v/v) L-glutamine, 2 % penicillin/streptomycin (pen/strep)</w:t>
            </w:r>
          </w:p>
        </w:tc>
      </w:tr>
      <w:tr w:rsidR="0096239B" w:rsidRPr="00A96926" w14:paraId="59D50651" w14:textId="77777777" w:rsidTr="0096239B">
        <w:trPr>
          <w:trHeight w:val="830"/>
        </w:trPr>
        <w:tc>
          <w:tcPr>
            <w:tcW w:w="2689" w:type="dxa"/>
            <w:tcBorders>
              <w:top w:val="single" w:sz="4" w:space="0" w:color="auto"/>
              <w:left w:val="single" w:sz="4" w:space="0" w:color="auto"/>
              <w:bottom w:val="single" w:sz="4" w:space="0" w:color="auto"/>
              <w:right w:val="single" w:sz="4" w:space="0" w:color="auto"/>
            </w:tcBorders>
            <w:vAlign w:val="center"/>
            <w:hideMark/>
          </w:tcPr>
          <w:p w14:paraId="4F723649"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 xml:space="preserve">Plating </w:t>
            </w:r>
          </w:p>
          <w:p w14:paraId="6B995B3E"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medium</w:t>
            </w:r>
          </w:p>
        </w:tc>
        <w:tc>
          <w:tcPr>
            <w:tcW w:w="6568" w:type="dxa"/>
            <w:tcBorders>
              <w:top w:val="single" w:sz="4" w:space="0" w:color="auto"/>
              <w:left w:val="single" w:sz="4" w:space="0" w:color="auto"/>
              <w:bottom w:val="single" w:sz="4" w:space="0" w:color="auto"/>
              <w:right w:val="single" w:sz="4" w:space="0" w:color="auto"/>
            </w:tcBorders>
            <w:vAlign w:val="center"/>
            <w:hideMark/>
          </w:tcPr>
          <w:p w14:paraId="754E59B9"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 xml:space="preserve">Glucose-free DMEM with 4 % L-glutamine supplemented with 5.5 </w:t>
            </w:r>
            <w:proofErr w:type="spellStart"/>
            <w:r w:rsidRPr="00A96926">
              <w:rPr>
                <w:rFonts w:ascii="Arial" w:hAnsi="Arial" w:cs="Arial"/>
                <w:color w:val="000000" w:themeColor="text1"/>
                <w:sz w:val="22"/>
                <w:szCs w:val="22"/>
              </w:rPr>
              <w:t>mM</w:t>
            </w:r>
            <w:proofErr w:type="spellEnd"/>
            <w:r w:rsidRPr="00A96926">
              <w:rPr>
                <w:rFonts w:ascii="Arial" w:hAnsi="Arial" w:cs="Arial"/>
                <w:color w:val="000000" w:themeColor="text1"/>
                <w:sz w:val="22"/>
                <w:szCs w:val="22"/>
              </w:rPr>
              <w:t xml:space="preserve"> glucose, 10 % FBS and 2 % pen/strep</w:t>
            </w:r>
          </w:p>
        </w:tc>
      </w:tr>
      <w:tr w:rsidR="0096239B" w:rsidRPr="00A96926" w14:paraId="61381FA4" w14:textId="77777777" w:rsidTr="0096239B">
        <w:trPr>
          <w:trHeight w:val="700"/>
        </w:trPr>
        <w:tc>
          <w:tcPr>
            <w:tcW w:w="2689" w:type="dxa"/>
            <w:tcBorders>
              <w:top w:val="single" w:sz="4" w:space="0" w:color="auto"/>
              <w:left w:val="single" w:sz="4" w:space="0" w:color="auto"/>
              <w:bottom w:val="single" w:sz="4" w:space="0" w:color="auto"/>
              <w:right w:val="single" w:sz="4" w:space="0" w:color="auto"/>
            </w:tcBorders>
            <w:vAlign w:val="center"/>
            <w:hideMark/>
          </w:tcPr>
          <w:p w14:paraId="5C6031DB"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Differentiation medium</w:t>
            </w:r>
          </w:p>
        </w:tc>
        <w:tc>
          <w:tcPr>
            <w:tcW w:w="6568" w:type="dxa"/>
            <w:tcBorders>
              <w:top w:val="single" w:sz="4" w:space="0" w:color="auto"/>
              <w:left w:val="single" w:sz="4" w:space="0" w:color="auto"/>
              <w:bottom w:val="single" w:sz="4" w:space="0" w:color="auto"/>
              <w:right w:val="single" w:sz="4" w:space="0" w:color="auto"/>
            </w:tcBorders>
            <w:vAlign w:val="center"/>
            <w:hideMark/>
          </w:tcPr>
          <w:p w14:paraId="716595FE"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 xml:space="preserve">Glucose-free DMEM with 4 % L-glutamine supplemented with 5.5 </w:t>
            </w:r>
            <w:proofErr w:type="spellStart"/>
            <w:r w:rsidRPr="00A96926">
              <w:rPr>
                <w:rFonts w:ascii="Arial" w:hAnsi="Arial" w:cs="Arial"/>
                <w:color w:val="000000" w:themeColor="text1"/>
                <w:sz w:val="22"/>
                <w:szCs w:val="22"/>
              </w:rPr>
              <w:t>mM</w:t>
            </w:r>
            <w:proofErr w:type="spellEnd"/>
            <w:r w:rsidRPr="00A96926">
              <w:rPr>
                <w:rFonts w:ascii="Arial" w:hAnsi="Arial" w:cs="Arial"/>
                <w:color w:val="000000" w:themeColor="text1"/>
                <w:sz w:val="22"/>
                <w:szCs w:val="22"/>
              </w:rPr>
              <w:t xml:space="preserve"> glucose, 2 % horse serum and 2 % pen/strep</w:t>
            </w:r>
          </w:p>
        </w:tc>
      </w:tr>
      <w:tr w:rsidR="0096239B" w:rsidRPr="00A96926" w14:paraId="7FCF5C9D" w14:textId="77777777" w:rsidTr="0096239B">
        <w:trPr>
          <w:trHeight w:val="851"/>
        </w:trPr>
        <w:tc>
          <w:tcPr>
            <w:tcW w:w="2689" w:type="dxa"/>
            <w:tcBorders>
              <w:top w:val="single" w:sz="4" w:space="0" w:color="auto"/>
              <w:left w:val="single" w:sz="4" w:space="0" w:color="auto"/>
              <w:bottom w:val="single" w:sz="4" w:space="0" w:color="auto"/>
              <w:right w:val="single" w:sz="4" w:space="0" w:color="auto"/>
            </w:tcBorders>
            <w:vAlign w:val="center"/>
            <w:hideMark/>
          </w:tcPr>
          <w:p w14:paraId="4122C5D9"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Amino acid-deprived medium (EBSS)</w:t>
            </w:r>
          </w:p>
        </w:tc>
        <w:tc>
          <w:tcPr>
            <w:tcW w:w="6568" w:type="dxa"/>
            <w:tcBorders>
              <w:top w:val="single" w:sz="4" w:space="0" w:color="auto"/>
              <w:left w:val="single" w:sz="4" w:space="0" w:color="auto"/>
              <w:bottom w:val="single" w:sz="4" w:space="0" w:color="auto"/>
              <w:right w:val="single" w:sz="4" w:space="0" w:color="auto"/>
            </w:tcBorders>
            <w:vAlign w:val="center"/>
            <w:hideMark/>
          </w:tcPr>
          <w:p w14:paraId="6E0CE58E"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shd w:val="clear" w:color="auto" w:fill="FFFFFF"/>
              </w:rPr>
              <w:t xml:space="preserve">Earl’s balanced salt solution 1 x, supplemented with sodium bicarbonate (2.2 g/L) and 0.34 </w:t>
            </w:r>
            <w:proofErr w:type="spellStart"/>
            <w:r w:rsidRPr="00A96926">
              <w:rPr>
                <w:rFonts w:ascii="Arial" w:hAnsi="Arial" w:cs="Arial"/>
                <w:color w:val="000000" w:themeColor="text1"/>
                <w:sz w:val="22"/>
                <w:szCs w:val="22"/>
                <w:shd w:val="clear" w:color="auto" w:fill="FFFFFF"/>
              </w:rPr>
              <w:t>mM</w:t>
            </w:r>
            <w:proofErr w:type="spellEnd"/>
            <w:r w:rsidRPr="00A96926">
              <w:rPr>
                <w:rFonts w:ascii="Arial" w:hAnsi="Arial" w:cs="Arial"/>
                <w:color w:val="000000" w:themeColor="text1"/>
                <w:sz w:val="22"/>
                <w:szCs w:val="22"/>
                <w:shd w:val="clear" w:color="auto" w:fill="FFFFFF"/>
              </w:rPr>
              <w:t xml:space="preserve"> AA solution.</w:t>
            </w:r>
          </w:p>
        </w:tc>
      </w:tr>
      <w:tr w:rsidR="0096239B" w:rsidRPr="00A96926" w14:paraId="0849E512" w14:textId="77777777" w:rsidTr="0096239B">
        <w:trPr>
          <w:trHeight w:val="694"/>
        </w:trPr>
        <w:tc>
          <w:tcPr>
            <w:tcW w:w="2689" w:type="dxa"/>
            <w:tcBorders>
              <w:top w:val="single" w:sz="4" w:space="0" w:color="auto"/>
              <w:left w:val="single" w:sz="4" w:space="0" w:color="auto"/>
              <w:bottom w:val="single" w:sz="4" w:space="0" w:color="auto"/>
              <w:right w:val="single" w:sz="4" w:space="0" w:color="auto"/>
            </w:tcBorders>
            <w:vAlign w:val="center"/>
            <w:hideMark/>
          </w:tcPr>
          <w:p w14:paraId="5120DFC1"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Seahorse XF medium – mitochondrial stress test</w:t>
            </w:r>
          </w:p>
        </w:tc>
        <w:tc>
          <w:tcPr>
            <w:tcW w:w="6568" w:type="dxa"/>
            <w:tcBorders>
              <w:top w:val="single" w:sz="4" w:space="0" w:color="auto"/>
              <w:left w:val="single" w:sz="4" w:space="0" w:color="auto"/>
              <w:bottom w:val="single" w:sz="4" w:space="0" w:color="auto"/>
              <w:right w:val="single" w:sz="4" w:space="0" w:color="auto"/>
            </w:tcBorders>
            <w:vAlign w:val="center"/>
            <w:hideMark/>
          </w:tcPr>
          <w:p w14:paraId="7534DE87" w14:textId="77777777" w:rsidR="0096239B" w:rsidRPr="00A96926" w:rsidRDefault="0096239B" w:rsidP="0096239B">
            <w:pPr>
              <w:ind w:right="-188"/>
              <w:rPr>
                <w:rFonts w:ascii="Arial" w:hAnsi="Arial" w:cs="Arial"/>
                <w:color w:val="000000" w:themeColor="text1"/>
                <w:sz w:val="22"/>
                <w:szCs w:val="22"/>
                <w:shd w:val="clear" w:color="auto" w:fill="FFFFFF"/>
              </w:rPr>
            </w:pPr>
            <w:r w:rsidRPr="00A96926">
              <w:rPr>
                <w:rFonts w:ascii="Arial" w:hAnsi="Arial" w:cs="Arial"/>
                <w:color w:val="000000" w:themeColor="text1"/>
                <w:sz w:val="22"/>
                <w:szCs w:val="22"/>
                <w:shd w:val="clear" w:color="auto" w:fill="FFFFFF"/>
              </w:rPr>
              <w:t xml:space="preserve">XF DMEM with 5.5 </w:t>
            </w:r>
            <w:proofErr w:type="spellStart"/>
            <w:r w:rsidRPr="00A96926">
              <w:rPr>
                <w:rFonts w:ascii="Arial" w:hAnsi="Arial" w:cs="Arial"/>
                <w:color w:val="000000" w:themeColor="text1"/>
                <w:sz w:val="22"/>
                <w:szCs w:val="22"/>
                <w:shd w:val="clear" w:color="auto" w:fill="FFFFFF"/>
              </w:rPr>
              <w:t>mM</w:t>
            </w:r>
            <w:proofErr w:type="spellEnd"/>
            <w:r w:rsidRPr="00A96926">
              <w:rPr>
                <w:rFonts w:ascii="Arial" w:hAnsi="Arial" w:cs="Arial"/>
                <w:color w:val="000000" w:themeColor="text1"/>
                <w:sz w:val="22"/>
                <w:szCs w:val="22"/>
                <w:shd w:val="clear" w:color="auto" w:fill="FFFFFF"/>
              </w:rPr>
              <w:t xml:space="preserve"> glucose, 2.5 </w:t>
            </w:r>
            <w:proofErr w:type="spellStart"/>
            <w:r w:rsidRPr="00A96926">
              <w:rPr>
                <w:rFonts w:ascii="Arial" w:hAnsi="Arial" w:cs="Arial"/>
                <w:color w:val="000000" w:themeColor="text1"/>
                <w:sz w:val="22"/>
                <w:szCs w:val="22"/>
                <w:shd w:val="clear" w:color="auto" w:fill="FFFFFF"/>
              </w:rPr>
              <w:t>mM</w:t>
            </w:r>
            <w:proofErr w:type="spellEnd"/>
            <w:r w:rsidRPr="00A96926">
              <w:rPr>
                <w:rFonts w:ascii="Arial" w:hAnsi="Arial" w:cs="Arial"/>
                <w:color w:val="000000" w:themeColor="text1"/>
                <w:sz w:val="22"/>
                <w:szCs w:val="22"/>
                <w:shd w:val="clear" w:color="auto" w:fill="FFFFFF"/>
              </w:rPr>
              <w:t xml:space="preserve"> sodium pyruvate, 2 </w:t>
            </w:r>
            <w:proofErr w:type="spellStart"/>
            <w:r w:rsidRPr="00A96926">
              <w:rPr>
                <w:rFonts w:ascii="Arial" w:hAnsi="Arial" w:cs="Arial"/>
                <w:color w:val="000000" w:themeColor="text1"/>
                <w:sz w:val="22"/>
                <w:szCs w:val="22"/>
                <w:shd w:val="clear" w:color="auto" w:fill="FFFFFF"/>
              </w:rPr>
              <w:t>mM</w:t>
            </w:r>
            <w:proofErr w:type="spellEnd"/>
            <w:r w:rsidRPr="00A96926">
              <w:rPr>
                <w:rFonts w:ascii="Arial" w:hAnsi="Arial" w:cs="Arial"/>
                <w:color w:val="000000" w:themeColor="text1"/>
                <w:sz w:val="22"/>
                <w:szCs w:val="22"/>
                <w:shd w:val="clear" w:color="auto" w:fill="FFFFFF"/>
              </w:rPr>
              <w:t xml:space="preserve"> L-glutamine, pH 7.4</w:t>
            </w:r>
          </w:p>
        </w:tc>
      </w:tr>
      <w:tr w:rsidR="0096239B" w:rsidRPr="00A96926" w14:paraId="5745A7F4" w14:textId="77777777" w:rsidTr="0096239B">
        <w:trPr>
          <w:trHeight w:val="690"/>
        </w:trPr>
        <w:tc>
          <w:tcPr>
            <w:tcW w:w="2689" w:type="dxa"/>
            <w:tcBorders>
              <w:top w:val="single" w:sz="4" w:space="0" w:color="auto"/>
              <w:left w:val="single" w:sz="4" w:space="0" w:color="auto"/>
              <w:bottom w:val="single" w:sz="4" w:space="0" w:color="auto"/>
              <w:right w:val="single" w:sz="4" w:space="0" w:color="auto"/>
            </w:tcBorders>
            <w:vAlign w:val="center"/>
          </w:tcPr>
          <w:p w14:paraId="15E5991E" w14:textId="77777777" w:rsidR="0096239B" w:rsidRPr="00A96926" w:rsidRDefault="0096239B" w:rsidP="0096239B">
            <w:pPr>
              <w:ind w:right="-188"/>
              <w:rPr>
                <w:rFonts w:ascii="Arial" w:hAnsi="Arial" w:cs="Arial"/>
                <w:color w:val="000000" w:themeColor="text1"/>
                <w:sz w:val="22"/>
                <w:szCs w:val="22"/>
              </w:rPr>
            </w:pPr>
            <w:r w:rsidRPr="00A96926">
              <w:rPr>
                <w:rFonts w:ascii="Arial" w:hAnsi="Arial" w:cs="Arial"/>
                <w:color w:val="000000" w:themeColor="text1"/>
                <w:sz w:val="22"/>
                <w:szCs w:val="22"/>
              </w:rPr>
              <w:t>Seahorse XF medium – glycolysis stress test</w:t>
            </w:r>
          </w:p>
        </w:tc>
        <w:tc>
          <w:tcPr>
            <w:tcW w:w="6568" w:type="dxa"/>
            <w:tcBorders>
              <w:top w:val="single" w:sz="4" w:space="0" w:color="auto"/>
              <w:left w:val="single" w:sz="4" w:space="0" w:color="auto"/>
              <w:bottom w:val="single" w:sz="4" w:space="0" w:color="auto"/>
              <w:right w:val="single" w:sz="4" w:space="0" w:color="auto"/>
            </w:tcBorders>
            <w:vAlign w:val="center"/>
          </w:tcPr>
          <w:p w14:paraId="242FC282" w14:textId="77777777" w:rsidR="0096239B" w:rsidRPr="00A96926" w:rsidRDefault="0096239B" w:rsidP="0096239B">
            <w:pPr>
              <w:ind w:right="-188"/>
              <w:rPr>
                <w:rFonts w:ascii="Arial" w:hAnsi="Arial" w:cs="Arial"/>
                <w:color w:val="000000" w:themeColor="text1"/>
                <w:sz w:val="22"/>
                <w:szCs w:val="22"/>
                <w:shd w:val="clear" w:color="auto" w:fill="FFFFFF"/>
              </w:rPr>
            </w:pPr>
            <w:r w:rsidRPr="00A96926">
              <w:rPr>
                <w:rFonts w:ascii="Arial" w:hAnsi="Arial" w:cs="Arial"/>
                <w:color w:val="000000" w:themeColor="text1"/>
                <w:sz w:val="22"/>
                <w:szCs w:val="22"/>
                <w:shd w:val="clear" w:color="auto" w:fill="FFFFFF"/>
              </w:rPr>
              <w:t xml:space="preserve">Glucose-free XF DMEM with 2 </w:t>
            </w:r>
            <w:proofErr w:type="spellStart"/>
            <w:r w:rsidRPr="00A96926">
              <w:rPr>
                <w:rFonts w:ascii="Arial" w:hAnsi="Arial" w:cs="Arial"/>
                <w:color w:val="000000" w:themeColor="text1"/>
                <w:sz w:val="22"/>
                <w:szCs w:val="22"/>
                <w:shd w:val="clear" w:color="auto" w:fill="FFFFFF"/>
              </w:rPr>
              <w:t>mM</w:t>
            </w:r>
            <w:proofErr w:type="spellEnd"/>
            <w:r w:rsidRPr="00A96926">
              <w:rPr>
                <w:rFonts w:ascii="Arial" w:hAnsi="Arial" w:cs="Arial"/>
                <w:color w:val="000000" w:themeColor="text1"/>
                <w:sz w:val="22"/>
                <w:szCs w:val="22"/>
                <w:shd w:val="clear" w:color="auto" w:fill="FFFFFF"/>
              </w:rPr>
              <w:t xml:space="preserve"> L-glutamine, pH 7.4</w:t>
            </w:r>
          </w:p>
        </w:tc>
      </w:tr>
    </w:tbl>
    <w:p w14:paraId="2649145C" w14:textId="77777777" w:rsidR="0096239B" w:rsidRPr="00A96926" w:rsidRDefault="0096239B" w:rsidP="00A95633">
      <w:pPr>
        <w:spacing w:line="360" w:lineRule="auto"/>
        <w:jc w:val="both"/>
        <w:rPr>
          <w:rFonts w:ascii="Arial" w:hAnsi="Arial" w:cs="Arial"/>
          <w:b/>
          <w:iCs/>
        </w:rPr>
      </w:pPr>
      <w:r w:rsidRPr="00A96926">
        <w:rPr>
          <w:rFonts w:ascii="Arial" w:hAnsi="Arial" w:cs="Arial"/>
          <w:b/>
          <w:iCs/>
        </w:rPr>
        <w:t>Table 1. Media composition for C2C12 myoblast culture and differentiation</w:t>
      </w:r>
    </w:p>
    <w:p w14:paraId="5C9EC34B" w14:textId="77777777" w:rsidR="00290A0F" w:rsidRPr="00A96926" w:rsidRDefault="0096239B" w:rsidP="00A95633">
      <w:pPr>
        <w:spacing w:line="360" w:lineRule="auto"/>
        <w:jc w:val="both"/>
        <w:rPr>
          <w:rFonts w:ascii="Arial" w:hAnsi="Arial" w:cs="Arial"/>
          <w:b/>
          <w:i/>
          <w:iCs/>
        </w:rPr>
      </w:pPr>
      <w:r w:rsidRPr="00A96926">
        <w:rPr>
          <w:rFonts w:ascii="Arial" w:hAnsi="Arial" w:cs="Arial"/>
          <w:b/>
          <w:i/>
          <w:iCs/>
        </w:rPr>
        <w:t xml:space="preserve"> </w:t>
      </w:r>
    </w:p>
    <w:p w14:paraId="51B70516" w14:textId="77777777" w:rsidR="0096239B" w:rsidRPr="00A96926" w:rsidRDefault="0096239B" w:rsidP="00A95633">
      <w:pPr>
        <w:spacing w:line="360" w:lineRule="auto"/>
        <w:jc w:val="both"/>
        <w:rPr>
          <w:rFonts w:ascii="Arial" w:hAnsi="Arial" w:cs="Arial"/>
          <w:b/>
          <w:i/>
          <w:iCs/>
        </w:rPr>
      </w:pPr>
      <w:r w:rsidRPr="00A96926">
        <w:rPr>
          <w:rFonts w:ascii="Arial" w:hAnsi="Arial" w:cs="Arial"/>
          <w:b/>
          <w:i/>
          <w:iCs/>
        </w:rPr>
        <w:t>Table 2. Seeding density and volumes for C2C12 myoblast culture</w:t>
      </w:r>
    </w:p>
    <w:tbl>
      <w:tblPr>
        <w:tblStyle w:val="TableGrid"/>
        <w:tblW w:w="9015" w:type="dxa"/>
        <w:tblInd w:w="108" w:type="dxa"/>
        <w:tblLook w:val="04A0" w:firstRow="1" w:lastRow="0" w:firstColumn="1" w:lastColumn="0" w:noHBand="0" w:noVBand="1"/>
      </w:tblPr>
      <w:tblGrid>
        <w:gridCol w:w="2192"/>
        <w:gridCol w:w="1494"/>
        <w:gridCol w:w="1659"/>
        <w:gridCol w:w="1992"/>
        <w:gridCol w:w="1678"/>
      </w:tblGrid>
      <w:tr w:rsidR="004D69E6" w:rsidRPr="00A96926" w14:paraId="1636DE9B" w14:textId="77777777" w:rsidTr="0096239B">
        <w:trPr>
          <w:trHeight w:val="727"/>
        </w:trPr>
        <w:tc>
          <w:tcPr>
            <w:tcW w:w="2192" w:type="dxa"/>
            <w:tcBorders>
              <w:top w:val="single" w:sz="4" w:space="0" w:color="auto"/>
              <w:left w:val="single" w:sz="4" w:space="0" w:color="auto"/>
              <w:bottom w:val="single" w:sz="4" w:space="0" w:color="auto"/>
              <w:right w:val="single" w:sz="4" w:space="0" w:color="auto"/>
            </w:tcBorders>
            <w:hideMark/>
          </w:tcPr>
          <w:p w14:paraId="754B0BF5" w14:textId="77777777" w:rsidR="004D69E6" w:rsidRPr="00A96926" w:rsidRDefault="004D69E6" w:rsidP="00A95633">
            <w:pPr>
              <w:spacing w:line="360" w:lineRule="auto"/>
              <w:ind w:right="-188"/>
              <w:jc w:val="both"/>
              <w:rPr>
                <w:rFonts w:ascii="Arial" w:hAnsi="Arial" w:cs="Arial"/>
                <w:b/>
                <w:color w:val="000000" w:themeColor="text1"/>
                <w:sz w:val="22"/>
                <w:szCs w:val="22"/>
              </w:rPr>
            </w:pPr>
            <w:r w:rsidRPr="00A96926">
              <w:rPr>
                <w:rFonts w:ascii="Arial" w:hAnsi="Arial" w:cs="Arial"/>
                <w:b/>
                <w:color w:val="000000" w:themeColor="text1"/>
                <w:sz w:val="22"/>
                <w:szCs w:val="22"/>
              </w:rPr>
              <w:t>Culture platform</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B16B694" w14:textId="77777777" w:rsidR="004D69E6" w:rsidRPr="00A96926" w:rsidRDefault="004D69E6" w:rsidP="0096239B">
            <w:pPr>
              <w:spacing w:line="360" w:lineRule="auto"/>
              <w:ind w:right="-188"/>
              <w:jc w:val="center"/>
              <w:rPr>
                <w:rFonts w:ascii="Arial" w:hAnsi="Arial" w:cs="Arial"/>
                <w:b/>
                <w:color w:val="000000" w:themeColor="text1"/>
                <w:sz w:val="22"/>
                <w:szCs w:val="22"/>
              </w:rPr>
            </w:pPr>
            <w:r w:rsidRPr="00A96926">
              <w:rPr>
                <w:rFonts w:ascii="Arial" w:hAnsi="Arial" w:cs="Arial"/>
                <w:b/>
                <w:color w:val="000000" w:themeColor="text1"/>
                <w:sz w:val="22"/>
                <w:szCs w:val="22"/>
              </w:rPr>
              <w:t>Density per well/dish</w:t>
            </w:r>
          </w:p>
        </w:tc>
        <w:tc>
          <w:tcPr>
            <w:tcW w:w="1659" w:type="dxa"/>
            <w:tcBorders>
              <w:top w:val="single" w:sz="4" w:space="0" w:color="auto"/>
              <w:left w:val="single" w:sz="4" w:space="0" w:color="auto"/>
              <w:bottom w:val="single" w:sz="4" w:space="0" w:color="auto"/>
              <w:right w:val="single" w:sz="4" w:space="0" w:color="auto"/>
            </w:tcBorders>
            <w:vAlign w:val="center"/>
          </w:tcPr>
          <w:p w14:paraId="11674048" w14:textId="77777777" w:rsidR="0096239B" w:rsidRPr="00A96926" w:rsidRDefault="004D69E6" w:rsidP="0096239B">
            <w:pPr>
              <w:spacing w:line="360" w:lineRule="auto"/>
              <w:ind w:right="-188"/>
              <w:jc w:val="center"/>
              <w:rPr>
                <w:rFonts w:ascii="Arial" w:hAnsi="Arial" w:cs="Arial"/>
                <w:b/>
                <w:color w:val="000000" w:themeColor="text1"/>
                <w:sz w:val="22"/>
                <w:szCs w:val="22"/>
              </w:rPr>
            </w:pPr>
            <w:r w:rsidRPr="00A96926">
              <w:rPr>
                <w:rFonts w:ascii="Arial" w:hAnsi="Arial" w:cs="Arial"/>
                <w:b/>
                <w:color w:val="000000" w:themeColor="text1"/>
                <w:sz w:val="22"/>
                <w:szCs w:val="22"/>
              </w:rPr>
              <w:t>Plating</w:t>
            </w:r>
          </w:p>
          <w:p w14:paraId="4119CEF1" w14:textId="77777777" w:rsidR="004D69E6" w:rsidRPr="00A96926" w:rsidRDefault="004D69E6" w:rsidP="0096239B">
            <w:pPr>
              <w:spacing w:line="360" w:lineRule="auto"/>
              <w:ind w:right="-188"/>
              <w:jc w:val="center"/>
              <w:rPr>
                <w:rFonts w:ascii="Arial" w:hAnsi="Arial" w:cs="Arial"/>
                <w:b/>
                <w:color w:val="000000" w:themeColor="text1"/>
                <w:sz w:val="22"/>
                <w:szCs w:val="22"/>
              </w:rPr>
            </w:pPr>
            <w:r w:rsidRPr="00A96926">
              <w:rPr>
                <w:rFonts w:ascii="Arial" w:hAnsi="Arial" w:cs="Arial"/>
                <w:b/>
                <w:color w:val="000000" w:themeColor="text1"/>
                <w:sz w:val="22"/>
                <w:szCs w:val="22"/>
              </w:rPr>
              <w:t>volume</w:t>
            </w:r>
          </w:p>
        </w:tc>
        <w:tc>
          <w:tcPr>
            <w:tcW w:w="1992" w:type="dxa"/>
            <w:tcBorders>
              <w:top w:val="single" w:sz="4" w:space="0" w:color="auto"/>
              <w:left w:val="single" w:sz="4" w:space="0" w:color="auto"/>
              <w:bottom w:val="single" w:sz="4" w:space="0" w:color="auto"/>
              <w:right w:val="single" w:sz="4" w:space="0" w:color="auto"/>
            </w:tcBorders>
            <w:vAlign w:val="center"/>
          </w:tcPr>
          <w:p w14:paraId="1624C3A7" w14:textId="77777777" w:rsidR="004D69E6" w:rsidRPr="00A96926" w:rsidRDefault="004D69E6" w:rsidP="0096239B">
            <w:pPr>
              <w:spacing w:line="360" w:lineRule="auto"/>
              <w:ind w:right="-188"/>
              <w:jc w:val="center"/>
              <w:rPr>
                <w:rFonts w:ascii="Arial" w:hAnsi="Arial" w:cs="Arial"/>
                <w:b/>
                <w:color w:val="000000" w:themeColor="text1"/>
                <w:sz w:val="22"/>
                <w:szCs w:val="22"/>
              </w:rPr>
            </w:pPr>
            <w:r w:rsidRPr="00A96926">
              <w:rPr>
                <w:rFonts w:ascii="Arial" w:hAnsi="Arial" w:cs="Arial"/>
                <w:b/>
                <w:color w:val="000000" w:themeColor="text1"/>
                <w:sz w:val="22"/>
                <w:szCs w:val="22"/>
              </w:rPr>
              <w:t>Differentiation volume (mL)</w:t>
            </w:r>
          </w:p>
        </w:tc>
        <w:tc>
          <w:tcPr>
            <w:tcW w:w="1678" w:type="dxa"/>
            <w:tcBorders>
              <w:top w:val="single" w:sz="4" w:space="0" w:color="auto"/>
              <w:left w:val="single" w:sz="4" w:space="0" w:color="auto"/>
              <w:bottom w:val="single" w:sz="4" w:space="0" w:color="auto"/>
              <w:right w:val="single" w:sz="4" w:space="0" w:color="auto"/>
            </w:tcBorders>
            <w:vAlign w:val="center"/>
          </w:tcPr>
          <w:p w14:paraId="1B7297D1" w14:textId="77777777" w:rsidR="004D69E6" w:rsidRPr="00A96926" w:rsidRDefault="004D69E6" w:rsidP="0096239B">
            <w:pPr>
              <w:spacing w:line="360" w:lineRule="auto"/>
              <w:ind w:right="-188"/>
              <w:jc w:val="center"/>
              <w:rPr>
                <w:rFonts w:ascii="Arial" w:hAnsi="Arial" w:cs="Arial"/>
                <w:b/>
                <w:color w:val="000000" w:themeColor="text1"/>
                <w:sz w:val="22"/>
                <w:szCs w:val="22"/>
              </w:rPr>
            </w:pPr>
            <w:r w:rsidRPr="00A96926">
              <w:rPr>
                <w:rFonts w:ascii="Arial" w:hAnsi="Arial" w:cs="Arial"/>
                <w:b/>
                <w:color w:val="000000" w:themeColor="text1"/>
                <w:sz w:val="22"/>
                <w:szCs w:val="22"/>
              </w:rPr>
              <w:t>Experimental volume (mL)</w:t>
            </w:r>
          </w:p>
        </w:tc>
      </w:tr>
      <w:tr w:rsidR="004D69E6" w:rsidRPr="00A96926" w14:paraId="0D139E9A" w14:textId="77777777" w:rsidTr="0096239B">
        <w:trPr>
          <w:trHeight w:val="358"/>
        </w:trPr>
        <w:tc>
          <w:tcPr>
            <w:tcW w:w="2192" w:type="dxa"/>
            <w:tcBorders>
              <w:top w:val="single" w:sz="4" w:space="0" w:color="auto"/>
              <w:left w:val="single" w:sz="4" w:space="0" w:color="auto"/>
              <w:bottom w:val="single" w:sz="4" w:space="0" w:color="auto"/>
              <w:right w:val="single" w:sz="4" w:space="0" w:color="auto"/>
            </w:tcBorders>
          </w:tcPr>
          <w:p w14:paraId="5206A431" w14:textId="77777777" w:rsidR="004D69E6" w:rsidRPr="00A96926" w:rsidRDefault="004D69E6" w:rsidP="0096239B">
            <w:pPr>
              <w:spacing w:line="360" w:lineRule="auto"/>
              <w:ind w:right="-188"/>
              <w:rPr>
                <w:rFonts w:ascii="Arial" w:hAnsi="Arial" w:cs="Arial"/>
                <w:color w:val="000000" w:themeColor="text1"/>
                <w:sz w:val="22"/>
                <w:szCs w:val="22"/>
              </w:rPr>
            </w:pPr>
            <w:r w:rsidRPr="00A96926">
              <w:rPr>
                <w:rFonts w:ascii="Arial" w:hAnsi="Arial" w:cs="Arial"/>
                <w:color w:val="000000" w:themeColor="text1"/>
                <w:sz w:val="22"/>
                <w:szCs w:val="22"/>
              </w:rPr>
              <w:t>T75 flask</w:t>
            </w:r>
          </w:p>
        </w:tc>
        <w:tc>
          <w:tcPr>
            <w:tcW w:w="1494" w:type="dxa"/>
            <w:tcBorders>
              <w:top w:val="single" w:sz="4" w:space="0" w:color="auto"/>
              <w:left w:val="single" w:sz="4" w:space="0" w:color="auto"/>
              <w:bottom w:val="single" w:sz="4" w:space="0" w:color="auto"/>
              <w:right w:val="single" w:sz="4" w:space="0" w:color="auto"/>
            </w:tcBorders>
            <w:vAlign w:val="center"/>
          </w:tcPr>
          <w:p w14:paraId="63D5DB5E"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1 x 10</w:t>
            </w:r>
            <w:r w:rsidRPr="00A96926">
              <w:rPr>
                <w:rFonts w:ascii="Arial" w:hAnsi="Arial" w:cs="Arial"/>
                <w:color w:val="000000" w:themeColor="text1"/>
                <w:sz w:val="22"/>
                <w:szCs w:val="22"/>
                <w:vertAlign w:val="superscript"/>
              </w:rPr>
              <w:t>6</w:t>
            </w:r>
          </w:p>
        </w:tc>
        <w:tc>
          <w:tcPr>
            <w:tcW w:w="1659" w:type="dxa"/>
            <w:tcBorders>
              <w:top w:val="single" w:sz="4" w:space="0" w:color="auto"/>
              <w:left w:val="single" w:sz="4" w:space="0" w:color="auto"/>
              <w:bottom w:val="single" w:sz="4" w:space="0" w:color="auto"/>
              <w:right w:val="single" w:sz="4" w:space="0" w:color="auto"/>
            </w:tcBorders>
            <w:vAlign w:val="center"/>
          </w:tcPr>
          <w:p w14:paraId="1E4D90BF"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10 mL</w:t>
            </w:r>
          </w:p>
        </w:tc>
        <w:tc>
          <w:tcPr>
            <w:tcW w:w="1992" w:type="dxa"/>
            <w:tcBorders>
              <w:top w:val="single" w:sz="4" w:space="0" w:color="auto"/>
              <w:left w:val="single" w:sz="4" w:space="0" w:color="auto"/>
              <w:bottom w:val="single" w:sz="4" w:space="0" w:color="auto"/>
              <w:right w:val="single" w:sz="4" w:space="0" w:color="auto"/>
            </w:tcBorders>
            <w:vAlign w:val="center"/>
          </w:tcPr>
          <w:p w14:paraId="20B6C2EF"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w:t>
            </w:r>
          </w:p>
        </w:tc>
        <w:tc>
          <w:tcPr>
            <w:tcW w:w="1678" w:type="dxa"/>
            <w:tcBorders>
              <w:top w:val="single" w:sz="4" w:space="0" w:color="auto"/>
              <w:left w:val="single" w:sz="4" w:space="0" w:color="auto"/>
              <w:bottom w:val="single" w:sz="4" w:space="0" w:color="auto"/>
              <w:right w:val="single" w:sz="4" w:space="0" w:color="auto"/>
            </w:tcBorders>
            <w:vAlign w:val="center"/>
          </w:tcPr>
          <w:p w14:paraId="1E61129C"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w:t>
            </w:r>
          </w:p>
        </w:tc>
      </w:tr>
      <w:tr w:rsidR="004D69E6" w:rsidRPr="00A96926" w14:paraId="3776DAE2" w14:textId="77777777" w:rsidTr="0096239B">
        <w:trPr>
          <w:trHeight w:val="369"/>
        </w:trPr>
        <w:tc>
          <w:tcPr>
            <w:tcW w:w="2192" w:type="dxa"/>
            <w:tcBorders>
              <w:top w:val="single" w:sz="4" w:space="0" w:color="auto"/>
              <w:left w:val="single" w:sz="4" w:space="0" w:color="auto"/>
              <w:bottom w:val="single" w:sz="4" w:space="0" w:color="auto"/>
              <w:right w:val="single" w:sz="4" w:space="0" w:color="auto"/>
            </w:tcBorders>
            <w:hideMark/>
          </w:tcPr>
          <w:p w14:paraId="44B828B3" w14:textId="77777777" w:rsidR="004D69E6" w:rsidRPr="00A96926" w:rsidRDefault="004D69E6" w:rsidP="0096239B">
            <w:pPr>
              <w:spacing w:line="360" w:lineRule="auto"/>
              <w:ind w:right="-188"/>
              <w:rPr>
                <w:rFonts w:ascii="Arial" w:hAnsi="Arial" w:cs="Arial"/>
                <w:color w:val="000000" w:themeColor="text1"/>
                <w:sz w:val="22"/>
                <w:szCs w:val="22"/>
              </w:rPr>
            </w:pPr>
            <w:r w:rsidRPr="00A96926">
              <w:rPr>
                <w:rFonts w:ascii="Arial" w:hAnsi="Arial" w:cs="Arial"/>
                <w:color w:val="000000" w:themeColor="text1"/>
                <w:sz w:val="22"/>
                <w:szCs w:val="22"/>
              </w:rPr>
              <w:t>60 mm dish</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7FE420D" w14:textId="77777777" w:rsidR="004D69E6" w:rsidRPr="00A96926" w:rsidRDefault="004D69E6" w:rsidP="0096239B">
            <w:pPr>
              <w:spacing w:line="360" w:lineRule="auto"/>
              <w:ind w:right="-188"/>
              <w:jc w:val="center"/>
              <w:rPr>
                <w:rFonts w:ascii="Arial" w:hAnsi="Arial" w:cs="Arial"/>
                <w:color w:val="000000" w:themeColor="text1"/>
                <w:sz w:val="22"/>
                <w:szCs w:val="22"/>
                <w:vertAlign w:val="superscript"/>
              </w:rPr>
            </w:pPr>
            <w:r w:rsidRPr="00A96926">
              <w:rPr>
                <w:rFonts w:ascii="Arial" w:hAnsi="Arial" w:cs="Arial"/>
                <w:color w:val="000000" w:themeColor="text1"/>
                <w:sz w:val="22"/>
                <w:szCs w:val="22"/>
              </w:rPr>
              <w:t>2 x 10</w:t>
            </w:r>
            <w:r w:rsidRPr="00A96926">
              <w:rPr>
                <w:rFonts w:ascii="Arial" w:hAnsi="Arial" w:cs="Arial"/>
                <w:color w:val="000000" w:themeColor="text1"/>
                <w:sz w:val="22"/>
                <w:szCs w:val="22"/>
                <w:vertAlign w:val="superscript"/>
              </w:rPr>
              <w:t>5</w:t>
            </w:r>
          </w:p>
        </w:tc>
        <w:tc>
          <w:tcPr>
            <w:tcW w:w="1659" w:type="dxa"/>
            <w:tcBorders>
              <w:top w:val="single" w:sz="4" w:space="0" w:color="auto"/>
              <w:left w:val="single" w:sz="4" w:space="0" w:color="auto"/>
              <w:bottom w:val="single" w:sz="4" w:space="0" w:color="auto"/>
              <w:right w:val="single" w:sz="4" w:space="0" w:color="auto"/>
            </w:tcBorders>
            <w:vAlign w:val="center"/>
          </w:tcPr>
          <w:p w14:paraId="2038E390"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5 mL</w:t>
            </w:r>
          </w:p>
        </w:tc>
        <w:tc>
          <w:tcPr>
            <w:tcW w:w="1992" w:type="dxa"/>
            <w:tcBorders>
              <w:top w:val="single" w:sz="4" w:space="0" w:color="auto"/>
              <w:left w:val="single" w:sz="4" w:space="0" w:color="auto"/>
              <w:bottom w:val="single" w:sz="4" w:space="0" w:color="auto"/>
              <w:right w:val="single" w:sz="4" w:space="0" w:color="auto"/>
            </w:tcBorders>
            <w:vAlign w:val="center"/>
          </w:tcPr>
          <w:p w14:paraId="417EC1EF"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3 mL</w:t>
            </w:r>
          </w:p>
        </w:tc>
        <w:tc>
          <w:tcPr>
            <w:tcW w:w="1678" w:type="dxa"/>
            <w:tcBorders>
              <w:top w:val="single" w:sz="4" w:space="0" w:color="auto"/>
              <w:left w:val="single" w:sz="4" w:space="0" w:color="auto"/>
              <w:bottom w:val="single" w:sz="4" w:space="0" w:color="auto"/>
              <w:right w:val="single" w:sz="4" w:space="0" w:color="auto"/>
            </w:tcBorders>
            <w:vAlign w:val="center"/>
          </w:tcPr>
          <w:p w14:paraId="36E2D7A0"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1.5 mL</w:t>
            </w:r>
          </w:p>
        </w:tc>
      </w:tr>
      <w:tr w:rsidR="004D69E6" w:rsidRPr="00A96926" w14:paraId="5935C4D7" w14:textId="77777777" w:rsidTr="0096239B">
        <w:trPr>
          <w:trHeight w:val="727"/>
        </w:trPr>
        <w:tc>
          <w:tcPr>
            <w:tcW w:w="2192" w:type="dxa"/>
            <w:tcBorders>
              <w:top w:val="single" w:sz="4" w:space="0" w:color="auto"/>
              <w:left w:val="single" w:sz="4" w:space="0" w:color="auto"/>
              <w:bottom w:val="single" w:sz="4" w:space="0" w:color="auto"/>
              <w:right w:val="single" w:sz="4" w:space="0" w:color="auto"/>
            </w:tcBorders>
            <w:hideMark/>
          </w:tcPr>
          <w:p w14:paraId="65B7EE0F" w14:textId="77777777" w:rsidR="004D69E6" w:rsidRPr="00A96926" w:rsidRDefault="004D69E6" w:rsidP="0096239B">
            <w:pPr>
              <w:spacing w:line="360" w:lineRule="auto"/>
              <w:ind w:right="-188"/>
              <w:rPr>
                <w:rFonts w:ascii="Arial" w:hAnsi="Arial" w:cs="Arial"/>
                <w:color w:val="000000" w:themeColor="text1"/>
                <w:sz w:val="22"/>
                <w:szCs w:val="22"/>
              </w:rPr>
            </w:pPr>
            <w:r w:rsidRPr="00A96926">
              <w:rPr>
                <w:rFonts w:ascii="Arial" w:hAnsi="Arial" w:cs="Arial"/>
                <w:color w:val="000000" w:themeColor="text1"/>
                <w:sz w:val="22"/>
                <w:szCs w:val="22"/>
              </w:rPr>
              <w:t>F-bottom 96 well plate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C34AD1C" w14:textId="77777777" w:rsidR="004D69E6" w:rsidRPr="00A96926" w:rsidRDefault="004D69E6" w:rsidP="0096239B">
            <w:pPr>
              <w:spacing w:line="360" w:lineRule="auto"/>
              <w:ind w:right="-188"/>
              <w:jc w:val="center"/>
              <w:rPr>
                <w:rFonts w:ascii="Arial" w:hAnsi="Arial" w:cs="Arial"/>
                <w:color w:val="000000" w:themeColor="text1"/>
                <w:sz w:val="22"/>
                <w:szCs w:val="22"/>
                <w:vertAlign w:val="superscript"/>
              </w:rPr>
            </w:pPr>
            <w:r w:rsidRPr="00A96926">
              <w:rPr>
                <w:rFonts w:ascii="Arial" w:hAnsi="Arial" w:cs="Arial"/>
                <w:color w:val="000000" w:themeColor="text1"/>
                <w:sz w:val="22"/>
                <w:szCs w:val="22"/>
              </w:rPr>
              <w:t>5 x 10</w:t>
            </w:r>
            <w:r w:rsidRPr="00A96926">
              <w:rPr>
                <w:rFonts w:ascii="Arial" w:hAnsi="Arial" w:cs="Arial"/>
                <w:color w:val="000000" w:themeColor="text1"/>
                <w:sz w:val="22"/>
                <w:szCs w:val="22"/>
                <w:vertAlign w:val="superscript"/>
              </w:rPr>
              <w:t>3</w:t>
            </w:r>
          </w:p>
        </w:tc>
        <w:tc>
          <w:tcPr>
            <w:tcW w:w="1659" w:type="dxa"/>
            <w:tcBorders>
              <w:top w:val="single" w:sz="4" w:space="0" w:color="auto"/>
              <w:left w:val="single" w:sz="4" w:space="0" w:color="auto"/>
              <w:bottom w:val="single" w:sz="4" w:space="0" w:color="auto"/>
              <w:right w:val="single" w:sz="4" w:space="0" w:color="auto"/>
            </w:tcBorders>
            <w:vAlign w:val="center"/>
          </w:tcPr>
          <w:p w14:paraId="6BE1E815"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200 µL</w:t>
            </w:r>
          </w:p>
        </w:tc>
        <w:tc>
          <w:tcPr>
            <w:tcW w:w="1992" w:type="dxa"/>
            <w:tcBorders>
              <w:top w:val="single" w:sz="4" w:space="0" w:color="auto"/>
              <w:left w:val="single" w:sz="4" w:space="0" w:color="auto"/>
              <w:bottom w:val="single" w:sz="4" w:space="0" w:color="auto"/>
              <w:right w:val="single" w:sz="4" w:space="0" w:color="auto"/>
            </w:tcBorders>
            <w:vAlign w:val="center"/>
          </w:tcPr>
          <w:p w14:paraId="54915075"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200 µL</w:t>
            </w:r>
          </w:p>
        </w:tc>
        <w:tc>
          <w:tcPr>
            <w:tcW w:w="1678" w:type="dxa"/>
            <w:tcBorders>
              <w:top w:val="single" w:sz="4" w:space="0" w:color="auto"/>
              <w:left w:val="single" w:sz="4" w:space="0" w:color="auto"/>
              <w:bottom w:val="single" w:sz="4" w:space="0" w:color="auto"/>
              <w:right w:val="single" w:sz="4" w:space="0" w:color="auto"/>
            </w:tcBorders>
            <w:vAlign w:val="center"/>
          </w:tcPr>
          <w:p w14:paraId="65C888D2"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50-200 µL</w:t>
            </w:r>
          </w:p>
        </w:tc>
      </w:tr>
      <w:tr w:rsidR="004D69E6" w:rsidRPr="00A96926" w14:paraId="49095B8E" w14:textId="77777777" w:rsidTr="0096239B">
        <w:trPr>
          <w:trHeight w:val="727"/>
        </w:trPr>
        <w:tc>
          <w:tcPr>
            <w:tcW w:w="2192" w:type="dxa"/>
            <w:tcBorders>
              <w:top w:val="single" w:sz="4" w:space="0" w:color="auto"/>
              <w:left w:val="single" w:sz="4" w:space="0" w:color="auto"/>
              <w:bottom w:val="single" w:sz="4" w:space="0" w:color="auto"/>
              <w:right w:val="single" w:sz="4" w:space="0" w:color="auto"/>
            </w:tcBorders>
            <w:hideMark/>
          </w:tcPr>
          <w:p w14:paraId="7ECD632A" w14:textId="77777777" w:rsidR="004D69E6" w:rsidRPr="00A96926" w:rsidRDefault="004D69E6" w:rsidP="0096239B">
            <w:pPr>
              <w:spacing w:line="360" w:lineRule="auto"/>
              <w:ind w:right="-188"/>
              <w:rPr>
                <w:rFonts w:ascii="Arial" w:hAnsi="Arial" w:cs="Arial"/>
                <w:color w:val="000000" w:themeColor="text1"/>
                <w:sz w:val="22"/>
                <w:szCs w:val="22"/>
              </w:rPr>
            </w:pPr>
            <w:r w:rsidRPr="00A96926">
              <w:rPr>
                <w:rFonts w:ascii="Arial" w:hAnsi="Arial" w:cs="Arial"/>
                <w:color w:val="000000" w:themeColor="text1"/>
                <w:sz w:val="22"/>
                <w:szCs w:val="22"/>
              </w:rPr>
              <w:t>Seahorse XFe96 microplate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8623427" w14:textId="77777777" w:rsidR="004D69E6" w:rsidRPr="00A96926" w:rsidRDefault="004D69E6" w:rsidP="0096239B">
            <w:pPr>
              <w:spacing w:line="360" w:lineRule="auto"/>
              <w:ind w:right="-188"/>
              <w:jc w:val="center"/>
              <w:rPr>
                <w:rFonts w:ascii="Arial" w:hAnsi="Arial" w:cs="Arial"/>
                <w:color w:val="000000" w:themeColor="text1"/>
                <w:sz w:val="22"/>
                <w:szCs w:val="22"/>
                <w:vertAlign w:val="superscript"/>
              </w:rPr>
            </w:pPr>
            <w:r w:rsidRPr="00A96926">
              <w:rPr>
                <w:rFonts w:ascii="Arial" w:hAnsi="Arial" w:cs="Arial"/>
                <w:color w:val="000000" w:themeColor="text1"/>
                <w:sz w:val="22"/>
                <w:szCs w:val="22"/>
              </w:rPr>
              <w:t>3 x 10</w:t>
            </w:r>
            <w:r w:rsidRPr="00A96926">
              <w:rPr>
                <w:rFonts w:ascii="Arial" w:hAnsi="Arial" w:cs="Arial"/>
                <w:color w:val="000000" w:themeColor="text1"/>
                <w:sz w:val="22"/>
                <w:szCs w:val="22"/>
                <w:vertAlign w:val="superscript"/>
              </w:rPr>
              <w:t>3</w:t>
            </w:r>
          </w:p>
        </w:tc>
        <w:tc>
          <w:tcPr>
            <w:tcW w:w="1659" w:type="dxa"/>
            <w:tcBorders>
              <w:top w:val="single" w:sz="4" w:space="0" w:color="auto"/>
              <w:left w:val="single" w:sz="4" w:space="0" w:color="auto"/>
              <w:bottom w:val="single" w:sz="4" w:space="0" w:color="auto"/>
              <w:right w:val="single" w:sz="4" w:space="0" w:color="auto"/>
            </w:tcBorders>
            <w:vAlign w:val="center"/>
          </w:tcPr>
          <w:p w14:paraId="5A77733D"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200 µL</w:t>
            </w:r>
          </w:p>
        </w:tc>
        <w:tc>
          <w:tcPr>
            <w:tcW w:w="1992" w:type="dxa"/>
            <w:tcBorders>
              <w:top w:val="single" w:sz="4" w:space="0" w:color="auto"/>
              <w:left w:val="single" w:sz="4" w:space="0" w:color="auto"/>
              <w:bottom w:val="single" w:sz="4" w:space="0" w:color="auto"/>
              <w:right w:val="single" w:sz="4" w:space="0" w:color="auto"/>
            </w:tcBorders>
            <w:vAlign w:val="center"/>
          </w:tcPr>
          <w:p w14:paraId="338CD868"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200 µL</w:t>
            </w:r>
          </w:p>
        </w:tc>
        <w:tc>
          <w:tcPr>
            <w:tcW w:w="1678" w:type="dxa"/>
            <w:tcBorders>
              <w:top w:val="single" w:sz="4" w:space="0" w:color="auto"/>
              <w:left w:val="single" w:sz="4" w:space="0" w:color="auto"/>
              <w:bottom w:val="single" w:sz="4" w:space="0" w:color="auto"/>
              <w:right w:val="single" w:sz="4" w:space="0" w:color="auto"/>
            </w:tcBorders>
            <w:vAlign w:val="center"/>
          </w:tcPr>
          <w:p w14:paraId="3D56E12D" w14:textId="77777777" w:rsidR="004D69E6" w:rsidRPr="00A96926" w:rsidRDefault="004D69E6" w:rsidP="0096239B">
            <w:pPr>
              <w:spacing w:line="360" w:lineRule="auto"/>
              <w:ind w:right="-188"/>
              <w:jc w:val="center"/>
              <w:rPr>
                <w:rFonts w:ascii="Arial" w:hAnsi="Arial" w:cs="Arial"/>
                <w:color w:val="000000" w:themeColor="text1"/>
                <w:sz w:val="22"/>
                <w:szCs w:val="22"/>
              </w:rPr>
            </w:pPr>
            <w:r w:rsidRPr="00A96926">
              <w:rPr>
                <w:rFonts w:ascii="Arial" w:hAnsi="Arial" w:cs="Arial"/>
                <w:color w:val="000000" w:themeColor="text1"/>
                <w:sz w:val="22"/>
                <w:szCs w:val="22"/>
              </w:rPr>
              <w:t>180 µL</w:t>
            </w:r>
          </w:p>
        </w:tc>
      </w:tr>
    </w:tbl>
    <w:p w14:paraId="1B538C2C" w14:textId="77777777" w:rsidR="00FA24D8" w:rsidRPr="00A96926" w:rsidRDefault="00FA24D8" w:rsidP="00A95633">
      <w:pPr>
        <w:spacing w:line="360" w:lineRule="auto"/>
        <w:jc w:val="both"/>
        <w:rPr>
          <w:rFonts w:ascii="Arial" w:hAnsi="Arial" w:cs="Arial"/>
          <w:b/>
          <w:i/>
          <w:iCs/>
          <w:color w:val="000000" w:themeColor="text1"/>
        </w:rPr>
      </w:pPr>
    </w:p>
    <w:p w14:paraId="070A391F" w14:textId="75B0D11F" w:rsidR="00504D0C" w:rsidRPr="00A96926" w:rsidRDefault="00504D0C" w:rsidP="00A95633">
      <w:pPr>
        <w:spacing w:line="360" w:lineRule="auto"/>
        <w:jc w:val="both"/>
        <w:rPr>
          <w:rFonts w:ascii="Arial" w:hAnsi="Arial" w:cs="Arial"/>
          <w:b/>
          <w:i/>
          <w:iCs/>
          <w:color w:val="000000" w:themeColor="text1"/>
        </w:rPr>
      </w:pPr>
      <w:r w:rsidRPr="00A96926">
        <w:rPr>
          <w:rFonts w:ascii="Arial" w:hAnsi="Arial" w:cs="Arial"/>
          <w:b/>
          <w:i/>
          <w:iCs/>
          <w:color w:val="000000" w:themeColor="text1"/>
        </w:rPr>
        <w:lastRenderedPageBreak/>
        <w:t>Immunoblotting</w:t>
      </w:r>
    </w:p>
    <w:p w14:paraId="2E3E0845" w14:textId="77777777" w:rsidR="0066704E" w:rsidRPr="00A96926" w:rsidRDefault="0066704E" w:rsidP="00A95633">
      <w:pPr>
        <w:spacing w:line="360" w:lineRule="auto"/>
        <w:jc w:val="both"/>
        <w:rPr>
          <w:rFonts w:ascii="Arial" w:hAnsi="Arial" w:cs="Arial"/>
        </w:rPr>
      </w:pPr>
      <w:r w:rsidRPr="00A96926">
        <w:rPr>
          <w:rFonts w:ascii="Arial" w:hAnsi="Arial" w:cs="Arial"/>
        </w:rPr>
        <w:t xml:space="preserve">Lysis buffer used to lyse cells was comprised of: 25 </w:t>
      </w:r>
      <w:proofErr w:type="spellStart"/>
      <w:r w:rsidRPr="00A96926">
        <w:rPr>
          <w:rFonts w:ascii="Arial" w:hAnsi="Arial" w:cs="Arial"/>
        </w:rPr>
        <w:t>mM</w:t>
      </w:r>
      <w:proofErr w:type="spellEnd"/>
      <w:r w:rsidRPr="00A96926">
        <w:rPr>
          <w:rFonts w:ascii="Arial" w:hAnsi="Arial" w:cs="Arial"/>
        </w:rPr>
        <w:t xml:space="preserve"> </w:t>
      </w:r>
      <w:proofErr w:type="spellStart"/>
      <w:r w:rsidRPr="00A96926">
        <w:rPr>
          <w:rFonts w:ascii="Arial" w:hAnsi="Arial" w:cs="Arial"/>
        </w:rPr>
        <w:t>Tris</w:t>
      </w:r>
      <w:proofErr w:type="spellEnd"/>
      <w:r w:rsidRPr="00A96926">
        <w:rPr>
          <w:rFonts w:ascii="Arial" w:hAnsi="Arial" w:cs="Arial"/>
        </w:rPr>
        <w:t xml:space="preserve"> HCL pH 7.4, 50 </w:t>
      </w:r>
      <w:proofErr w:type="spellStart"/>
      <w:r w:rsidRPr="00A96926">
        <w:rPr>
          <w:rFonts w:ascii="Arial" w:hAnsi="Arial" w:cs="Arial"/>
        </w:rPr>
        <w:t>mM</w:t>
      </w:r>
      <w:proofErr w:type="spellEnd"/>
      <w:r w:rsidRPr="00A96926">
        <w:rPr>
          <w:rFonts w:ascii="Arial" w:hAnsi="Arial" w:cs="Arial"/>
        </w:rPr>
        <w:t xml:space="preserve"> sodium fluoride, 100 </w:t>
      </w:r>
      <w:proofErr w:type="spellStart"/>
      <w:r w:rsidRPr="00A96926">
        <w:rPr>
          <w:rFonts w:ascii="Arial" w:hAnsi="Arial" w:cs="Arial"/>
        </w:rPr>
        <w:t>mM</w:t>
      </w:r>
      <w:proofErr w:type="spellEnd"/>
      <w:r w:rsidRPr="00A96926">
        <w:rPr>
          <w:rFonts w:ascii="Arial" w:hAnsi="Arial" w:cs="Arial"/>
        </w:rPr>
        <w:t xml:space="preserve"> sodium chloride, 1 </w:t>
      </w:r>
      <w:proofErr w:type="spellStart"/>
      <w:r w:rsidRPr="00A96926">
        <w:rPr>
          <w:rFonts w:ascii="Arial" w:hAnsi="Arial" w:cs="Arial"/>
        </w:rPr>
        <w:t>mM</w:t>
      </w:r>
      <w:proofErr w:type="spellEnd"/>
      <w:r w:rsidRPr="00A96926">
        <w:rPr>
          <w:rFonts w:ascii="Arial" w:hAnsi="Arial" w:cs="Arial"/>
        </w:rPr>
        <w:t xml:space="preserve"> EDTA pH 8, 1 % (v/v) Triton 100x, 10 </w:t>
      </w:r>
      <w:proofErr w:type="spellStart"/>
      <w:r w:rsidRPr="00A96926">
        <w:rPr>
          <w:rFonts w:ascii="Arial" w:hAnsi="Arial" w:cs="Arial"/>
        </w:rPr>
        <w:t>mM</w:t>
      </w:r>
      <w:proofErr w:type="spellEnd"/>
      <w:r w:rsidRPr="00A96926">
        <w:rPr>
          <w:rFonts w:ascii="Arial" w:hAnsi="Arial" w:cs="Arial"/>
        </w:rPr>
        <w:t xml:space="preserve"> </w:t>
      </w:r>
      <w:proofErr w:type="spellStart"/>
      <w:r w:rsidRPr="00A96926">
        <w:rPr>
          <w:rFonts w:ascii="Arial" w:hAnsi="Arial" w:cs="Arial"/>
        </w:rPr>
        <w:t>tetrasodium</w:t>
      </w:r>
      <w:proofErr w:type="spellEnd"/>
      <w:r w:rsidRPr="00A96926">
        <w:rPr>
          <w:rFonts w:ascii="Arial" w:hAnsi="Arial" w:cs="Arial"/>
        </w:rPr>
        <w:t xml:space="preserve"> pyrophosphate supplemented with 268.7 </w:t>
      </w:r>
      <w:proofErr w:type="spellStart"/>
      <w:r w:rsidRPr="00A96926">
        <w:rPr>
          <w:rFonts w:ascii="Arial" w:hAnsi="Arial" w:cs="Arial"/>
        </w:rPr>
        <w:t>mM</w:t>
      </w:r>
      <w:proofErr w:type="spellEnd"/>
      <w:r w:rsidRPr="00A96926">
        <w:rPr>
          <w:rFonts w:ascii="Arial" w:hAnsi="Arial" w:cs="Arial"/>
        </w:rPr>
        <w:t xml:space="preserve"> sucrose, </w:t>
      </w:r>
      <w:r w:rsidR="004F6F28" w:rsidRPr="00A96926">
        <w:rPr>
          <w:rFonts w:ascii="Arial" w:hAnsi="Arial" w:cs="Arial"/>
        </w:rPr>
        <w:t xml:space="preserve">0.1 % (v/v) 2-mercaptoethanol, 1 </w:t>
      </w:r>
      <w:proofErr w:type="spellStart"/>
      <w:r w:rsidR="004F6F28" w:rsidRPr="00A96926">
        <w:rPr>
          <w:rFonts w:ascii="Arial" w:hAnsi="Arial" w:cs="Arial"/>
        </w:rPr>
        <w:t>mM</w:t>
      </w:r>
      <w:proofErr w:type="spellEnd"/>
      <w:r w:rsidR="004F6F28" w:rsidRPr="00A96926">
        <w:rPr>
          <w:rFonts w:ascii="Arial" w:hAnsi="Arial" w:cs="Arial"/>
        </w:rPr>
        <w:t xml:space="preserve"> sodium </w:t>
      </w:r>
      <w:proofErr w:type="spellStart"/>
      <w:r w:rsidR="004F6F28" w:rsidRPr="00A96926">
        <w:rPr>
          <w:rFonts w:ascii="Arial" w:hAnsi="Arial" w:cs="Arial"/>
        </w:rPr>
        <w:t>orthovanadate</w:t>
      </w:r>
      <w:proofErr w:type="spellEnd"/>
      <w:r w:rsidR="004F6F28" w:rsidRPr="00A96926">
        <w:rPr>
          <w:rFonts w:ascii="Arial" w:hAnsi="Arial" w:cs="Arial"/>
        </w:rPr>
        <w:t xml:space="preserve">, 1 </w:t>
      </w:r>
      <w:proofErr w:type="spellStart"/>
      <w:r w:rsidR="004F6F28" w:rsidRPr="00A96926">
        <w:rPr>
          <w:rFonts w:ascii="Arial" w:hAnsi="Arial" w:cs="Arial"/>
        </w:rPr>
        <w:t>mM</w:t>
      </w:r>
      <w:proofErr w:type="spellEnd"/>
      <w:r w:rsidR="004F6F28" w:rsidRPr="00A96926">
        <w:rPr>
          <w:rFonts w:ascii="Arial" w:hAnsi="Arial" w:cs="Arial"/>
        </w:rPr>
        <w:t xml:space="preserve"> </w:t>
      </w:r>
      <w:proofErr w:type="spellStart"/>
      <w:r w:rsidR="004F6F28" w:rsidRPr="00A96926">
        <w:rPr>
          <w:rFonts w:ascii="Arial" w:hAnsi="Arial" w:cs="Arial"/>
        </w:rPr>
        <w:t>benzamidine</w:t>
      </w:r>
      <w:proofErr w:type="spellEnd"/>
      <w:r w:rsidR="004F6F28" w:rsidRPr="00A96926">
        <w:rPr>
          <w:rFonts w:ascii="Arial" w:hAnsi="Arial" w:cs="Arial"/>
        </w:rPr>
        <w:t xml:space="preserve"> and 1 </w:t>
      </w:r>
      <w:proofErr w:type="spellStart"/>
      <w:r w:rsidR="004F6F28" w:rsidRPr="00A96926">
        <w:rPr>
          <w:rFonts w:ascii="Arial" w:hAnsi="Arial" w:cs="Arial"/>
        </w:rPr>
        <w:t>mM</w:t>
      </w:r>
      <w:proofErr w:type="spellEnd"/>
      <w:r w:rsidR="004F6F28" w:rsidRPr="00A96926">
        <w:rPr>
          <w:rFonts w:ascii="Arial" w:hAnsi="Arial" w:cs="Arial"/>
        </w:rPr>
        <w:t xml:space="preserve"> </w:t>
      </w:r>
      <w:proofErr w:type="spellStart"/>
      <w:r w:rsidR="004F6F28" w:rsidRPr="00A96926">
        <w:rPr>
          <w:rFonts w:ascii="Arial" w:hAnsi="Arial" w:cs="Arial"/>
        </w:rPr>
        <w:t>phenylmethylsulfonyl</w:t>
      </w:r>
      <w:proofErr w:type="spellEnd"/>
      <w:r w:rsidR="004F6F28" w:rsidRPr="00A96926">
        <w:rPr>
          <w:rFonts w:ascii="Arial" w:hAnsi="Arial" w:cs="Arial"/>
        </w:rPr>
        <w:t xml:space="preserve"> fluoride.</w:t>
      </w:r>
    </w:p>
    <w:p w14:paraId="1CD006C6" w14:textId="77777777" w:rsidR="001A383F" w:rsidRPr="00A96926" w:rsidRDefault="001A383F" w:rsidP="00A95633">
      <w:pPr>
        <w:spacing w:line="360" w:lineRule="auto"/>
        <w:jc w:val="both"/>
        <w:rPr>
          <w:rFonts w:ascii="Arial" w:hAnsi="Arial" w:cs="Arial"/>
        </w:rPr>
      </w:pPr>
      <w:r w:rsidRPr="00A96926">
        <w:rPr>
          <w:rFonts w:ascii="Arial" w:hAnsi="Arial" w:cs="Arial"/>
        </w:rPr>
        <w:t xml:space="preserve">Primary antibodies used were: </w:t>
      </w:r>
      <w:r w:rsidR="004D69E6" w:rsidRPr="00A96926">
        <w:rPr>
          <w:rFonts w:ascii="Arial" w:hAnsi="Arial" w:cs="Arial"/>
          <w:color w:val="000000" w:themeColor="text1"/>
        </w:rPr>
        <w:t xml:space="preserve">pS473 PKB (1:1000; #9271); total PKB (1:1000; # 9272); pT389 p70S6K1 (1:1000; #9205); total p70S6K1 (1:000; # 9202); p44/42 MAPK (ERK1/2) (1:1000; #4370) </w:t>
      </w:r>
      <w:r w:rsidRPr="00A96926">
        <w:rPr>
          <w:rFonts w:ascii="Arial" w:hAnsi="Arial" w:cs="Arial"/>
        </w:rPr>
        <w:t xml:space="preserve">from Cell </w:t>
      </w:r>
      <w:proofErr w:type="spellStart"/>
      <w:r w:rsidR="00910FCF" w:rsidRPr="00A96926">
        <w:rPr>
          <w:rFonts w:ascii="Arial" w:hAnsi="Arial" w:cs="Arial"/>
        </w:rPr>
        <w:t>Signaling</w:t>
      </w:r>
      <w:proofErr w:type="spellEnd"/>
      <w:r w:rsidRPr="00A96926">
        <w:rPr>
          <w:rFonts w:ascii="Arial" w:hAnsi="Arial" w:cs="Arial"/>
        </w:rPr>
        <w:t xml:space="preserve"> Technologies.</w:t>
      </w:r>
      <w:r w:rsidR="004D69E6" w:rsidRPr="00A96926">
        <w:rPr>
          <w:rFonts w:ascii="Arial" w:hAnsi="Arial" w:cs="Arial"/>
        </w:rPr>
        <w:t xml:space="preserve"> Total </w:t>
      </w:r>
      <w:r w:rsidR="004D69E6" w:rsidRPr="00A96926">
        <w:rPr>
          <w:rFonts w:ascii="Arial" w:hAnsi="Arial" w:cs="Arial"/>
          <w:color w:val="000000" w:themeColor="text1"/>
        </w:rPr>
        <w:t>β-Actin (1:10000; #NB600-501) from Bio-</w:t>
      </w:r>
      <w:proofErr w:type="spellStart"/>
      <w:r w:rsidR="004D69E6" w:rsidRPr="00A96926">
        <w:rPr>
          <w:rFonts w:ascii="Arial" w:hAnsi="Arial" w:cs="Arial"/>
          <w:color w:val="000000" w:themeColor="text1"/>
        </w:rPr>
        <w:t>techne</w:t>
      </w:r>
      <w:proofErr w:type="spellEnd"/>
      <w:r w:rsidR="004D69E6" w:rsidRPr="00A96926">
        <w:rPr>
          <w:rFonts w:ascii="Arial" w:hAnsi="Arial" w:cs="Arial"/>
          <w:color w:val="000000" w:themeColor="text1"/>
        </w:rPr>
        <w:t xml:space="preserve"> and GAPDH (1:10000</w:t>
      </w:r>
      <w:r w:rsidR="00C16BF2" w:rsidRPr="00A96926">
        <w:rPr>
          <w:rFonts w:ascii="Arial" w:hAnsi="Arial" w:cs="Arial"/>
          <w:color w:val="000000" w:themeColor="text1"/>
        </w:rPr>
        <w:t xml:space="preserve">; #G9545) from Sigma Aldrich. Secondary antibodies used were: Alexa Fluor 680 goat anti-mouse IgG (1:10000; #A21057) from </w:t>
      </w:r>
      <w:proofErr w:type="spellStart"/>
      <w:r w:rsidR="00C16BF2" w:rsidRPr="00A96926">
        <w:rPr>
          <w:rFonts w:ascii="Arial" w:hAnsi="Arial" w:cs="Arial"/>
          <w:color w:val="000000" w:themeColor="text1"/>
        </w:rPr>
        <w:t>Thermo</w:t>
      </w:r>
      <w:proofErr w:type="spellEnd"/>
      <w:r w:rsidR="00C16BF2" w:rsidRPr="00A96926">
        <w:rPr>
          <w:rFonts w:ascii="Arial" w:hAnsi="Arial" w:cs="Arial"/>
          <w:color w:val="000000" w:themeColor="text1"/>
        </w:rPr>
        <w:t xml:space="preserve"> Fisher and Anti-IgG (Rabbit) Goat polyclonal Ab (1:10000; #</w:t>
      </w:r>
      <w:r w:rsidR="00C16BF2" w:rsidRPr="00A96926">
        <w:rPr>
          <w:rFonts w:ascii="Arial" w:hAnsi="Arial" w:cs="Arial"/>
          <w:color w:val="000000" w:themeColor="text1"/>
          <w:shd w:val="clear" w:color="auto" w:fill="FFFFFF"/>
        </w:rPr>
        <w:t>ROCK611-132-122 from</w:t>
      </w:r>
      <w:bookmarkStart w:id="0" w:name="_GoBack"/>
      <w:bookmarkEnd w:id="0"/>
      <w:r w:rsidR="00C16BF2" w:rsidRPr="00A96926">
        <w:rPr>
          <w:rFonts w:ascii="Arial" w:hAnsi="Arial" w:cs="Arial"/>
          <w:color w:val="000000" w:themeColor="text1"/>
          <w:shd w:val="clear" w:color="auto" w:fill="FFFFFF"/>
        </w:rPr>
        <w:t xml:space="preserve"> VWR. </w:t>
      </w:r>
      <w:r w:rsidR="008D5FE0" w:rsidRPr="00A96926">
        <w:rPr>
          <w:rFonts w:ascii="Arial" w:hAnsi="Arial" w:cs="Arial"/>
        </w:rPr>
        <w:t xml:space="preserve">Bands were </w:t>
      </w:r>
      <w:r w:rsidRPr="00A96926">
        <w:rPr>
          <w:rFonts w:ascii="Arial" w:hAnsi="Arial" w:cs="Arial"/>
        </w:rPr>
        <w:t xml:space="preserve">quantified using Image Studio </w:t>
      </w:r>
      <w:proofErr w:type="spellStart"/>
      <w:r w:rsidRPr="00A96926">
        <w:rPr>
          <w:rFonts w:ascii="Arial" w:hAnsi="Arial" w:cs="Arial"/>
        </w:rPr>
        <w:t>Lite</w:t>
      </w:r>
      <w:proofErr w:type="spellEnd"/>
      <w:r w:rsidRPr="00A96926">
        <w:rPr>
          <w:rFonts w:ascii="Arial" w:hAnsi="Arial" w:cs="Arial"/>
        </w:rPr>
        <w:t xml:space="preserve"> (v4) and </w:t>
      </w:r>
      <w:proofErr w:type="spellStart"/>
      <w:r w:rsidRPr="00A96926">
        <w:rPr>
          <w:rFonts w:ascii="Arial" w:hAnsi="Arial" w:cs="Arial"/>
        </w:rPr>
        <w:t>densitometric</w:t>
      </w:r>
      <w:proofErr w:type="spellEnd"/>
      <w:r w:rsidRPr="00A96926">
        <w:rPr>
          <w:rFonts w:ascii="Arial" w:hAnsi="Arial" w:cs="Arial"/>
        </w:rPr>
        <w:t xml:space="preserve"> analysis carried out by normalising </w:t>
      </w:r>
      <w:proofErr w:type="spellStart"/>
      <w:r w:rsidR="0090496B" w:rsidRPr="00A96926">
        <w:rPr>
          <w:rFonts w:ascii="Arial" w:hAnsi="Arial" w:cs="Arial"/>
        </w:rPr>
        <w:t>phospho</w:t>
      </w:r>
      <w:proofErr w:type="spellEnd"/>
      <w:r w:rsidR="0090496B" w:rsidRPr="00A96926">
        <w:rPr>
          <w:rFonts w:ascii="Arial" w:hAnsi="Arial" w:cs="Arial"/>
        </w:rPr>
        <w:t xml:space="preserve"> to total bands or </w:t>
      </w:r>
      <w:r w:rsidRPr="00A96926">
        <w:rPr>
          <w:rFonts w:ascii="Arial" w:hAnsi="Arial" w:cs="Arial"/>
        </w:rPr>
        <w:t>to actin</w:t>
      </w:r>
      <w:r w:rsidR="0090496B" w:rsidRPr="00A96926">
        <w:rPr>
          <w:rFonts w:ascii="Arial" w:hAnsi="Arial" w:cs="Arial"/>
        </w:rPr>
        <w:t>/GAPDH as</w:t>
      </w:r>
      <w:r w:rsidRPr="00A96926">
        <w:rPr>
          <w:rFonts w:ascii="Arial" w:hAnsi="Arial" w:cs="Arial"/>
        </w:rPr>
        <w:t xml:space="preserve"> loading control</w:t>
      </w:r>
      <w:r w:rsidR="0090496B" w:rsidRPr="00A96926">
        <w:rPr>
          <w:rFonts w:ascii="Arial" w:hAnsi="Arial" w:cs="Arial"/>
        </w:rPr>
        <w:t>s</w:t>
      </w:r>
      <w:r w:rsidRPr="00A96926">
        <w:rPr>
          <w:rFonts w:ascii="Arial" w:hAnsi="Arial" w:cs="Arial"/>
        </w:rPr>
        <w:t>.</w:t>
      </w:r>
    </w:p>
    <w:p w14:paraId="73A0AD3F" w14:textId="77777777" w:rsidR="00504D0C" w:rsidRPr="00A96926" w:rsidRDefault="00504D0C" w:rsidP="00A95633">
      <w:pPr>
        <w:spacing w:line="360" w:lineRule="auto"/>
        <w:jc w:val="both"/>
        <w:rPr>
          <w:rFonts w:ascii="Arial" w:hAnsi="Arial" w:cs="Arial"/>
          <w:b/>
          <w:i/>
          <w:iCs/>
        </w:rPr>
      </w:pPr>
      <w:r w:rsidRPr="00A96926">
        <w:rPr>
          <w:rFonts w:ascii="Arial" w:hAnsi="Arial" w:cs="Arial"/>
          <w:b/>
          <w:i/>
          <w:iCs/>
        </w:rPr>
        <w:t>ATP Quantification</w:t>
      </w:r>
    </w:p>
    <w:p w14:paraId="7623497D" w14:textId="2C4BFF2D" w:rsidR="00143A58" w:rsidRPr="00A96926" w:rsidRDefault="00143A58" w:rsidP="00A95633">
      <w:pPr>
        <w:spacing w:line="360" w:lineRule="auto"/>
        <w:jc w:val="both"/>
        <w:rPr>
          <w:rFonts w:ascii="Arial" w:hAnsi="Arial" w:cs="Arial"/>
          <w:iCs/>
        </w:rPr>
      </w:pPr>
      <w:r w:rsidRPr="00A96926">
        <w:rPr>
          <w:rFonts w:ascii="Arial" w:hAnsi="Arial" w:cs="Arial"/>
          <w:noProof/>
          <w:color w:val="000000" w:themeColor="text1"/>
          <w:szCs w:val="24"/>
          <w:lang w:eastAsia="en-GB"/>
        </w:rPr>
        <mc:AlternateContent>
          <mc:Choice Requires="wpg">
            <w:drawing>
              <wp:anchor distT="0" distB="0" distL="114300" distR="114300" simplePos="0" relativeHeight="251661312" behindDoc="0" locked="0" layoutInCell="1" allowOverlap="1" wp14:anchorId="397AD816" wp14:editId="0A77A38D">
                <wp:simplePos x="0" y="0"/>
                <wp:positionH relativeFrom="column">
                  <wp:posOffset>1468560</wp:posOffset>
                </wp:positionH>
                <wp:positionV relativeFrom="paragraph">
                  <wp:posOffset>2429510</wp:posOffset>
                </wp:positionV>
                <wp:extent cx="1248245" cy="242570"/>
                <wp:effectExtent l="0" t="0" r="0" b="24130"/>
                <wp:wrapNone/>
                <wp:docPr id="1" name="Group 1"/>
                <wp:cNvGraphicFramePr/>
                <a:graphic xmlns:a="http://schemas.openxmlformats.org/drawingml/2006/main">
                  <a:graphicData uri="http://schemas.microsoft.com/office/word/2010/wordprocessingGroup">
                    <wpg:wgp>
                      <wpg:cNvGrpSpPr/>
                      <wpg:grpSpPr>
                        <a:xfrm>
                          <a:off x="0" y="0"/>
                          <a:ext cx="1248245" cy="242570"/>
                          <a:chOff x="-87465" y="21341"/>
                          <a:chExt cx="1248245" cy="242570"/>
                        </a:xfrm>
                      </wpg:grpSpPr>
                      <wps:wsp>
                        <wps:cNvPr id="2" name="Text Box 2"/>
                        <wps:cNvSpPr txBox="1">
                          <a:spLocks noChangeArrowheads="1"/>
                        </wps:cNvSpPr>
                        <wps:spPr bwMode="auto">
                          <a:xfrm>
                            <a:off x="-87465" y="21341"/>
                            <a:ext cx="1248245" cy="242570"/>
                          </a:xfrm>
                          <a:prstGeom prst="rect">
                            <a:avLst/>
                          </a:prstGeom>
                          <a:noFill/>
                          <a:ln w="9525">
                            <a:noFill/>
                            <a:miter lim="800000"/>
                            <a:headEnd/>
                            <a:tailEnd/>
                          </a:ln>
                        </wps:spPr>
                        <wps:txbx>
                          <w:txbxContent>
                            <w:p w14:paraId="78DF0BC3" w14:textId="77777777" w:rsidR="00143A58" w:rsidRDefault="00143A58" w:rsidP="00143A58">
                              <w:pPr>
                                <w:rPr>
                                  <w:sz w:val="16"/>
                                </w:rPr>
                              </w:pPr>
                              <w:proofErr w:type="gramStart"/>
                              <w:r>
                                <w:rPr>
                                  <w:sz w:val="16"/>
                                </w:rPr>
                                <w:t>magnesium</w:t>
                              </w:r>
                              <w:proofErr w:type="gramEnd"/>
                              <w:r>
                                <w:rPr>
                                  <w:sz w:val="16"/>
                                </w:rPr>
                                <w:t>, luciferase</w:t>
                              </w:r>
                            </w:p>
                          </w:txbxContent>
                        </wps:txbx>
                        <wps:bodyPr rot="0" vert="horz" wrap="square" lIns="91440" tIns="45720" rIns="91440" bIns="45720" anchor="t" anchorCtr="0">
                          <a:noAutofit/>
                        </wps:bodyPr>
                      </wps:wsp>
                      <wps:wsp>
                        <wps:cNvPr id="3" name="Straight Arrow Connector 3"/>
                        <wps:cNvCnPr/>
                        <wps:spPr>
                          <a:xfrm>
                            <a:off x="0" y="195566"/>
                            <a:ext cx="1097280"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97AD816" id="Group 1" o:spid="_x0000_s1026" style="position:absolute;left:0;text-align:left;margin-left:115.65pt;margin-top:191.3pt;width:98.3pt;height:19.1pt;z-index:251661312" coordorigin="-874,213" coordsize="12482,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">
                <v:shapetype id="_x0000_t202" coordsize="21600,21600" o:spt="202" path="m,l,21600r21600,l21600,xe">
                  <v:stroke joinstyle="miter"/>
                  <v:path gradientshapeok="t" o:connecttype="rect"/>
                </v:shapetype>
                <v:shape id="Text Box 2" o:spid="_x0000_s1027" type="#_x0000_t202" style="position:absolute;left:-874;top:213;width:12481;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" filled="f" stroked="f">
                  <v:textbox>
                    <w:txbxContent>
                      <w:p w14:paraId="78DF0BC3" w14:textId="77777777" w:rsidR="00143A58" w:rsidRDefault="00143A58" w:rsidP="00143A58">
                        <w:pPr>
                          <w:rPr>
                            <w:sz w:val="16"/>
                          </w:rPr>
                        </w:pPr>
                        <w:r>
                          <w:rPr>
                            <w:sz w:val="16"/>
                          </w:rPr>
                          <w:t>magnesium, luciferase</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top:1955;width:10972;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" strokecolor="black [3200]" strokeweight=".5pt">
                  <v:stroke endarrow="block" joinstyle="miter"/>
                </v:shape>
              </v:group>
            </w:pict>
          </mc:Fallback>
        </mc:AlternateContent>
      </w:r>
      <w:r w:rsidR="00460241" w:rsidRPr="00A96926">
        <w:rPr>
          <w:rFonts w:ascii="Arial" w:hAnsi="Arial" w:cs="Arial"/>
          <w:iCs/>
        </w:rPr>
        <w:t xml:space="preserve">Extracellular ATP was quantified using </w:t>
      </w:r>
      <w:proofErr w:type="spellStart"/>
      <w:r w:rsidR="00460241" w:rsidRPr="00A96926">
        <w:rPr>
          <w:rFonts w:ascii="Arial" w:hAnsi="Arial" w:cs="Arial"/>
          <w:iCs/>
        </w:rPr>
        <w:t>ATPLite</w:t>
      </w:r>
      <w:proofErr w:type="spellEnd"/>
      <w:r w:rsidR="00460241" w:rsidRPr="00A96926">
        <w:rPr>
          <w:rFonts w:ascii="Arial" w:hAnsi="Arial" w:cs="Arial"/>
          <w:iCs/>
        </w:rPr>
        <w:t xml:space="preserve"> kit (PerkinElmer) according to manufacturer’s instructions. Briefly, </w:t>
      </w:r>
      <w:r w:rsidR="001A383F" w:rsidRPr="00A96926">
        <w:rPr>
          <w:rFonts w:ascii="Arial" w:hAnsi="Arial" w:cs="Arial"/>
          <w:iCs/>
        </w:rPr>
        <w:t xml:space="preserve">conditioned media from palmitate treated C2C12 </w:t>
      </w:r>
      <w:proofErr w:type="spellStart"/>
      <w:r w:rsidR="001A383F" w:rsidRPr="00A96926">
        <w:rPr>
          <w:rFonts w:ascii="Arial" w:hAnsi="Arial" w:cs="Arial"/>
          <w:iCs/>
        </w:rPr>
        <w:t>myotubes</w:t>
      </w:r>
      <w:proofErr w:type="spellEnd"/>
      <w:r w:rsidR="001A383F" w:rsidRPr="00A96926">
        <w:rPr>
          <w:rFonts w:ascii="Arial" w:hAnsi="Arial" w:cs="Arial"/>
          <w:iCs/>
        </w:rPr>
        <w:t xml:space="preserve"> (0-250 µM; 16 hrs) was assayed by addition of 50 µL of mammalian cell lysis solution (MCLS) to 100 µL of sample (in triplicate) in black-walled 96-well plates and gently shaking for 5 minutes. ATP substrate solution (50 µL) was added to the well and plate mixed for 5 minutes before being transferred to a plate reader (</w:t>
      </w:r>
      <w:proofErr w:type="spellStart"/>
      <w:r w:rsidR="001A383F" w:rsidRPr="00A96926">
        <w:rPr>
          <w:rFonts w:ascii="Arial" w:hAnsi="Arial" w:cs="Arial"/>
        </w:rPr>
        <w:t>Pherastar</w:t>
      </w:r>
      <w:proofErr w:type="spellEnd"/>
      <w:r w:rsidR="001A383F" w:rsidRPr="00A96926">
        <w:rPr>
          <w:rFonts w:ascii="Arial" w:hAnsi="Arial" w:cs="Arial"/>
        </w:rPr>
        <w:t xml:space="preserve"> FC, BMG </w:t>
      </w:r>
      <w:proofErr w:type="spellStart"/>
      <w:r w:rsidR="001A383F" w:rsidRPr="00A96926">
        <w:rPr>
          <w:rFonts w:ascii="Arial" w:hAnsi="Arial" w:cs="Arial"/>
        </w:rPr>
        <w:t>Labtech</w:t>
      </w:r>
      <w:proofErr w:type="spellEnd"/>
      <w:r w:rsidR="001A383F" w:rsidRPr="00A96926">
        <w:rPr>
          <w:rFonts w:ascii="Arial" w:hAnsi="Arial" w:cs="Arial"/>
        </w:rPr>
        <w:t>, UK</w:t>
      </w:r>
      <w:r w:rsidR="001A383F" w:rsidRPr="00A96926">
        <w:rPr>
          <w:rFonts w:ascii="Arial" w:hAnsi="Arial" w:cs="Arial"/>
          <w:iCs/>
        </w:rPr>
        <w:t xml:space="preserve">) for a 10 minute dark adaptation period. Luminescence was read and ATP concentrations calculated against a standard curve of known ATP concentrations (0-100 </w:t>
      </w:r>
      <w:proofErr w:type="spellStart"/>
      <w:r w:rsidR="001A383F" w:rsidRPr="00A96926">
        <w:rPr>
          <w:rFonts w:ascii="Arial" w:hAnsi="Arial" w:cs="Arial"/>
          <w:iCs/>
        </w:rPr>
        <w:t>pmoles</w:t>
      </w:r>
      <w:proofErr w:type="spellEnd"/>
      <w:r w:rsidR="001A383F" w:rsidRPr="00A96926">
        <w:rPr>
          <w:rFonts w:ascii="Arial" w:hAnsi="Arial" w:cs="Arial"/>
          <w:iCs/>
        </w:rPr>
        <w:t xml:space="preserve">) on each plate. </w:t>
      </w:r>
      <w:r w:rsidRPr="00A96926">
        <w:rPr>
          <w:rFonts w:ascii="Arial" w:hAnsi="Arial" w:cs="Arial"/>
          <w:iCs/>
        </w:rPr>
        <w:t>This bioluminescence</w:t>
      </w:r>
      <w:r w:rsidR="00D62D5D" w:rsidRPr="00A96926">
        <w:rPr>
          <w:rFonts w:ascii="Arial" w:hAnsi="Arial" w:cs="Arial"/>
          <w:iCs/>
        </w:rPr>
        <w:t>-</w:t>
      </w:r>
      <w:r w:rsidRPr="00A96926">
        <w:rPr>
          <w:rFonts w:ascii="Arial" w:hAnsi="Arial" w:cs="Arial"/>
          <w:iCs/>
        </w:rPr>
        <w:t>based assay uses a firefly luciferase-mediated reaction between ATP and d-luciferin. The emitted light from the reaction below is directly proportional to ATP concentration.</w:t>
      </w:r>
    </w:p>
    <w:p w14:paraId="1FD3405D" w14:textId="77777777" w:rsidR="001A383F" w:rsidRPr="00A96926" w:rsidRDefault="00143A58" w:rsidP="00A95633">
      <w:pPr>
        <w:spacing w:line="360" w:lineRule="auto"/>
        <w:jc w:val="both"/>
        <w:rPr>
          <w:rFonts w:ascii="Arial" w:hAnsi="Arial" w:cs="Arial"/>
          <w:iCs/>
        </w:rPr>
      </w:pPr>
      <w:r w:rsidRPr="00A96926">
        <w:rPr>
          <w:rFonts w:ascii="Arial" w:hAnsi="Arial" w:cs="Arial"/>
          <w:color w:val="000000" w:themeColor="text1"/>
          <w:szCs w:val="24"/>
        </w:rPr>
        <w:t>ATP + D-Luciferin + O</w:t>
      </w:r>
      <w:r w:rsidRPr="00A96926">
        <w:rPr>
          <w:rFonts w:ascii="Arial" w:hAnsi="Arial" w:cs="Arial"/>
          <w:color w:val="000000" w:themeColor="text1"/>
          <w:szCs w:val="24"/>
          <w:vertAlign w:val="subscript"/>
        </w:rPr>
        <w:t>2</w:t>
      </w:r>
      <w:r w:rsidRPr="00A96926">
        <w:rPr>
          <w:rFonts w:ascii="Arial" w:hAnsi="Arial" w:cs="Arial"/>
          <w:color w:val="000000" w:themeColor="text1"/>
          <w:szCs w:val="24"/>
          <w:vertAlign w:val="subscript"/>
        </w:rPr>
        <w:tab/>
      </w:r>
      <w:r w:rsidRPr="00A96926">
        <w:rPr>
          <w:rFonts w:ascii="Arial" w:hAnsi="Arial" w:cs="Arial"/>
          <w:color w:val="000000" w:themeColor="text1"/>
          <w:szCs w:val="24"/>
          <w:vertAlign w:val="subscript"/>
        </w:rPr>
        <w:tab/>
      </w:r>
      <w:r w:rsidRPr="00A96926">
        <w:rPr>
          <w:rFonts w:ascii="Arial" w:hAnsi="Arial" w:cs="Arial"/>
          <w:color w:val="000000" w:themeColor="text1"/>
          <w:szCs w:val="24"/>
        </w:rPr>
        <w:t xml:space="preserve"> </w:t>
      </w:r>
      <w:r w:rsidRPr="00A96926">
        <w:rPr>
          <w:rFonts w:ascii="Arial" w:hAnsi="Arial" w:cs="Arial"/>
          <w:color w:val="000000" w:themeColor="text1"/>
          <w:szCs w:val="24"/>
        </w:rPr>
        <w:tab/>
        <w:t xml:space="preserve">      </w:t>
      </w:r>
      <w:proofErr w:type="spellStart"/>
      <w:r w:rsidRPr="00A96926">
        <w:rPr>
          <w:rFonts w:ascii="Arial" w:hAnsi="Arial" w:cs="Arial"/>
          <w:color w:val="000000" w:themeColor="text1"/>
          <w:szCs w:val="24"/>
        </w:rPr>
        <w:t>Oxyluciferin</w:t>
      </w:r>
      <w:proofErr w:type="spellEnd"/>
      <w:r w:rsidRPr="00A96926">
        <w:rPr>
          <w:rFonts w:ascii="Arial" w:hAnsi="Arial" w:cs="Arial"/>
          <w:color w:val="000000" w:themeColor="text1"/>
          <w:szCs w:val="24"/>
        </w:rPr>
        <w:t xml:space="preserve"> + AMP + </w:t>
      </w:r>
      <w:proofErr w:type="spellStart"/>
      <w:r w:rsidRPr="00A96926">
        <w:rPr>
          <w:rFonts w:ascii="Arial" w:hAnsi="Arial" w:cs="Arial"/>
          <w:color w:val="000000" w:themeColor="text1"/>
          <w:szCs w:val="24"/>
        </w:rPr>
        <w:t>PPi</w:t>
      </w:r>
      <w:proofErr w:type="spellEnd"/>
      <w:r w:rsidRPr="00A96926">
        <w:rPr>
          <w:rFonts w:ascii="Arial" w:hAnsi="Arial" w:cs="Arial"/>
          <w:color w:val="000000" w:themeColor="text1"/>
          <w:szCs w:val="24"/>
        </w:rPr>
        <w:t xml:space="preserve"> + CO</w:t>
      </w:r>
      <w:r w:rsidRPr="00A96926">
        <w:rPr>
          <w:rFonts w:ascii="Arial" w:hAnsi="Arial" w:cs="Arial"/>
          <w:color w:val="000000" w:themeColor="text1"/>
          <w:szCs w:val="24"/>
          <w:vertAlign w:val="subscript"/>
        </w:rPr>
        <w:t>2</w:t>
      </w:r>
      <w:r w:rsidRPr="00A96926">
        <w:rPr>
          <w:rFonts w:ascii="Arial" w:hAnsi="Arial" w:cs="Arial"/>
          <w:color w:val="000000" w:themeColor="text1"/>
          <w:szCs w:val="24"/>
        </w:rPr>
        <w:t xml:space="preserve"> + Light</w:t>
      </w:r>
      <w:r w:rsidRPr="00A96926">
        <w:rPr>
          <w:rFonts w:ascii="Arial" w:hAnsi="Arial" w:cs="Arial"/>
          <w:iCs/>
        </w:rPr>
        <w:t xml:space="preserve"> </w:t>
      </w:r>
    </w:p>
    <w:p w14:paraId="0658E177" w14:textId="77777777" w:rsidR="00143A58" w:rsidRPr="00A96926" w:rsidRDefault="00143A58" w:rsidP="00A95633">
      <w:pPr>
        <w:spacing w:line="360" w:lineRule="auto"/>
        <w:jc w:val="both"/>
        <w:rPr>
          <w:rFonts w:ascii="Arial" w:hAnsi="Arial" w:cs="Arial"/>
          <w:iCs/>
        </w:rPr>
      </w:pPr>
      <w:r w:rsidRPr="00A96926">
        <w:rPr>
          <w:rFonts w:ascii="Arial" w:hAnsi="Arial" w:cs="Arial"/>
          <w:iCs/>
        </w:rPr>
        <w:t>ATP levels were normalised to the total protein content (quantified using the Bradford method) of the cell monolayer from which the medium was collected.</w:t>
      </w:r>
    </w:p>
    <w:p w14:paraId="1ACE561E" w14:textId="77777777" w:rsidR="00143A58" w:rsidRPr="00A96926" w:rsidRDefault="00143A58" w:rsidP="00A95633">
      <w:pPr>
        <w:spacing w:line="360" w:lineRule="auto"/>
        <w:jc w:val="both"/>
        <w:rPr>
          <w:rFonts w:ascii="Arial" w:hAnsi="Arial" w:cs="Arial"/>
          <w:b/>
          <w:i/>
          <w:iCs/>
        </w:rPr>
      </w:pPr>
      <w:r w:rsidRPr="00A96926">
        <w:rPr>
          <w:rFonts w:ascii="Arial" w:hAnsi="Arial" w:cs="Arial"/>
          <w:b/>
          <w:i/>
          <w:iCs/>
        </w:rPr>
        <w:t xml:space="preserve">Glucose uptake </w:t>
      </w:r>
    </w:p>
    <w:p w14:paraId="78CA861A" w14:textId="5B3007C3" w:rsidR="004F7872" w:rsidRPr="00A96926" w:rsidRDefault="004F7872" w:rsidP="00D62D5D">
      <w:pPr>
        <w:spacing w:line="360" w:lineRule="auto"/>
        <w:jc w:val="both"/>
        <w:rPr>
          <w:rFonts w:ascii="Arial" w:hAnsi="Arial" w:cs="Arial"/>
          <w:color w:val="000000" w:themeColor="text1"/>
          <w:szCs w:val="24"/>
          <w:shd w:val="clear" w:color="auto" w:fill="FFFFFF"/>
        </w:rPr>
      </w:pPr>
      <w:r w:rsidRPr="00A96926">
        <w:rPr>
          <w:rFonts w:ascii="Arial" w:hAnsi="Arial" w:cs="Arial"/>
          <w:color w:val="000000" w:themeColor="text1"/>
          <w:szCs w:val="24"/>
          <w:shd w:val="clear" w:color="auto" w:fill="FFFFFF"/>
        </w:rPr>
        <w:t>Glucose uptake was assessed using Glucose Uptake-</w:t>
      </w:r>
      <w:proofErr w:type="spellStart"/>
      <w:r w:rsidRPr="00A96926">
        <w:rPr>
          <w:rFonts w:ascii="Arial" w:hAnsi="Arial" w:cs="Arial"/>
          <w:color w:val="000000" w:themeColor="text1"/>
          <w:szCs w:val="24"/>
          <w:shd w:val="clear" w:color="auto" w:fill="FFFFFF"/>
        </w:rPr>
        <w:t>Glo</w:t>
      </w:r>
      <w:proofErr w:type="spellEnd"/>
      <w:r w:rsidRPr="00A96926">
        <w:rPr>
          <w:rFonts w:ascii="Arial" w:hAnsi="Arial" w:cs="Arial"/>
          <w:color w:val="000000" w:themeColor="text1"/>
          <w:szCs w:val="24"/>
          <w:shd w:val="clear" w:color="auto" w:fill="FFFFFF"/>
        </w:rPr>
        <w:t xml:space="preserve"> assay (</w:t>
      </w:r>
      <w:proofErr w:type="spellStart"/>
      <w:r w:rsidRPr="00A96926">
        <w:rPr>
          <w:rFonts w:ascii="Arial" w:hAnsi="Arial" w:cs="Arial"/>
          <w:color w:val="000000" w:themeColor="text1"/>
          <w:szCs w:val="24"/>
          <w:shd w:val="clear" w:color="auto" w:fill="FFFFFF"/>
        </w:rPr>
        <w:t>Promega</w:t>
      </w:r>
      <w:proofErr w:type="spellEnd"/>
      <w:r w:rsidRPr="00A96926">
        <w:rPr>
          <w:rFonts w:ascii="Arial" w:hAnsi="Arial" w:cs="Arial"/>
          <w:color w:val="000000" w:themeColor="text1"/>
          <w:szCs w:val="24"/>
          <w:shd w:val="clear" w:color="auto" w:fill="FFFFFF"/>
        </w:rPr>
        <w:t xml:space="preserve">), according to manufacturer’s instructions. This non-radioactive plate-based assay uses a bioluminescence method to detect 2-deoxyglucose-6-phosphate (2DG6P), which is formed following 2-DG uptake into cells and cannot be metabolised. C2C12 </w:t>
      </w:r>
      <w:proofErr w:type="spellStart"/>
      <w:r w:rsidRPr="00A96926">
        <w:rPr>
          <w:rFonts w:ascii="Arial" w:hAnsi="Arial" w:cs="Arial"/>
          <w:color w:val="000000" w:themeColor="text1"/>
          <w:szCs w:val="24"/>
          <w:shd w:val="clear" w:color="auto" w:fill="FFFFFF"/>
        </w:rPr>
        <w:t>myotubes</w:t>
      </w:r>
      <w:proofErr w:type="spellEnd"/>
      <w:r w:rsidRPr="00A96926">
        <w:rPr>
          <w:rFonts w:ascii="Arial" w:hAnsi="Arial" w:cs="Arial"/>
          <w:color w:val="000000" w:themeColor="text1"/>
          <w:szCs w:val="24"/>
          <w:shd w:val="clear" w:color="auto" w:fill="FFFFFF"/>
        </w:rPr>
        <w:t xml:space="preserve"> were differentiated in 96-well plates for 7 days (as above). </w:t>
      </w:r>
      <w:r w:rsidR="00040A5C" w:rsidRPr="00A96926">
        <w:rPr>
          <w:rFonts w:ascii="Arial" w:hAnsi="Arial" w:cs="Arial"/>
          <w:color w:val="000000" w:themeColor="text1"/>
          <w:szCs w:val="24"/>
          <w:shd w:val="clear" w:color="auto" w:fill="FFFFFF"/>
        </w:rPr>
        <w:t xml:space="preserve">For palmitate experiments, on day 6, cells were treated with </w:t>
      </w:r>
      <w:r w:rsidR="00040A5C" w:rsidRPr="00A96926">
        <w:rPr>
          <w:rFonts w:ascii="Arial" w:hAnsi="Arial" w:cs="Arial"/>
          <w:color w:val="000000" w:themeColor="text1"/>
          <w:szCs w:val="24"/>
          <w:shd w:val="clear" w:color="auto" w:fill="FFFFFF"/>
        </w:rPr>
        <w:lastRenderedPageBreak/>
        <w:t xml:space="preserve">palmitate (500 µM) or fatty acid free BSA (1 % w/v) in serum free 5.5 </w:t>
      </w:r>
      <w:proofErr w:type="spellStart"/>
      <w:r w:rsidR="00040A5C" w:rsidRPr="00A96926">
        <w:rPr>
          <w:rFonts w:ascii="Arial" w:hAnsi="Arial" w:cs="Arial"/>
          <w:color w:val="000000" w:themeColor="text1"/>
          <w:szCs w:val="24"/>
          <w:shd w:val="clear" w:color="auto" w:fill="FFFFFF"/>
        </w:rPr>
        <w:t>mM</w:t>
      </w:r>
      <w:proofErr w:type="spellEnd"/>
      <w:r w:rsidR="00040A5C" w:rsidRPr="00A96926">
        <w:rPr>
          <w:rFonts w:ascii="Arial" w:hAnsi="Arial" w:cs="Arial"/>
          <w:color w:val="000000" w:themeColor="text1"/>
          <w:szCs w:val="24"/>
          <w:shd w:val="clear" w:color="auto" w:fill="FFFFFF"/>
        </w:rPr>
        <w:t xml:space="preserve"> glucose medium for 16 hr prior to glucose uptake assessments on day 7. For other experiments, on day</w:t>
      </w:r>
      <w:r w:rsidRPr="00A96926">
        <w:rPr>
          <w:rFonts w:ascii="Arial" w:hAnsi="Arial" w:cs="Arial"/>
          <w:color w:val="000000" w:themeColor="text1"/>
          <w:szCs w:val="24"/>
          <w:shd w:val="clear" w:color="auto" w:fill="FFFFFF"/>
        </w:rPr>
        <w:t xml:space="preserve">7, </w:t>
      </w:r>
      <w:r w:rsidR="00040A5C" w:rsidRPr="00A96926">
        <w:rPr>
          <w:rFonts w:ascii="Arial" w:hAnsi="Arial" w:cs="Arial"/>
          <w:color w:val="000000" w:themeColor="text1"/>
          <w:szCs w:val="24"/>
          <w:shd w:val="clear" w:color="auto" w:fill="FFFFFF"/>
        </w:rPr>
        <w:t>c</w:t>
      </w:r>
      <w:r w:rsidRPr="00A96926">
        <w:rPr>
          <w:rFonts w:ascii="Arial" w:hAnsi="Arial" w:cs="Arial"/>
          <w:color w:val="000000" w:themeColor="text1"/>
          <w:szCs w:val="24"/>
          <w:shd w:val="clear" w:color="auto" w:fill="FFFFFF"/>
        </w:rPr>
        <w:t xml:space="preserve">ells were incubated for 2 hrs in serum free DMEM (5.5 </w:t>
      </w:r>
      <w:proofErr w:type="spellStart"/>
      <w:r w:rsidRPr="00A96926">
        <w:rPr>
          <w:rFonts w:ascii="Arial" w:hAnsi="Arial" w:cs="Arial"/>
          <w:color w:val="000000" w:themeColor="text1"/>
          <w:szCs w:val="24"/>
          <w:shd w:val="clear" w:color="auto" w:fill="FFFFFF"/>
        </w:rPr>
        <w:t>mM</w:t>
      </w:r>
      <w:proofErr w:type="spellEnd"/>
      <w:r w:rsidRPr="00A96926">
        <w:rPr>
          <w:rFonts w:ascii="Arial" w:hAnsi="Arial" w:cs="Arial"/>
          <w:color w:val="000000" w:themeColor="text1"/>
          <w:szCs w:val="24"/>
          <w:shd w:val="clear" w:color="auto" w:fill="FFFFFF"/>
        </w:rPr>
        <w:t xml:space="preserve"> glucose) at 37 °C. </w:t>
      </w:r>
    </w:p>
    <w:p w14:paraId="45219C8B" w14:textId="5CA6AFBC" w:rsidR="00143A58" w:rsidRPr="00A96926" w:rsidRDefault="00040A5C" w:rsidP="00A95633">
      <w:pPr>
        <w:spacing w:line="360" w:lineRule="auto"/>
        <w:jc w:val="both"/>
        <w:rPr>
          <w:rFonts w:ascii="Arial" w:hAnsi="Arial" w:cs="Arial"/>
          <w:color w:val="000000" w:themeColor="text1"/>
          <w:szCs w:val="24"/>
          <w:shd w:val="clear" w:color="auto" w:fill="FFFFFF"/>
        </w:rPr>
      </w:pPr>
      <w:r w:rsidRPr="00A96926">
        <w:rPr>
          <w:rFonts w:ascii="Arial" w:hAnsi="Arial" w:cs="Arial"/>
          <w:color w:val="000000" w:themeColor="text1"/>
          <w:szCs w:val="24"/>
          <w:shd w:val="clear" w:color="auto" w:fill="FFFFFF"/>
        </w:rPr>
        <w:t xml:space="preserve">For palmitate experiments, after 14 hr incubation, medium was replaced with serum free, glucose free DMEM supplemented with palmitate (or BSA control) and cells incubated for 2 hrs at 37 °C. For </w:t>
      </w:r>
      <w:r w:rsidR="00C8207D" w:rsidRPr="00A96926">
        <w:rPr>
          <w:rFonts w:ascii="Arial" w:hAnsi="Arial" w:cs="Arial"/>
          <w:color w:val="000000" w:themeColor="text1"/>
          <w:szCs w:val="24"/>
          <w:shd w:val="clear" w:color="auto" w:fill="FFFFFF"/>
        </w:rPr>
        <w:t xml:space="preserve">acute </w:t>
      </w:r>
      <w:proofErr w:type="spellStart"/>
      <w:r w:rsidR="00C8207D" w:rsidRPr="00A96926">
        <w:rPr>
          <w:rFonts w:ascii="Arial" w:hAnsi="Arial" w:cs="Arial"/>
          <w:color w:val="000000" w:themeColor="text1"/>
          <w:szCs w:val="24"/>
          <w:shd w:val="clear" w:color="auto" w:fill="FFFFFF"/>
        </w:rPr>
        <w:t>ATPγS</w:t>
      </w:r>
      <w:proofErr w:type="spellEnd"/>
      <w:r w:rsidR="00C8207D" w:rsidRPr="00A96926">
        <w:rPr>
          <w:rFonts w:ascii="Arial" w:hAnsi="Arial" w:cs="Arial"/>
          <w:color w:val="000000" w:themeColor="text1"/>
          <w:szCs w:val="24"/>
          <w:shd w:val="clear" w:color="auto" w:fill="FFFFFF"/>
        </w:rPr>
        <w:t xml:space="preserve"> experiments</w:t>
      </w:r>
      <w:r w:rsidRPr="00A96926">
        <w:rPr>
          <w:rFonts w:ascii="Arial" w:hAnsi="Arial" w:cs="Arial"/>
          <w:color w:val="000000" w:themeColor="text1"/>
          <w:szCs w:val="24"/>
          <w:shd w:val="clear" w:color="auto" w:fill="FFFFFF"/>
        </w:rPr>
        <w:t>, after serum free incubation, m</w:t>
      </w:r>
      <w:r w:rsidR="004F7872" w:rsidRPr="00A96926">
        <w:rPr>
          <w:rFonts w:ascii="Arial" w:hAnsi="Arial" w:cs="Arial"/>
          <w:color w:val="000000" w:themeColor="text1"/>
          <w:szCs w:val="24"/>
          <w:shd w:val="clear" w:color="auto" w:fill="FFFFFF"/>
        </w:rPr>
        <w:t>edi</w:t>
      </w:r>
      <w:r w:rsidR="00660E1F" w:rsidRPr="00A96926">
        <w:rPr>
          <w:rFonts w:ascii="Arial" w:hAnsi="Arial" w:cs="Arial"/>
          <w:color w:val="000000" w:themeColor="text1"/>
          <w:szCs w:val="24"/>
          <w:shd w:val="clear" w:color="auto" w:fill="FFFFFF"/>
        </w:rPr>
        <w:t>um</w:t>
      </w:r>
      <w:r w:rsidR="004F7872" w:rsidRPr="00A96926">
        <w:rPr>
          <w:rFonts w:ascii="Arial" w:hAnsi="Arial" w:cs="Arial"/>
          <w:color w:val="000000" w:themeColor="text1"/>
          <w:szCs w:val="24"/>
          <w:shd w:val="clear" w:color="auto" w:fill="FFFFFF"/>
        </w:rPr>
        <w:t xml:space="preserve"> was replaced with serum free, glucose free DMEM and cells incubated for 1 hr at 37 °C. Cells were then pre-treated with treatment</w:t>
      </w:r>
      <w:r w:rsidR="00FA24D8" w:rsidRPr="00A96926">
        <w:rPr>
          <w:rFonts w:ascii="Arial" w:hAnsi="Arial" w:cs="Arial"/>
          <w:color w:val="000000" w:themeColor="text1"/>
          <w:szCs w:val="24"/>
          <w:shd w:val="clear" w:color="auto" w:fill="FFFFFF"/>
        </w:rPr>
        <w:t xml:space="preserve"> of interest</w:t>
      </w:r>
      <w:r w:rsidR="004F7872" w:rsidRPr="00A96926">
        <w:rPr>
          <w:rFonts w:ascii="Arial" w:hAnsi="Arial" w:cs="Arial"/>
          <w:color w:val="000000" w:themeColor="text1"/>
          <w:szCs w:val="24"/>
          <w:shd w:val="clear" w:color="auto" w:fill="FFFFFF"/>
        </w:rPr>
        <w:t xml:space="preserve"> (insulin, </w:t>
      </w:r>
      <w:proofErr w:type="spellStart"/>
      <w:r w:rsidR="004F7872" w:rsidRPr="00A96926">
        <w:rPr>
          <w:rFonts w:ascii="Arial" w:hAnsi="Arial" w:cs="Arial"/>
          <w:color w:val="000000" w:themeColor="text1"/>
          <w:szCs w:val="24"/>
          <w:shd w:val="clear" w:color="auto" w:fill="FFFFFF"/>
        </w:rPr>
        <w:t>ATPγS</w:t>
      </w:r>
      <w:proofErr w:type="spellEnd"/>
      <w:r w:rsidR="00C97BD7" w:rsidRPr="00A96926">
        <w:rPr>
          <w:rFonts w:ascii="Arial" w:hAnsi="Arial" w:cs="Arial"/>
          <w:color w:val="000000" w:themeColor="text1"/>
          <w:szCs w:val="24"/>
          <w:shd w:val="clear" w:color="auto" w:fill="FFFFFF"/>
        </w:rPr>
        <w:t>,</w:t>
      </w:r>
      <w:r w:rsidR="001819D5" w:rsidRPr="00A96926">
        <w:rPr>
          <w:rFonts w:ascii="Arial" w:hAnsi="Arial" w:cs="Arial"/>
          <w:color w:val="000000" w:themeColor="text1"/>
          <w:szCs w:val="24"/>
          <w:shd w:val="clear" w:color="auto" w:fill="FFFFFF"/>
        </w:rPr>
        <w:t xml:space="preserve"> </w:t>
      </w:r>
      <w:proofErr w:type="spellStart"/>
      <w:r w:rsidR="00C97BD7" w:rsidRPr="00A96926">
        <w:rPr>
          <w:rFonts w:ascii="Arial" w:hAnsi="Arial" w:cs="Arial"/>
          <w:color w:val="000000" w:themeColor="text1"/>
          <w:szCs w:val="24"/>
          <w:shd w:val="clear" w:color="auto" w:fill="FFFFFF"/>
        </w:rPr>
        <w:t>indinavir</w:t>
      </w:r>
      <w:proofErr w:type="spellEnd"/>
      <w:r w:rsidR="004F7872" w:rsidRPr="00A96926">
        <w:rPr>
          <w:rFonts w:ascii="Arial" w:hAnsi="Arial" w:cs="Arial"/>
          <w:color w:val="000000" w:themeColor="text1"/>
          <w:szCs w:val="24"/>
          <w:shd w:val="clear" w:color="auto" w:fill="FFFFFF"/>
        </w:rPr>
        <w:t xml:space="preserve"> or vehicles) and subsequently incubated for 15 minutes with 100 </w:t>
      </w:r>
      <w:proofErr w:type="spellStart"/>
      <w:r w:rsidR="004F7872" w:rsidRPr="00A96926">
        <w:rPr>
          <w:rFonts w:ascii="Arial" w:hAnsi="Arial" w:cs="Arial"/>
          <w:color w:val="000000" w:themeColor="text1"/>
          <w:szCs w:val="24"/>
          <w:shd w:val="clear" w:color="auto" w:fill="FFFFFF"/>
        </w:rPr>
        <w:t>μM</w:t>
      </w:r>
      <w:proofErr w:type="spellEnd"/>
      <w:r w:rsidR="004F7872" w:rsidRPr="00A96926">
        <w:rPr>
          <w:rFonts w:ascii="Arial" w:hAnsi="Arial" w:cs="Arial"/>
          <w:color w:val="000000" w:themeColor="text1"/>
          <w:szCs w:val="24"/>
          <w:shd w:val="clear" w:color="auto" w:fill="FFFFFF"/>
        </w:rPr>
        <w:t xml:space="preserve"> 2-DG (dissolved in PBS). Reaction was terminated </w:t>
      </w:r>
      <w:r w:rsidR="00FA24D8" w:rsidRPr="00A96926">
        <w:rPr>
          <w:rFonts w:ascii="Arial" w:hAnsi="Arial" w:cs="Arial"/>
          <w:color w:val="000000" w:themeColor="text1"/>
          <w:szCs w:val="24"/>
          <w:shd w:val="clear" w:color="auto" w:fill="FFFFFF"/>
        </w:rPr>
        <w:t xml:space="preserve">by acid detergent solution and </w:t>
      </w:r>
      <w:r w:rsidR="004F7872" w:rsidRPr="00A96926">
        <w:rPr>
          <w:rFonts w:ascii="Arial" w:hAnsi="Arial" w:cs="Arial"/>
          <w:color w:val="000000" w:themeColor="text1"/>
          <w:szCs w:val="24"/>
          <w:shd w:val="clear" w:color="auto" w:fill="FFFFFF"/>
        </w:rPr>
        <w:t xml:space="preserve">pH neutralised with high-pH buffer solution. A detection reagent containing glucose-6-phosphate dehydrogenase (G6PDH), NADP+, reductase, luciferase and </w:t>
      </w:r>
      <w:proofErr w:type="spellStart"/>
      <w:r w:rsidR="004F7872" w:rsidRPr="00A96926">
        <w:rPr>
          <w:rFonts w:ascii="Arial" w:hAnsi="Arial" w:cs="Arial"/>
          <w:color w:val="000000" w:themeColor="text1"/>
          <w:szCs w:val="24"/>
          <w:shd w:val="clear" w:color="auto" w:fill="FFFFFF"/>
        </w:rPr>
        <w:t>proluciferin</w:t>
      </w:r>
      <w:proofErr w:type="spellEnd"/>
      <w:r w:rsidR="004F7872" w:rsidRPr="00A96926">
        <w:rPr>
          <w:rFonts w:ascii="Arial" w:hAnsi="Arial" w:cs="Arial"/>
          <w:color w:val="000000" w:themeColor="text1"/>
          <w:szCs w:val="24"/>
          <w:shd w:val="clear" w:color="auto" w:fill="FFFFFF"/>
        </w:rPr>
        <w:t xml:space="preserve"> substrate was then added. </w:t>
      </w:r>
      <w:r w:rsidR="00FA24D8" w:rsidRPr="00A96926">
        <w:rPr>
          <w:rFonts w:ascii="Arial" w:hAnsi="Arial" w:cs="Arial"/>
          <w:color w:val="000000" w:themeColor="text1"/>
          <w:szCs w:val="24"/>
          <w:shd w:val="clear" w:color="auto" w:fill="FFFFFF"/>
        </w:rPr>
        <w:t xml:space="preserve">Luminescence emitted from the luciferin based reaction was </w:t>
      </w:r>
      <w:r w:rsidR="004F7872" w:rsidRPr="00A96926">
        <w:rPr>
          <w:rFonts w:ascii="Arial" w:hAnsi="Arial" w:cs="Arial"/>
          <w:color w:val="000000" w:themeColor="text1"/>
          <w:szCs w:val="24"/>
          <w:shd w:val="clear" w:color="auto" w:fill="FFFFFF"/>
        </w:rPr>
        <w:t xml:space="preserve">detected with 0.3-1 second integration using the </w:t>
      </w:r>
      <w:proofErr w:type="spellStart"/>
      <w:r w:rsidR="004F7872" w:rsidRPr="00A96926">
        <w:rPr>
          <w:rFonts w:ascii="Arial" w:hAnsi="Arial" w:cs="Arial"/>
          <w:color w:val="000000" w:themeColor="text1"/>
          <w:szCs w:val="24"/>
          <w:shd w:val="clear" w:color="auto" w:fill="FFFFFF"/>
        </w:rPr>
        <w:t>PHERAstar</w:t>
      </w:r>
      <w:proofErr w:type="spellEnd"/>
      <w:r w:rsidR="004F7872" w:rsidRPr="00A96926">
        <w:rPr>
          <w:rFonts w:ascii="Arial" w:hAnsi="Arial" w:cs="Arial"/>
          <w:color w:val="000000" w:themeColor="text1"/>
          <w:szCs w:val="24"/>
          <w:shd w:val="clear" w:color="auto" w:fill="FFFFFF"/>
        </w:rPr>
        <w:t xml:space="preserve"> FS microplate reader.</w:t>
      </w:r>
    </w:p>
    <w:p w14:paraId="357F4847" w14:textId="77777777" w:rsidR="00504D0C" w:rsidRPr="00A96926" w:rsidRDefault="00504D0C" w:rsidP="00A95633">
      <w:pPr>
        <w:spacing w:line="360" w:lineRule="auto"/>
        <w:jc w:val="both"/>
        <w:rPr>
          <w:rFonts w:ascii="Arial" w:hAnsi="Arial" w:cs="Arial"/>
          <w:b/>
          <w:i/>
          <w:iCs/>
        </w:rPr>
      </w:pPr>
      <w:r w:rsidRPr="00A96926">
        <w:rPr>
          <w:rFonts w:ascii="Arial" w:hAnsi="Arial" w:cs="Arial"/>
          <w:b/>
          <w:i/>
          <w:iCs/>
        </w:rPr>
        <w:t>Assessment of cellular metabolism</w:t>
      </w:r>
    </w:p>
    <w:p w14:paraId="6F04A614" w14:textId="3E47FD87" w:rsidR="00E92401" w:rsidRPr="00A96926" w:rsidRDefault="001A5428" w:rsidP="00A95633">
      <w:pPr>
        <w:spacing w:line="360" w:lineRule="auto"/>
        <w:jc w:val="both"/>
        <w:rPr>
          <w:rFonts w:ascii="Arial" w:hAnsi="Arial" w:cs="Arial"/>
        </w:rPr>
      </w:pPr>
      <w:r w:rsidRPr="00A96926">
        <w:rPr>
          <w:rFonts w:ascii="Arial" w:hAnsi="Arial" w:cs="Arial"/>
        </w:rPr>
        <w:t>For mitochondrial stress tests</w:t>
      </w:r>
      <w:r w:rsidR="00E92401" w:rsidRPr="00A96926">
        <w:rPr>
          <w:rFonts w:ascii="Arial" w:hAnsi="Arial" w:cs="Arial"/>
        </w:rPr>
        <w:t xml:space="preserve"> and glycolytic stress tests</w:t>
      </w:r>
      <w:r w:rsidR="00A208E3" w:rsidRPr="00A96926">
        <w:rPr>
          <w:rFonts w:ascii="Arial" w:hAnsi="Arial" w:cs="Arial"/>
        </w:rPr>
        <w:t xml:space="preserve"> (Agilent, UK)</w:t>
      </w:r>
      <w:r w:rsidRPr="00A96926">
        <w:rPr>
          <w:rFonts w:ascii="Arial" w:hAnsi="Arial" w:cs="Arial"/>
        </w:rPr>
        <w:t xml:space="preserve">, C2C12 myoblasts were </w:t>
      </w:r>
      <w:r w:rsidR="00A208E3" w:rsidRPr="00A96926">
        <w:rPr>
          <w:rFonts w:ascii="Arial" w:hAnsi="Arial" w:cs="Arial"/>
        </w:rPr>
        <w:t>differentiated (as above) in</w:t>
      </w:r>
      <w:r w:rsidRPr="00A96926">
        <w:rPr>
          <w:rFonts w:ascii="Arial" w:hAnsi="Arial" w:cs="Arial"/>
        </w:rPr>
        <w:t xml:space="preserve"> Seahorse XFe96 microplates at </w:t>
      </w:r>
      <w:r w:rsidRPr="00A96926">
        <w:rPr>
          <w:rFonts w:ascii="Arial" w:hAnsi="Arial" w:cs="Arial"/>
          <w:color w:val="000000" w:themeColor="text1"/>
        </w:rPr>
        <w:t>3 x 10</w:t>
      </w:r>
      <w:r w:rsidRPr="00A96926">
        <w:rPr>
          <w:rFonts w:ascii="Arial" w:hAnsi="Arial" w:cs="Arial"/>
          <w:color w:val="000000" w:themeColor="text1"/>
          <w:vertAlign w:val="superscript"/>
        </w:rPr>
        <w:t>3</w:t>
      </w:r>
      <w:r w:rsidRPr="00A96926">
        <w:rPr>
          <w:rFonts w:ascii="Arial" w:hAnsi="Arial" w:cs="Arial"/>
        </w:rPr>
        <w:t xml:space="preserve"> cells/well</w:t>
      </w:r>
      <w:r w:rsidR="00E92401" w:rsidRPr="00A96926">
        <w:rPr>
          <w:rFonts w:ascii="Arial" w:hAnsi="Arial" w:cs="Arial"/>
        </w:rPr>
        <w:t xml:space="preserve">. For </w:t>
      </w:r>
      <w:r w:rsidR="00DE335D" w:rsidRPr="00A96926">
        <w:rPr>
          <w:rFonts w:ascii="Arial" w:hAnsi="Arial" w:cs="Arial"/>
        </w:rPr>
        <w:t>palmitate treatments</w:t>
      </w:r>
      <w:r w:rsidR="00E92401" w:rsidRPr="00A96926">
        <w:rPr>
          <w:rFonts w:ascii="Arial" w:hAnsi="Arial" w:cs="Arial"/>
        </w:rPr>
        <w:t xml:space="preserve">, cells were treated on day 6 with palmitate (250 – 500 µM) conjugated to </w:t>
      </w:r>
      <w:r w:rsidR="00190C74" w:rsidRPr="00A96926">
        <w:rPr>
          <w:rFonts w:ascii="Arial" w:hAnsi="Arial" w:cs="Arial"/>
        </w:rPr>
        <w:t xml:space="preserve">fatty-acid free </w:t>
      </w:r>
      <w:r w:rsidR="00E92401" w:rsidRPr="00A96926">
        <w:rPr>
          <w:rFonts w:ascii="Arial" w:hAnsi="Arial" w:cs="Arial"/>
        </w:rPr>
        <w:t>BSA (</w:t>
      </w:r>
      <w:r w:rsidR="00040A5C" w:rsidRPr="00A96926">
        <w:rPr>
          <w:rFonts w:ascii="Arial" w:hAnsi="Arial" w:cs="Arial"/>
        </w:rPr>
        <w:t>0.</w:t>
      </w:r>
      <w:r w:rsidR="00E92401" w:rsidRPr="00A96926">
        <w:rPr>
          <w:rFonts w:ascii="Arial" w:hAnsi="Arial" w:cs="Arial"/>
        </w:rPr>
        <w:t>2 % w/v) or BSA control for 16 hrs in serum free Earl</w:t>
      </w:r>
      <w:r w:rsidR="00595981" w:rsidRPr="00A96926">
        <w:rPr>
          <w:rFonts w:ascii="Arial" w:hAnsi="Arial" w:cs="Arial"/>
        </w:rPr>
        <w:t>’s balanced</w:t>
      </w:r>
      <w:r w:rsidR="00E92401" w:rsidRPr="00A96926">
        <w:rPr>
          <w:rFonts w:ascii="Arial" w:hAnsi="Arial" w:cs="Arial"/>
        </w:rPr>
        <w:t xml:space="preserve"> sa</w:t>
      </w:r>
      <w:r w:rsidR="00595981" w:rsidRPr="00A96926">
        <w:rPr>
          <w:rFonts w:ascii="Arial" w:hAnsi="Arial" w:cs="Arial"/>
        </w:rPr>
        <w:t>l</w:t>
      </w:r>
      <w:r w:rsidR="00E92401" w:rsidRPr="00A96926">
        <w:rPr>
          <w:rFonts w:ascii="Arial" w:hAnsi="Arial" w:cs="Arial"/>
        </w:rPr>
        <w:t>t solution (</w:t>
      </w:r>
      <w:r w:rsidR="00E92401" w:rsidRPr="00A96926">
        <w:rPr>
          <w:rFonts w:ascii="Arial" w:hAnsi="Arial" w:cs="Arial"/>
          <w:color w:val="000000" w:themeColor="text1"/>
        </w:rPr>
        <w:t xml:space="preserve">supplemented with sodium bicarbonate 2.2 g/L and 0.3 </w:t>
      </w:r>
      <w:proofErr w:type="spellStart"/>
      <w:r w:rsidR="00E92401" w:rsidRPr="00A96926">
        <w:rPr>
          <w:rFonts w:ascii="Arial" w:hAnsi="Arial" w:cs="Arial"/>
          <w:color w:val="000000" w:themeColor="text1"/>
        </w:rPr>
        <w:t>mM</w:t>
      </w:r>
      <w:proofErr w:type="spellEnd"/>
      <w:r w:rsidR="00E92401" w:rsidRPr="00A96926">
        <w:rPr>
          <w:rFonts w:ascii="Arial" w:hAnsi="Arial" w:cs="Arial"/>
          <w:color w:val="000000" w:themeColor="text1"/>
        </w:rPr>
        <w:t xml:space="preserve"> mixed amino acid solution).</w:t>
      </w:r>
      <w:r w:rsidR="00DE335D" w:rsidRPr="00A96926">
        <w:rPr>
          <w:rFonts w:ascii="Arial" w:hAnsi="Arial" w:cs="Arial"/>
          <w:color w:val="000000" w:themeColor="text1"/>
        </w:rPr>
        <w:t xml:space="preserve"> </w:t>
      </w:r>
      <w:r w:rsidR="001641DB" w:rsidRPr="00A96926">
        <w:rPr>
          <w:rFonts w:ascii="Arial" w:hAnsi="Arial" w:cs="Arial"/>
          <w:color w:val="000000" w:themeColor="text1"/>
        </w:rPr>
        <w:t xml:space="preserve">Seahorse XFe96 sensor cartridges were hydrated with Seahorse XF </w:t>
      </w:r>
      <w:proofErr w:type="spellStart"/>
      <w:r w:rsidR="001641DB" w:rsidRPr="00A96926">
        <w:rPr>
          <w:rFonts w:ascii="Arial" w:hAnsi="Arial" w:cs="Arial"/>
          <w:color w:val="000000" w:themeColor="text1"/>
        </w:rPr>
        <w:t>calibrant</w:t>
      </w:r>
      <w:proofErr w:type="spellEnd"/>
      <w:r w:rsidR="001641DB" w:rsidRPr="00A96926">
        <w:rPr>
          <w:rFonts w:ascii="Arial" w:hAnsi="Arial" w:cs="Arial"/>
          <w:color w:val="000000" w:themeColor="text1"/>
        </w:rPr>
        <w:t xml:space="preserve"> solution and maintained at 37 </w:t>
      </w:r>
      <w:proofErr w:type="spellStart"/>
      <w:r w:rsidR="001641DB" w:rsidRPr="00A96926">
        <w:rPr>
          <w:rFonts w:ascii="Arial" w:hAnsi="Arial" w:cs="Arial"/>
          <w:color w:val="000000" w:themeColor="text1"/>
          <w:vertAlign w:val="superscript"/>
        </w:rPr>
        <w:t>o</w:t>
      </w:r>
      <w:r w:rsidR="001641DB" w:rsidRPr="00A96926">
        <w:rPr>
          <w:rFonts w:ascii="Arial" w:hAnsi="Arial" w:cs="Arial"/>
          <w:color w:val="000000" w:themeColor="text1"/>
        </w:rPr>
        <w:t>C</w:t>
      </w:r>
      <w:proofErr w:type="spellEnd"/>
      <w:r w:rsidR="001641DB" w:rsidRPr="00A96926">
        <w:rPr>
          <w:rFonts w:ascii="Arial" w:hAnsi="Arial" w:cs="Arial"/>
          <w:color w:val="000000" w:themeColor="text1"/>
        </w:rPr>
        <w:t xml:space="preserve"> in a non-CO</w:t>
      </w:r>
      <w:r w:rsidR="001641DB" w:rsidRPr="00A96926">
        <w:rPr>
          <w:rFonts w:ascii="Arial" w:hAnsi="Arial" w:cs="Arial"/>
          <w:color w:val="000000" w:themeColor="text1"/>
          <w:vertAlign w:val="subscript"/>
        </w:rPr>
        <w:t>2</w:t>
      </w:r>
      <w:r w:rsidR="001641DB" w:rsidRPr="00A96926">
        <w:rPr>
          <w:rFonts w:ascii="Arial" w:hAnsi="Arial" w:cs="Arial"/>
          <w:color w:val="000000" w:themeColor="text1"/>
        </w:rPr>
        <w:t xml:space="preserve"> incubator overnight. </w:t>
      </w:r>
      <w:r w:rsidR="00234A53" w:rsidRPr="00A96926">
        <w:rPr>
          <w:rFonts w:ascii="Arial" w:hAnsi="Arial" w:cs="Arial"/>
          <w:color w:val="000000" w:themeColor="text1"/>
        </w:rPr>
        <w:t xml:space="preserve">On day 7, medium was replaced with </w:t>
      </w:r>
      <w:r w:rsidR="001641DB" w:rsidRPr="00A96926">
        <w:rPr>
          <w:rFonts w:ascii="Arial" w:hAnsi="Arial" w:cs="Arial"/>
          <w:color w:val="000000" w:themeColor="text1"/>
        </w:rPr>
        <w:t xml:space="preserve">low buffered </w:t>
      </w:r>
      <w:r w:rsidR="00234A53" w:rsidRPr="00A96926">
        <w:rPr>
          <w:rFonts w:ascii="Arial" w:hAnsi="Arial" w:cs="Arial"/>
          <w:color w:val="000000" w:themeColor="text1"/>
        </w:rPr>
        <w:t>Seahorse XF medium (</w:t>
      </w:r>
      <w:r w:rsidR="004863C7" w:rsidRPr="00A96926">
        <w:rPr>
          <w:rFonts w:ascii="Arial" w:hAnsi="Arial" w:cs="Arial"/>
          <w:color w:val="000000" w:themeColor="text1"/>
        </w:rPr>
        <w:t>Table 2</w:t>
      </w:r>
      <w:r w:rsidR="001641DB" w:rsidRPr="00A96926">
        <w:rPr>
          <w:rFonts w:ascii="Arial" w:hAnsi="Arial" w:cs="Arial"/>
          <w:color w:val="000000" w:themeColor="text1"/>
        </w:rPr>
        <w:t>)</w:t>
      </w:r>
      <w:r w:rsidR="00595981" w:rsidRPr="00A96926">
        <w:rPr>
          <w:rFonts w:ascii="Arial" w:hAnsi="Arial" w:cs="Arial"/>
          <w:color w:val="000000" w:themeColor="text1"/>
        </w:rPr>
        <w:t xml:space="preserve"> </w:t>
      </w:r>
      <w:r w:rsidR="004863C7" w:rsidRPr="00A96926">
        <w:rPr>
          <w:rFonts w:ascii="Arial" w:hAnsi="Arial" w:cs="Arial"/>
          <w:color w:val="000000" w:themeColor="text1"/>
        </w:rPr>
        <w:t xml:space="preserve">supplemented with </w:t>
      </w:r>
      <w:r w:rsidR="007D2048" w:rsidRPr="00A96926">
        <w:rPr>
          <w:rFonts w:ascii="Arial" w:hAnsi="Arial" w:cs="Arial"/>
          <w:color w:val="000000" w:themeColor="text1"/>
        </w:rPr>
        <w:t xml:space="preserve">treatments </w:t>
      </w:r>
      <w:r w:rsidR="004863C7" w:rsidRPr="00A96926">
        <w:rPr>
          <w:rFonts w:ascii="Arial" w:hAnsi="Arial" w:cs="Arial"/>
          <w:color w:val="000000" w:themeColor="text1"/>
        </w:rPr>
        <w:t xml:space="preserve">(as per 16 hr incubation) </w:t>
      </w:r>
      <w:r w:rsidR="001641DB" w:rsidRPr="00A96926">
        <w:rPr>
          <w:rFonts w:ascii="Arial" w:hAnsi="Arial" w:cs="Arial"/>
          <w:color w:val="000000" w:themeColor="text1"/>
        </w:rPr>
        <w:t>and cel</w:t>
      </w:r>
      <w:r w:rsidR="00595981" w:rsidRPr="00A96926">
        <w:rPr>
          <w:rFonts w:ascii="Arial" w:hAnsi="Arial" w:cs="Arial"/>
          <w:color w:val="000000" w:themeColor="text1"/>
        </w:rPr>
        <w:t>ls incubated for 1 h</w:t>
      </w:r>
      <w:r w:rsidR="001641DB" w:rsidRPr="00A96926">
        <w:rPr>
          <w:rFonts w:ascii="Arial" w:hAnsi="Arial" w:cs="Arial"/>
          <w:color w:val="000000" w:themeColor="text1"/>
        </w:rPr>
        <w:t>r in non-CO</w:t>
      </w:r>
      <w:r w:rsidR="001641DB" w:rsidRPr="00A96926">
        <w:rPr>
          <w:rFonts w:ascii="Arial" w:hAnsi="Arial" w:cs="Arial"/>
          <w:color w:val="000000" w:themeColor="text1"/>
          <w:vertAlign w:val="subscript"/>
        </w:rPr>
        <w:t>2</w:t>
      </w:r>
      <w:r w:rsidR="001641DB" w:rsidRPr="00A96926">
        <w:rPr>
          <w:rFonts w:ascii="Arial" w:hAnsi="Arial" w:cs="Arial"/>
          <w:color w:val="000000" w:themeColor="text1"/>
        </w:rPr>
        <w:t xml:space="preserve"> incubator, at 37 </w:t>
      </w:r>
      <w:r w:rsidR="00595981" w:rsidRPr="00A96926">
        <w:rPr>
          <w:rFonts w:ascii="Arial" w:hAnsi="Arial" w:cs="Arial"/>
          <w:color w:val="000000" w:themeColor="text1"/>
        </w:rPr>
        <w:t>°</w:t>
      </w:r>
      <w:r w:rsidR="001641DB" w:rsidRPr="00A96926">
        <w:rPr>
          <w:rFonts w:ascii="Arial" w:hAnsi="Arial" w:cs="Arial"/>
          <w:color w:val="000000" w:themeColor="text1"/>
        </w:rPr>
        <w:t>C for 1 hr</w:t>
      </w:r>
      <w:r w:rsidR="004863C7" w:rsidRPr="00A96926">
        <w:rPr>
          <w:rFonts w:ascii="Arial" w:hAnsi="Arial" w:cs="Arial"/>
          <w:color w:val="000000" w:themeColor="text1"/>
        </w:rPr>
        <w:t xml:space="preserve">. </w:t>
      </w:r>
      <w:r w:rsidR="001641DB" w:rsidRPr="00A96926">
        <w:rPr>
          <w:rFonts w:ascii="Arial" w:hAnsi="Arial" w:cs="Arial"/>
          <w:color w:val="000000" w:themeColor="text1"/>
        </w:rPr>
        <w:t>After incubation, plates were loaded on</w:t>
      </w:r>
      <w:r w:rsidR="004863C7" w:rsidRPr="00A96926">
        <w:rPr>
          <w:rFonts w:ascii="Arial" w:hAnsi="Arial" w:cs="Arial"/>
          <w:color w:val="000000" w:themeColor="text1"/>
        </w:rPr>
        <w:t>to</w:t>
      </w:r>
      <w:r w:rsidR="001641DB" w:rsidRPr="00A96926">
        <w:rPr>
          <w:rFonts w:ascii="Arial" w:hAnsi="Arial" w:cs="Arial"/>
          <w:color w:val="000000" w:themeColor="text1"/>
        </w:rPr>
        <w:t xml:space="preserve"> Seahorse XF</w:t>
      </w:r>
      <w:r w:rsidR="00A208E3" w:rsidRPr="00A96926">
        <w:rPr>
          <w:rFonts w:ascii="Arial" w:hAnsi="Arial" w:cs="Arial"/>
          <w:color w:val="000000" w:themeColor="text1"/>
        </w:rPr>
        <w:t>e</w:t>
      </w:r>
      <w:r w:rsidR="001641DB" w:rsidRPr="00A96926">
        <w:rPr>
          <w:rFonts w:ascii="Arial" w:hAnsi="Arial" w:cs="Arial"/>
          <w:color w:val="000000" w:themeColor="text1"/>
        </w:rPr>
        <w:t xml:space="preserve">96 </w:t>
      </w:r>
      <w:proofErr w:type="spellStart"/>
      <w:r w:rsidR="001641DB" w:rsidRPr="00A96926">
        <w:rPr>
          <w:rFonts w:ascii="Arial" w:hAnsi="Arial" w:cs="Arial"/>
          <w:color w:val="000000" w:themeColor="text1"/>
        </w:rPr>
        <w:t>Analyzer</w:t>
      </w:r>
      <w:proofErr w:type="spellEnd"/>
      <w:r w:rsidR="001641DB" w:rsidRPr="00A96926">
        <w:rPr>
          <w:rFonts w:ascii="Arial" w:hAnsi="Arial" w:cs="Arial"/>
          <w:color w:val="000000" w:themeColor="text1"/>
        </w:rPr>
        <w:t xml:space="preserve"> and basal oxygen consumption </w:t>
      </w:r>
      <w:r w:rsidR="00595981" w:rsidRPr="00A96926">
        <w:rPr>
          <w:rFonts w:ascii="Arial" w:hAnsi="Arial" w:cs="Arial"/>
          <w:color w:val="000000" w:themeColor="text1"/>
        </w:rPr>
        <w:t xml:space="preserve">rate (OCR) </w:t>
      </w:r>
      <w:r w:rsidR="001641DB" w:rsidRPr="00A96926">
        <w:rPr>
          <w:rFonts w:ascii="Arial" w:hAnsi="Arial" w:cs="Arial"/>
          <w:color w:val="000000" w:themeColor="text1"/>
        </w:rPr>
        <w:t xml:space="preserve">measured </w:t>
      </w:r>
      <w:r w:rsidR="007D2048" w:rsidRPr="00A96926">
        <w:rPr>
          <w:rFonts w:ascii="Arial" w:hAnsi="Arial" w:cs="Arial"/>
          <w:color w:val="000000" w:themeColor="text1"/>
        </w:rPr>
        <w:t>for 4 cycles. After basal measurements</w:t>
      </w:r>
      <w:r w:rsidR="004863C7" w:rsidRPr="00A96926">
        <w:rPr>
          <w:rFonts w:ascii="Arial" w:hAnsi="Arial" w:cs="Arial"/>
          <w:color w:val="000000" w:themeColor="text1"/>
        </w:rPr>
        <w:t>,</w:t>
      </w:r>
      <w:r w:rsidR="007D2048" w:rsidRPr="00A96926">
        <w:rPr>
          <w:rFonts w:ascii="Arial" w:hAnsi="Arial" w:cs="Arial"/>
          <w:color w:val="000000" w:themeColor="text1"/>
        </w:rPr>
        <w:t xml:space="preserve"> cells were injected with the following every 4 cycles</w:t>
      </w:r>
      <w:r w:rsidR="004863C7" w:rsidRPr="00A96926">
        <w:rPr>
          <w:rFonts w:ascii="Arial" w:hAnsi="Arial" w:cs="Arial"/>
          <w:color w:val="000000" w:themeColor="text1"/>
        </w:rPr>
        <w:t>:</w:t>
      </w:r>
      <w:r w:rsidR="007D2048" w:rsidRPr="00A96926">
        <w:rPr>
          <w:rFonts w:ascii="Arial" w:hAnsi="Arial" w:cs="Arial"/>
          <w:color w:val="000000" w:themeColor="text1"/>
        </w:rPr>
        <w:t xml:space="preserve"> </w:t>
      </w:r>
      <w:proofErr w:type="spellStart"/>
      <w:r w:rsidR="007D2048" w:rsidRPr="00A96926">
        <w:rPr>
          <w:rFonts w:ascii="Arial" w:hAnsi="Arial" w:cs="Arial"/>
          <w:color w:val="000000" w:themeColor="text1"/>
        </w:rPr>
        <w:t>Oligomycin</w:t>
      </w:r>
      <w:proofErr w:type="spellEnd"/>
      <w:r w:rsidR="007D2048" w:rsidRPr="00A96926">
        <w:rPr>
          <w:rFonts w:ascii="Arial" w:hAnsi="Arial" w:cs="Arial"/>
          <w:color w:val="000000" w:themeColor="text1"/>
        </w:rPr>
        <w:t xml:space="preserve"> (final concentration 2 </w:t>
      </w:r>
      <w:proofErr w:type="spellStart"/>
      <w:r w:rsidR="007D2048" w:rsidRPr="00A96926">
        <w:rPr>
          <w:rFonts w:ascii="Arial" w:hAnsi="Arial" w:cs="Arial"/>
          <w:color w:val="000000" w:themeColor="text1"/>
        </w:rPr>
        <w:t>μM</w:t>
      </w:r>
      <w:proofErr w:type="spellEnd"/>
      <w:r w:rsidR="007D2048" w:rsidRPr="00A96926">
        <w:rPr>
          <w:rFonts w:ascii="Arial" w:hAnsi="Arial" w:cs="Arial"/>
          <w:color w:val="000000" w:themeColor="text1"/>
        </w:rPr>
        <w:t xml:space="preserve">), FCCP (final concentration 1 </w:t>
      </w:r>
      <w:proofErr w:type="spellStart"/>
      <w:r w:rsidR="007D2048" w:rsidRPr="00A96926">
        <w:rPr>
          <w:rFonts w:ascii="Arial" w:hAnsi="Arial" w:cs="Arial"/>
          <w:color w:val="000000" w:themeColor="text1"/>
        </w:rPr>
        <w:t>μM</w:t>
      </w:r>
      <w:proofErr w:type="spellEnd"/>
      <w:r w:rsidR="007D2048" w:rsidRPr="00A96926">
        <w:rPr>
          <w:rFonts w:ascii="Arial" w:hAnsi="Arial" w:cs="Arial"/>
          <w:color w:val="000000" w:themeColor="text1"/>
        </w:rPr>
        <w:t>) and Rotenone/</w:t>
      </w:r>
      <w:proofErr w:type="spellStart"/>
      <w:r w:rsidR="007D2048" w:rsidRPr="00A96926">
        <w:rPr>
          <w:rFonts w:ascii="Arial" w:hAnsi="Arial" w:cs="Arial"/>
          <w:color w:val="000000" w:themeColor="text1"/>
        </w:rPr>
        <w:t>Antimycin</w:t>
      </w:r>
      <w:proofErr w:type="spellEnd"/>
      <w:r w:rsidR="007D2048" w:rsidRPr="00A96926">
        <w:rPr>
          <w:rFonts w:ascii="Arial" w:hAnsi="Arial" w:cs="Arial"/>
          <w:color w:val="000000" w:themeColor="text1"/>
        </w:rPr>
        <w:t xml:space="preserve"> A (1:1 ratio, final concentration 1 </w:t>
      </w:r>
      <w:proofErr w:type="spellStart"/>
      <w:r w:rsidR="007D2048" w:rsidRPr="00A96926">
        <w:rPr>
          <w:rFonts w:ascii="Arial" w:hAnsi="Arial" w:cs="Arial"/>
          <w:color w:val="000000" w:themeColor="text1"/>
        </w:rPr>
        <w:t>μM</w:t>
      </w:r>
      <w:proofErr w:type="spellEnd"/>
      <w:r w:rsidR="007D2048" w:rsidRPr="00A96926">
        <w:rPr>
          <w:rFonts w:ascii="Arial" w:hAnsi="Arial" w:cs="Arial"/>
          <w:color w:val="000000" w:themeColor="text1"/>
        </w:rPr>
        <w:t xml:space="preserve">). Measurement were taken </w:t>
      </w:r>
      <w:r w:rsidR="007D2048" w:rsidRPr="00A96926">
        <w:rPr>
          <w:rFonts w:ascii="Arial" w:hAnsi="Arial" w:cs="Arial"/>
        </w:rPr>
        <w:t xml:space="preserve">every 6 minutes on a 3 minute mix, 3 minute measure cycle. For glycolytic stress tests cells were treated </w:t>
      </w:r>
      <w:r w:rsidR="00595981" w:rsidRPr="00A96926">
        <w:rPr>
          <w:rFonts w:ascii="Arial" w:hAnsi="Arial" w:cs="Arial"/>
        </w:rPr>
        <w:t xml:space="preserve">on </w:t>
      </w:r>
      <w:r w:rsidR="007D2048" w:rsidRPr="00A96926">
        <w:rPr>
          <w:rFonts w:ascii="Arial" w:hAnsi="Arial" w:cs="Arial"/>
        </w:rPr>
        <w:t xml:space="preserve">day 6 with </w:t>
      </w:r>
      <w:proofErr w:type="spellStart"/>
      <w:r w:rsidR="007D2048" w:rsidRPr="00A96926">
        <w:rPr>
          <w:rFonts w:ascii="Arial" w:hAnsi="Arial" w:cs="Arial"/>
        </w:rPr>
        <w:t>ATP</w:t>
      </w:r>
      <w:r w:rsidR="00595981" w:rsidRPr="00A96926">
        <w:rPr>
          <w:rFonts w:ascii="Arial" w:hAnsi="Arial" w:cs="Arial"/>
        </w:rPr>
        <w:t>γ</w:t>
      </w:r>
      <w:r w:rsidR="007D2048" w:rsidRPr="00A96926">
        <w:rPr>
          <w:rFonts w:ascii="Arial" w:hAnsi="Arial" w:cs="Arial"/>
        </w:rPr>
        <w:t>S</w:t>
      </w:r>
      <w:proofErr w:type="spellEnd"/>
      <w:r w:rsidR="007D2048" w:rsidRPr="00A96926">
        <w:rPr>
          <w:rFonts w:ascii="Arial" w:hAnsi="Arial" w:cs="Arial"/>
        </w:rPr>
        <w:t xml:space="preserve"> (0-100 </w:t>
      </w:r>
      <w:r w:rsidR="00595981" w:rsidRPr="00A96926">
        <w:rPr>
          <w:rFonts w:ascii="Arial" w:hAnsi="Arial" w:cs="Arial"/>
        </w:rPr>
        <w:t>µ</w:t>
      </w:r>
      <w:r w:rsidR="007D2048" w:rsidRPr="00A96926">
        <w:rPr>
          <w:rFonts w:ascii="Arial" w:hAnsi="Arial" w:cs="Arial"/>
        </w:rPr>
        <w:t xml:space="preserve">M) +/- </w:t>
      </w:r>
      <w:proofErr w:type="spellStart"/>
      <w:r w:rsidR="007D2048" w:rsidRPr="00A96926">
        <w:rPr>
          <w:rFonts w:ascii="Arial" w:hAnsi="Arial" w:cs="Arial"/>
        </w:rPr>
        <w:t>suramin</w:t>
      </w:r>
      <w:proofErr w:type="spellEnd"/>
      <w:r w:rsidR="007D2048" w:rsidRPr="00A96926">
        <w:rPr>
          <w:rFonts w:ascii="Arial" w:hAnsi="Arial" w:cs="Arial"/>
        </w:rPr>
        <w:t xml:space="preserve"> or acutely </w:t>
      </w:r>
      <w:r w:rsidR="004863C7" w:rsidRPr="00A96926">
        <w:rPr>
          <w:rFonts w:ascii="Arial" w:hAnsi="Arial" w:cs="Arial"/>
        </w:rPr>
        <w:t xml:space="preserve">with </w:t>
      </w:r>
      <w:proofErr w:type="spellStart"/>
      <w:r w:rsidR="004863C7" w:rsidRPr="00A96926">
        <w:rPr>
          <w:rFonts w:ascii="Arial" w:hAnsi="Arial" w:cs="Arial"/>
        </w:rPr>
        <w:t>ATPγS</w:t>
      </w:r>
      <w:proofErr w:type="spellEnd"/>
      <w:r w:rsidR="004863C7" w:rsidRPr="00A96926">
        <w:rPr>
          <w:rFonts w:ascii="Arial" w:hAnsi="Arial" w:cs="Arial"/>
        </w:rPr>
        <w:t xml:space="preserve"> </w:t>
      </w:r>
      <w:r w:rsidR="007D2048" w:rsidRPr="00A96926">
        <w:rPr>
          <w:rFonts w:ascii="Arial" w:hAnsi="Arial" w:cs="Arial"/>
        </w:rPr>
        <w:t xml:space="preserve">(spiked during assay) and assay </w:t>
      </w:r>
      <w:r w:rsidR="00595981" w:rsidRPr="00A96926">
        <w:rPr>
          <w:rFonts w:ascii="Arial" w:hAnsi="Arial" w:cs="Arial"/>
        </w:rPr>
        <w:t>performed</w:t>
      </w:r>
      <w:r w:rsidR="007D2048" w:rsidRPr="00A96926">
        <w:rPr>
          <w:rFonts w:ascii="Arial" w:hAnsi="Arial" w:cs="Arial"/>
        </w:rPr>
        <w:t xml:space="preserve"> as above w</w:t>
      </w:r>
      <w:r w:rsidR="00595981" w:rsidRPr="00A96926">
        <w:rPr>
          <w:rFonts w:ascii="Arial" w:hAnsi="Arial" w:cs="Arial"/>
        </w:rPr>
        <w:t>ith the following differences: d</w:t>
      </w:r>
      <w:r w:rsidR="007D2048" w:rsidRPr="00A96926">
        <w:rPr>
          <w:rFonts w:ascii="Arial" w:hAnsi="Arial" w:cs="Arial"/>
        </w:rPr>
        <w:t xml:space="preserve">e-gas step was performed in XF medium deprived of glucose and sodium pyruvate and supplemented with broad spectrum purinergic receptor antagonist PPADS </w:t>
      </w:r>
      <w:r w:rsidR="004863C7" w:rsidRPr="00A96926">
        <w:rPr>
          <w:rFonts w:ascii="Arial" w:hAnsi="Arial" w:cs="Arial"/>
        </w:rPr>
        <w:t xml:space="preserve">(100 µM) </w:t>
      </w:r>
      <w:r w:rsidR="007D2048" w:rsidRPr="00A96926">
        <w:rPr>
          <w:rFonts w:ascii="Arial" w:hAnsi="Arial" w:cs="Arial"/>
        </w:rPr>
        <w:t xml:space="preserve">or </w:t>
      </w:r>
      <w:proofErr w:type="spellStart"/>
      <w:r w:rsidR="007D2048" w:rsidRPr="00A96926">
        <w:rPr>
          <w:rFonts w:ascii="Arial" w:hAnsi="Arial" w:cs="Arial"/>
        </w:rPr>
        <w:t>suramin</w:t>
      </w:r>
      <w:proofErr w:type="spellEnd"/>
      <w:r w:rsidR="004863C7" w:rsidRPr="00A96926">
        <w:rPr>
          <w:rFonts w:ascii="Arial" w:hAnsi="Arial" w:cs="Arial"/>
        </w:rPr>
        <w:t xml:space="preserve"> (100 µM) or controls</w:t>
      </w:r>
      <w:r w:rsidR="007D2048" w:rsidRPr="00A96926">
        <w:rPr>
          <w:rFonts w:ascii="Arial" w:hAnsi="Arial" w:cs="Arial"/>
        </w:rPr>
        <w:t xml:space="preserve">. Extracellular acidification rate (ECAR) was measured for 4 baseline cycles and injection strategy initiated. Cells were injected with </w:t>
      </w:r>
      <w:proofErr w:type="spellStart"/>
      <w:r w:rsidR="007D2048" w:rsidRPr="00A96926">
        <w:rPr>
          <w:rFonts w:ascii="Arial" w:hAnsi="Arial" w:cs="Arial"/>
        </w:rPr>
        <w:t>ATP</w:t>
      </w:r>
      <w:r w:rsidR="00595981" w:rsidRPr="00A96926">
        <w:rPr>
          <w:rFonts w:ascii="Arial" w:hAnsi="Arial" w:cs="Arial"/>
        </w:rPr>
        <w:t>γ</w:t>
      </w:r>
      <w:r w:rsidR="007D2048" w:rsidRPr="00A96926">
        <w:rPr>
          <w:rFonts w:ascii="Arial" w:hAnsi="Arial" w:cs="Arial"/>
        </w:rPr>
        <w:t>S</w:t>
      </w:r>
      <w:proofErr w:type="spellEnd"/>
      <w:r w:rsidR="007D2048" w:rsidRPr="00A96926">
        <w:rPr>
          <w:rFonts w:ascii="Arial" w:hAnsi="Arial" w:cs="Arial"/>
        </w:rPr>
        <w:t xml:space="preserve"> or control (</w:t>
      </w:r>
      <w:r w:rsidR="00595981" w:rsidRPr="00A96926">
        <w:rPr>
          <w:rFonts w:ascii="Arial" w:hAnsi="Arial" w:cs="Arial"/>
        </w:rPr>
        <w:t>dH</w:t>
      </w:r>
      <w:r w:rsidR="00595981" w:rsidRPr="00A96926">
        <w:rPr>
          <w:rFonts w:ascii="Arial" w:hAnsi="Arial" w:cs="Arial"/>
          <w:vertAlign w:val="subscript"/>
        </w:rPr>
        <w:t>2</w:t>
      </w:r>
      <w:r w:rsidR="00595981" w:rsidRPr="00A96926">
        <w:rPr>
          <w:rFonts w:ascii="Arial" w:hAnsi="Arial" w:cs="Arial"/>
        </w:rPr>
        <w:t xml:space="preserve">O) followed by a </w:t>
      </w:r>
      <w:r w:rsidR="00595981" w:rsidRPr="00A96926">
        <w:rPr>
          <w:rFonts w:ascii="Arial" w:hAnsi="Arial" w:cs="Arial"/>
        </w:rPr>
        <w:lastRenderedPageBreak/>
        <w:t>saturating</w:t>
      </w:r>
      <w:r w:rsidR="007D2048" w:rsidRPr="00A96926">
        <w:rPr>
          <w:rFonts w:ascii="Arial" w:hAnsi="Arial" w:cs="Arial"/>
        </w:rPr>
        <w:t xml:space="preserve"> concentration of glucose (</w:t>
      </w:r>
      <w:r w:rsidR="00595981" w:rsidRPr="00A96926">
        <w:rPr>
          <w:rFonts w:ascii="Arial" w:hAnsi="Arial" w:cs="Arial"/>
        </w:rPr>
        <w:t xml:space="preserve">10 </w:t>
      </w:r>
      <w:proofErr w:type="spellStart"/>
      <w:r w:rsidR="007D2048" w:rsidRPr="00A96926">
        <w:rPr>
          <w:rFonts w:ascii="Arial" w:hAnsi="Arial" w:cs="Arial"/>
        </w:rPr>
        <w:t>m</w:t>
      </w:r>
      <w:r w:rsidR="00595981" w:rsidRPr="00A96926">
        <w:rPr>
          <w:rFonts w:ascii="Arial" w:hAnsi="Arial" w:cs="Arial"/>
        </w:rPr>
        <w:t>M</w:t>
      </w:r>
      <w:proofErr w:type="spellEnd"/>
      <w:r w:rsidR="007D2048" w:rsidRPr="00A96926">
        <w:rPr>
          <w:rFonts w:ascii="Arial" w:hAnsi="Arial" w:cs="Arial"/>
        </w:rPr>
        <w:t xml:space="preserve">), </w:t>
      </w:r>
      <w:proofErr w:type="spellStart"/>
      <w:r w:rsidR="007D2048" w:rsidRPr="00A96926">
        <w:rPr>
          <w:rFonts w:ascii="Arial" w:hAnsi="Arial" w:cs="Arial"/>
        </w:rPr>
        <w:t>oligomycin</w:t>
      </w:r>
      <w:proofErr w:type="spellEnd"/>
      <w:r w:rsidR="007D2048" w:rsidRPr="00A96926">
        <w:rPr>
          <w:rFonts w:ascii="Arial" w:hAnsi="Arial" w:cs="Arial"/>
        </w:rPr>
        <w:t xml:space="preserve"> (2 µM) and 2-DG (50 </w:t>
      </w:r>
      <w:proofErr w:type="spellStart"/>
      <w:r w:rsidR="007D2048" w:rsidRPr="00A96926">
        <w:rPr>
          <w:rFonts w:ascii="Arial" w:hAnsi="Arial" w:cs="Arial"/>
        </w:rPr>
        <w:t>mM</w:t>
      </w:r>
      <w:proofErr w:type="spellEnd"/>
      <w:r w:rsidR="007D2048" w:rsidRPr="00A96926">
        <w:rPr>
          <w:rFonts w:ascii="Arial" w:hAnsi="Arial" w:cs="Arial"/>
        </w:rPr>
        <w:t>)</w:t>
      </w:r>
      <w:r w:rsidR="00595981" w:rsidRPr="00A96926">
        <w:rPr>
          <w:rFonts w:ascii="Arial" w:hAnsi="Arial" w:cs="Arial"/>
        </w:rPr>
        <w:t>,</w:t>
      </w:r>
      <w:r w:rsidR="007D2048" w:rsidRPr="00A96926">
        <w:rPr>
          <w:rFonts w:ascii="Arial" w:hAnsi="Arial" w:cs="Arial"/>
        </w:rPr>
        <w:t xml:space="preserve"> every 4 cycles. </w:t>
      </w:r>
    </w:p>
    <w:p w14:paraId="206448C0" w14:textId="77777777" w:rsidR="00E92401" w:rsidRPr="00A96926" w:rsidRDefault="00137D85" w:rsidP="00A95633">
      <w:pPr>
        <w:spacing w:line="360" w:lineRule="auto"/>
        <w:jc w:val="both"/>
        <w:rPr>
          <w:rFonts w:ascii="Arial" w:hAnsi="Arial" w:cs="Arial"/>
          <w:b/>
          <w:i/>
          <w:iCs/>
        </w:rPr>
      </w:pPr>
      <w:r w:rsidRPr="00A96926">
        <w:rPr>
          <w:rFonts w:ascii="Arial" w:hAnsi="Arial" w:cs="Arial"/>
        </w:rPr>
        <w:t xml:space="preserve">Following completion of all assays, media was removed and cells lysed with sodium hydroxide (100 µL per well of 50 </w:t>
      </w:r>
      <w:proofErr w:type="spellStart"/>
      <w:r w:rsidRPr="00A96926">
        <w:rPr>
          <w:rFonts w:ascii="Arial" w:hAnsi="Arial" w:cs="Arial"/>
        </w:rPr>
        <w:t>mM</w:t>
      </w:r>
      <w:proofErr w:type="spellEnd"/>
      <w:r w:rsidRPr="00A96926">
        <w:rPr>
          <w:rFonts w:ascii="Arial" w:hAnsi="Arial" w:cs="Arial"/>
        </w:rPr>
        <w:t xml:space="preserve"> </w:t>
      </w:r>
      <w:proofErr w:type="spellStart"/>
      <w:r w:rsidRPr="00A96926">
        <w:rPr>
          <w:rFonts w:ascii="Arial" w:hAnsi="Arial" w:cs="Arial"/>
        </w:rPr>
        <w:t>NaOH</w:t>
      </w:r>
      <w:proofErr w:type="spellEnd"/>
      <w:r w:rsidRPr="00A96926">
        <w:rPr>
          <w:rFonts w:ascii="Arial" w:hAnsi="Arial" w:cs="Arial"/>
        </w:rPr>
        <w:t xml:space="preserve">). Protein concentrations were quantified using the Bradford method. OCR and ECAR readings were normalised to total protein concentration in each well.  </w:t>
      </w:r>
    </w:p>
    <w:p w14:paraId="4247AE6A" w14:textId="77777777" w:rsidR="007D4595" w:rsidRPr="00A96926" w:rsidRDefault="007D4595" w:rsidP="00A95633">
      <w:pPr>
        <w:spacing w:line="360" w:lineRule="auto"/>
        <w:jc w:val="both"/>
        <w:rPr>
          <w:rFonts w:ascii="Arial" w:hAnsi="Arial" w:cs="Arial"/>
          <w:b/>
          <w:i/>
          <w:iCs/>
          <w:color w:val="000000" w:themeColor="text1"/>
        </w:rPr>
      </w:pPr>
    </w:p>
    <w:p w14:paraId="52FAE8FB" w14:textId="77777777" w:rsidR="00504D0C" w:rsidRPr="00A96926" w:rsidRDefault="00504D0C" w:rsidP="00A95633">
      <w:pPr>
        <w:spacing w:line="360" w:lineRule="auto"/>
        <w:jc w:val="both"/>
        <w:rPr>
          <w:rFonts w:ascii="Arial" w:hAnsi="Arial" w:cs="Arial"/>
          <w:b/>
          <w:i/>
          <w:iCs/>
          <w:color w:val="000000" w:themeColor="text1"/>
        </w:rPr>
      </w:pPr>
      <w:r w:rsidRPr="00A96926">
        <w:rPr>
          <w:rFonts w:ascii="Arial" w:hAnsi="Arial" w:cs="Arial"/>
          <w:b/>
          <w:i/>
          <w:iCs/>
          <w:color w:val="000000" w:themeColor="text1"/>
        </w:rPr>
        <w:t>Measurement of intracellular calcium</w:t>
      </w:r>
    </w:p>
    <w:p w14:paraId="7EC8C22B" w14:textId="77777777" w:rsidR="00290A0F" w:rsidRPr="004F6F28" w:rsidRDefault="00290A0F" w:rsidP="00A95633">
      <w:pPr>
        <w:spacing w:after="0" w:line="360" w:lineRule="auto"/>
        <w:ind w:right="-188"/>
        <w:jc w:val="both"/>
        <w:rPr>
          <w:rFonts w:ascii="Arial" w:hAnsi="Arial" w:cs="Arial"/>
          <w:color w:val="000000" w:themeColor="text1"/>
        </w:rPr>
      </w:pPr>
      <w:r w:rsidRPr="00A96926">
        <w:rPr>
          <w:rFonts w:ascii="Arial" w:hAnsi="Arial" w:cs="Arial"/>
          <w:color w:val="000000" w:themeColor="text1"/>
        </w:rPr>
        <w:t>Changes in intracellular calcium were assessed using the fluorescent calcium indicator Fluo-4 Direct. C2C12 myoblasts were plated in clear, flat bottomed 96 well plates at a seeding density of 5x10</w:t>
      </w:r>
      <w:r w:rsidRPr="00A96926">
        <w:rPr>
          <w:rFonts w:ascii="Arial" w:hAnsi="Arial" w:cs="Arial"/>
          <w:color w:val="000000" w:themeColor="text1"/>
          <w:vertAlign w:val="superscript"/>
        </w:rPr>
        <w:t xml:space="preserve">3 </w:t>
      </w:r>
      <w:r w:rsidRPr="00A96926">
        <w:rPr>
          <w:rFonts w:ascii="Arial" w:hAnsi="Arial" w:cs="Arial"/>
          <w:color w:val="000000" w:themeColor="text1"/>
        </w:rPr>
        <w:t xml:space="preserve">cells/well in plating medium and differentiated (as above) for 7 days. On the day of the experiment, cells were serum starved for up to 2 hours before being incubated with Fluo-4 Direct-containing phenol red free media (PRF, supplemented with 25 </w:t>
      </w:r>
      <w:proofErr w:type="spellStart"/>
      <w:r w:rsidRPr="00A96926">
        <w:rPr>
          <w:rFonts w:ascii="Arial" w:hAnsi="Arial" w:cs="Arial"/>
          <w:color w:val="000000" w:themeColor="text1"/>
        </w:rPr>
        <w:t>mM</w:t>
      </w:r>
      <w:proofErr w:type="spellEnd"/>
      <w:r w:rsidRPr="00A96926">
        <w:rPr>
          <w:rFonts w:ascii="Arial" w:hAnsi="Arial" w:cs="Arial"/>
          <w:color w:val="000000" w:themeColor="text1"/>
        </w:rPr>
        <w:t xml:space="preserve"> HEPES and 5.5 </w:t>
      </w:r>
      <w:proofErr w:type="spellStart"/>
      <w:r w:rsidRPr="00A96926">
        <w:rPr>
          <w:rFonts w:ascii="Arial" w:hAnsi="Arial" w:cs="Arial"/>
          <w:color w:val="000000" w:themeColor="text1"/>
        </w:rPr>
        <w:t>mM</w:t>
      </w:r>
      <w:proofErr w:type="spellEnd"/>
      <w:r w:rsidRPr="00A96926">
        <w:rPr>
          <w:rFonts w:ascii="Arial" w:hAnsi="Arial" w:cs="Arial"/>
          <w:color w:val="000000" w:themeColor="text1"/>
        </w:rPr>
        <w:t xml:space="preserve"> glucose) for 60 minutes at 37</w:t>
      </w:r>
      <w:r w:rsidRPr="00A96926">
        <w:rPr>
          <w:rFonts w:ascii="Arial" w:hAnsi="Arial" w:cs="Arial"/>
          <w:color w:val="000000" w:themeColor="text1"/>
          <w:vertAlign w:val="superscript"/>
        </w:rPr>
        <w:t>o</w:t>
      </w:r>
      <w:r w:rsidRPr="00A96926">
        <w:rPr>
          <w:rFonts w:ascii="Arial" w:hAnsi="Arial" w:cs="Arial"/>
          <w:color w:val="000000" w:themeColor="text1"/>
        </w:rPr>
        <w:t xml:space="preserve">C. Following incubation, fluorescence was captured using a </w:t>
      </w:r>
      <w:proofErr w:type="spellStart"/>
      <w:r w:rsidRPr="00A96926">
        <w:rPr>
          <w:rFonts w:ascii="Arial" w:hAnsi="Arial" w:cs="Arial"/>
          <w:color w:val="000000" w:themeColor="text1"/>
        </w:rPr>
        <w:t>PHERAstar</w:t>
      </w:r>
      <w:proofErr w:type="spellEnd"/>
      <w:r w:rsidRPr="00A96926">
        <w:rPr>
          <w:rFonts w:ascii="Arial" w:hAnsi="Arial" w:cs="Arial"/>
          <w:color w:val="000000" w:themeColor="text1"/>
        </w:rPr>
        <w:t xml:space="preserve"> FS plate reader with 485 nm and 520 nm excitation and emission wavelengths, respectively. Measurements were recorded every 0.2 seconds with compounds used to stimulate calcium responses being injected after 30 seconds. Cells were acutely injected with ATP stock solution (10X in PRF medium) or control (dH</w:t>
      </w:r>
      <w:r w:rsidRPr="00A96926">
        <w:rPr>
          <w:rFonts w:ascii="Arial" w:hAnsi="Arial" w:cs="Arial"/>
          <w:color w:val="000000" w:themeColor="text1"/>
          <w:vertAlign w:val="subscript"/>
        </w:rPr>
        <w:t>2</w:t>
      </w:r>
      <w:r w:rsidRPr="00A96926">
        <w:rPr>
          <w:rFonts w:ascii="Arial" w:hAnsi="Arial" w:cs="Arial"/>
          <w:color w:val="000000" w:themeColor="text1"/>
        </w:rPr>
        <w:t>O in PRF)</w:t>
      </w:r>
      <w:r w:rsidR="00662A94" w:rsidRPr="00A96926">
        <w:rPr>
          <w:rFonts w:ascii="Arial" w:hAnsi="Arial" w:cs="Arial"/>
          <w:color w:val="000000" w:themeColor="text1"/>
        </w:rPr>
        <w:t xml:space="preserve"> </w:t>
      </w:r>
      <w:r w:rsidRPr="00A96926">
        <w:rPr>
          <w:rFonts w:ascii="Arial" w:hAnsi="Arial" w:cs="Arial"/>
          <w:color w:val="000000" w:themeColor="text1"/>
        </w:rPr>
        <w:t xml:space="preserve">to achieve final concentrations in well between 0 – 200 </w:t>
      </w:r>
      <w:r w:rsidR="00662A94" w:rsidRPr="00A96926">
        <w:rPr>
          <w:rFonts w:ascii="Arial" w:hAnsi="Arial" w:cs="Arial"/>
          <w:color w:val="000000" w:themeColor="text1"/>
        </w:rPr>
        <w:t>µ</w:t>
      </w:r>
      <w:r w:rsidRPr="00A96926">
        <w:rPr>
          <w:rFonts w:ascii="Arial" w:hAnsi="Arial" w:cs="Arial"/>
          <w:color w:val="000000" w:themeColor="text1"/>
        </w:rPr>
        <w:t>M. Changes in calcium were expressed as relative fluorescent units normalised to a baseline value of 1.</w:t>
      </w:r>
    </w:p>
    <w:p w14:paraId="76CDD56B" w14:textId="77777777" w:rsidR="00290A0F" w:rsidRPr="004F6F28" w:rsidRDefault="00290A0F" w:rsidP="00A95633">
      <w:pPr>
        <w:spacing w:line="360" w:lineRule="auto"/>
        <w:jc w:val="both"/>
        <w:rPr>
          <w:rFonts w:ascii="Arial" w:hAnsi="Arial" w:cs="Arial"/>
          <w:b/>
          <w:i/>
          <w:iCs/>
          <w:color w:val="000000" w:themeColor="text1"/>
        </w:rPr>
      </w:pPr>
    </w:p>
    <w:p w14:paraId="518155FE" w14:textId="77777777" w:rsidR="001E2573" w:rsidRPr="004F6F28" w:rsidRDefault="001E2573" w:rsidP="00A95633">
      <w:pPr>
        <w:spacing w:line="360" w:lineRule="auto"/>
        <w:jc w:val="both"/>
        <w:rPr>
          <w:rFonts w:ascii="Arial" w:hAnsi="Arial" w:cs="Arial"/>
        </w:rPr>
      </w:pPr>
    </w:p>
    <w:p w14:paraId="69CCCF4E" w14:textId="77777777" w:rsidR="00FC44D4" w:rsidRPr="004F6F28" w:rsidRDefault="00FC44D4" w:rsidP="00A95633">
      <w:pPr>
        <w:spacing w:line="360" w:lineRule="auto"/>
        <w:jc w:val="both"/>
        <w:rPr>
          <w:rFonts w:ascii="Arial" w:hAnsi="Arial" w:cs="Arial"/>
        </w:rPr>
      </w:pPr>
    </w:p>
    <w:p w14:paraId="7139E1F6" w14:textId="77777777" w:rsidR="00FC44D4" w:rsidRPr="004F6F28" w:rsidRDefault="00FC44D4" w:rsidP="00A95633">
      <w:pPr>
        <w:spacing w:line="360" w:lineRule="auto"/>
        <w:jc w:val="both"/>
        <w:rPr>
          <w:rFonts w:ascii="Arial" w:hAnsi="Arial" w:cs="Arial"/>
        </w:rPr>
      </w:pPr>
    </w:p>
    <w:p w14:paraId="549E9985" w14:textId="77777777" w:rsidR="00FC44D4" w:rsidRPr="004F6F28" w:rsidRDefault="00FC44D4" w:rsidP="00A95633">
      <w:pPr>
        <w:spacing w:line="360" w:lineRule="auto"/>
        <w:jc w:val="both"/>
        <w:rPr>
          <w:rFonts w:ascii="Arial" w:hAnsi="Arial" w:cs="Arial"/>
        </w:rPr>
      </w:pPr>
    </w:p>
    <w:sectPr w:rsidR="00FC44D4" w:rsidRPr="004F6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602BD"/>
    <w:multiLevelType w:val="hybridMultilevel"/>
    <w:tmpl w:val="A8A697D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78"/>
    <w:rsid w:val="00024795"/>
    <w:rsid w:val="00040A5C"/>
    <w:rsid w:val="00137D85"/>
    <w:rsid w:val="00143A58"/>
    <w:rsid w:val="001641DB"/>
    <w:rsid w:val="001819D5"/>
    <w:rsid w:val="00190C74"/>
    <w:rsid w:val="001A383F"/>
    <w:rsid w:val="001A5428"/>
    <w:rsid w:val="001E2573"/>
    <w:rsid w:val="00234A53"/>
    <w:rsid w:val="00290A0F"/>
    <w:rsid w:val="003E382F"/>
    <w:rsid w:val="00460241"/>
    <w:rsid w:val="004863C7"/>
    <w:rsid w:val="004B37DE"/>
    <w:rsid w:val="004D5BE0"/>
    <w:rsid w:val="004D69E6"/>
    <w:rsid w:val="004F6F28"/>
    <w:rsid w:val="004F7872"/>
    <w:rsid w:val="00504D0C"/>
    <w:rsid w:val="00572788"/>
    <w:rsid w:val="00580E12"/>
    <w:rsid w:val="00595981"/>
    <w:rsid w:val="00660E1F"/>
    <w:rsid w:val="00662A94"/>
    <w:rsid w:val="0066704E"/>
    <w:rsid w:val="00730390"/>
    <w:rsid w:val="00730BAB"/>
    <w:rsid w:val="00742278"/>
    <w:rsid w:val="007635B4"/>
    <w:rsid w:val="007B5674"/>
    <w:rsid w:val="007D2048"/>
    <w:rsid w:val="007D4595"/>
    <w:rsid w:val="008D5FE0"/>
    <w:rsid w:val="008E3FDC"/>
    <w:rsid w:val="0090496B"/>
    <w:rsid w:val="00910FCF"/>
    <w:rsid w:val="0096239B"/>
    <w:rsid w:val="00A208E3"/>
    <w:rsid w:val="00A95633"/>
    <w:rsid w:val="00A96926"/>
    <w:rsid w:val="00AC7C93"/>
    <w:rsid w:val="00BF5F14"/>
    <w:rsid w:val="00C16BF2"/>
    <w:rsid w:val="00C8207D"/>
    <w:rsid w:val="00C847EA"/>
    <w:rsid w:val="00C97BD7"/>
    <w:rsid w:val="00D62D5D"/>
    <w:rsid w:val="00D64BBE"/>
    <w:rsid w:val="00DE335D"/>
    <w:rsid w:val="00E92401"/>
    <w:rsid w:val="00F82991"/>
    <w:rsid w:val="00FA24D8"/>
    <w:rsid w:val="00FC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0AE"/>
  <w15:chartTrackingRefBased/>
  <w15:docId w15:val="{8DECEE53-498B-4B74-9703-959D56A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9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0A0F"/>
    <w:rPr>
      <w:rFonts w:ascii="Times New Roman" w:eastAsia="Times New Roman" w:hAnsi="Times New Roman" w:cs="Times New Roman"/>
      <w:b/>
      <w:bCs/>
      <w:kern w:val="36"/>
      <w:sz w:val="48"/>
      <w:szCs w:val="48"/>
      <w:lang w:eastAsia="en-GB"/>
    </w:rPr>
  </w:style>
  <w:style w:type="paragraph" w:styleId="ListParagraph">
    <w:name w:val="List Paragraph"/>
    <w:basedOn w:val="Normal"/>
    <w:link w:val="ListParagraphChar"/>
    <w:uiPriority w:val="34"/>
    <w:qFormat/>
    <w:rsid w:val="00AC7C93"/>
    <w:pPr>
      <w:spacing w:after="200" w:line="480" w:lineRule="auto"/>
      <w:ind w:left="720"/>
      <w:contextualSpacing/>
      <w:jc w:val="both"/>
    </w:pPr>
    <w:rPr>
      <w:rFonts w:ascii="Arial" w:hAnsi="Arial"/>
      <w:sz w:val="24"/>
    </w:rPr>
  </w:style>
  <w:style w:type="character" w:customStyle="1" w:styleId="ListParagraphChar">
    <w:name w:val="List Paragraph Char"/>
    <w:basedOn w:val="DefaultParagraphFont"/>
    <w:link w:val="ListParagraph"/>
    <w:uiPriority w:val="34"/>
    <w:rsid w:val="00AC7C93"/>
    <w:rPr>
      <w:rFonts w:ascii="Arial" w:hAnsi="Arial"/>
      <w:sz w:val="24"/>
    </w:rPr>
  </w:style>
  <w:style w:type="paragraph" w:styleId="BalloonText">
    <w:name w:val="Balloon Text"/>
    <w:basedOn w:val="Normal"/>
    <w:link w:val="BalloonTextChar"/>
    <w:uiPriority w:val="99"/>
    <w:semiHidden/>
    <w:unhideWhenUsed/>
    <w:rsid w:val="00143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4998">
      <w:bodyDiv w:val="1"/>
      <w:marLeft w:val="0"/>
      <w:marRight w:val="0"/>
      <w:marTop w:val="0"/>
      <w:marBottom w:val="0"/>
      <w:divBdr>
        <w:top w:val="none" w:sz="0" w:space="0" w:color="auto"/>
        <w:left w:val="none" w:sz="0" w:space="0" w:color="auto"/>
        <w:bottom w:val="none" w:sz="0" w:space="0" w:color="auto"/>
        <w:right w:val="none" w:sz="0" w:space="0" w:color="auto"/>
      </w:divBdr>
    </w:div>
    <w:div w:id="18790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3DBF2522BFE4BA559A2BD39596134" ma:contentTypeVersion="13" ma:contentTypeDescription="Create a new document." ma:contentTypeScope="" ma:versionID="3c4ad0ee4b1337e4c378961017f01a7e">
  <xsd:schema xmlns:xsd="http://www.w3.org/2001/XMLSchema" xmlns:xs="http://www.w3.org/2001/XMLSchema" xmlns:p="http://schemas.microsoft.com/office/2006/metadata/properties" xmlns:ns3="055ac354-3312-42a9-a117-6a80494420b0" xmlns:ns4="c4afdae0-0c2b-4eed-aba4-5f54ea6d1a28" targetNamespace="http://schemas.microsoft.com/office/2006/metadata/properties" ma:root="true" ma:fieldsID="5f6328f7464f2324f63431283060dadf" ns3:_="" ns4:_="">
    <xsd:import namespace="055ac354-3312-42a9-a117-6a80494420b0"/>
    <xsd:import namespace="c4afdae0-0c2b-4eed-aba4-5f54ea6d1a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ac354-3312-42a9-a117-6a8049442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fdae0-0c2b-4eed-aba4-5f54ea6d1a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0E39B-12D4-41E8-BDC2-2623B6606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0A813-38F7-4C1C-8C0B-9898C1B2C786}">
  <ds:schemaRefs>
    <ds:schemaRef ds:uri="http://schemas.microsoft.com/sharepoint/v3/contenttype/forms"/>
  </ds:schemaRefs>
</ds:datastoreItem>
</file>

<file path=customXml/itemProps3.xml><?xml version="1.0" encoding="utf-8"?>
<ds:datastoreItem xmlns:ds="http://schemas.openxmlformats.org/officeDocument/2006/customXml" ds:itemID="{EF83AD2C-23A4-4E8F-898C-A259031F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ac354-3312-42a9-a117-6a80494420b0"/>
    <ds:schemaRef ds:uri="c4afdae0-0c2b-4eed-aba4-5f54ea6d1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Ana Miguel Cruz</dc:creator>
  <cp:keywords/>
  <dc:description/>
  <cp:lastModifiedBy>Beall, Craig</cp:lastModifiedBy>
  <cp:revision>2</cp:revision>
  <dcterms:created xsi:type="dcterms:W3CDTF">2020-09-04T15:20:00Z</dcterms:created>
  <dcterms:modified xsi:type="dcterms:W3CDTF">2020-09-04T15:20:00Z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0x01010034B3DBF2522BFE4BA559A2BD39596134</vt:lpwstr>
  </property>
</Properties>
</file>