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290F" w14:textId="77777777" w:rsidR="00AB1E60" w:rsidRPr="00D91864" w:rsidRDefault="00AB1E60" w:rsidP="00AB1E60">
      <w:pPr>
        <w:pStyle w:val="NoSpacing"/>
        <w:spacing w:line="360" w:lineRule="auto"/>
        <w:rPr>
          <w:rFonts w:ascii="Times New Roman" w:hAnsi="Times New Roman" w:cs="Times New Roman"/>
        </w:rPr>
      </w:pPr>
      <w:r w:rsidRPr="00E65BF0">
        <w:rPr>
          <w:rFonts w:ascii="Times New Roman" w:hAnsi="Times New Roman" w:cs="Times New Roman"/>
          <w:b/>
        </w:rPr>
        <w:t>Appendix A.</w:t>
      </w:r>
      <w:r w:rsidRPr="00D91864">
        <w:rPr>
          <w:rFonts w:ascii="Times New Roman" w:hAnsi="Times New Roman" w:cs="Times New Roman"/>
        </w:rPr>
        <w:t xml:space="preserve"> Payoff function</w:t>
      </w:r>
      <w:r>
        <w:rPr>
          <w:rFonts w:ascii="Times New Roman" w:hAnsi="Times New Roman" w:cs="Times New Roman"/>
        </w:rPr>
        <w:t xml:space="preserve"> (Taken from Mackay et al, 2019) </w:t>
      </w:r>
    </w:p>
    <w:p w14:paraId="07B3EA96" w14:textId="77777777" w:rsidR="00AB1E60" w:rsidRPr="00D91864" w:rsidRDefault="00AB1E60" w:rsidP="00AB1E60">
      <w:pPr>
        <w:pStyle w:val="NoSpacing"/>
        <w:spacing w:line="360" w:lineRule="auto"/>
        <w:rPr>
          <w:rFonts w:ascii="Times New Roman" w:hAnsi="Times New Roman" w:cs="Times New Roman"/>
        </w:rPr>
      </w:pPr>
      <w:r w:rsidRPr="00D91864">
        <w:rPr>
          <w:rFonts w:ascii="Times New Roman" w:hAnsi="Times New Roman" w:cs="Times New Roman"/>
        </w:rPr>
        <w:t xml:space="preserve">To determine the payment for the participants the payoff function was extrapolated from a standard formulation in a static CPR game without any rules being applied </w:t>
      </w:r>
      <w:r w:rsidRPr="00D91864">
        <w:rPr>
          <w:rFonts w:ascii="Times New Roman" w:hAnsi="Times New Roman" w:cs="Times New Roman"/>
        </w:rPr>
        <w:fldChar w:fldCharType="begin" w:fldLock="1"/>
      </w:r>
      <w:r>
        <w:rPr>
          <w:rFonts w:ascii="Times New Roman" w:hAnsi="Times New Roman" w:cs="Times New Roman"/>
        </w:rPr>
        <w:instrText>ADDIN CSL_CITATION {"citationItems":[{"id":"ITEM-1","itemData":{"DOI":"10.1016/0095-0696(90)90069-B","ISBN":"0095-0696","ISSN":"10960449","abstract":"This paper examines group behavior in an experimental environment designed to parallel the conditions specified in noncooperative models of limited-access common-pool resources. Using experimental methods, we investigate the strength of theoretical models which predict that users of such resources will appropriate units at a rate at which the marginal returns from appropriation are greater than the marginal appropriation costs. Our results confirm the prediction of suboptimal accrual of rents and offer evidence on the effects of increasing investment capital available to appropriators. © 1990.","author":[{"dropping-particle":"","family":"Walker","given":"James M.","non-dropping-particle":"","parse-names":false,"suffix":""},{"dropping-particle":"","family":"Gardner","given":"Roy","non-dropping-particle":"","parse-names":false,"suffix":""},{"dropping-particle":"","family":"Ostrom","given":"Elinor","non-dropping-particle":"","parse-names":false,"suffix":""}],"container-title":"Journal of Environmental Economics and Management","id":"ITEM-1","issue":"3","issued":{"date-parts":[["1990","11"]]},"page":"203-211","title":"Rent dissipation in a limited-access common-pool resource: Experimental evidence","type":"article-journal","volume":"19"},"uris":["http://www.mendeley.com/documents/?uuid=1f06bcc7-3132-365d-b2ba-6080f25b5558"]},{"id":"ITEM-2","itemData":{"DOI":"10.1177/0022002706290433","ISBN":"0022-0027","ISSN":"0022-0027","abstract":"Despite a large theoretical and empirical literature on public goods and common-pool resources, a systematic comparison of these two types of social dilemmas is lacking. In fact, there is some confusion about these two types of dilemma situations. As a result, they are often treated alike. In line with the theoretical literature, the authors argue that the degree of rivalry is the fundamental difference between the two games. Furthermore, they experimentally study behavior in a quadratic public good and a quadratic common-pool resource game with identical Pareto-optimum but divergent interior Nash equilibria. The results show that participants clearly perceive the differences in rivalry. Aggregate behavior in both games starts relatively close to Pareto efficiency and converges quickly to the respective Nash equilibrium.","author":[{"dropping-particle":"","family":"Apesteguia","given":"Jose","non-dropping-particle":"","parse-names":false,"suffix":""},{"dropping-particle":"","family":"Maier-Rigaud","given":"Frank P","non-dropping-particle":"","parse-names":false,"suffix":""}],"container-title":"Journal of Conflict Resolution","id":"ITEM-2","issue":"5","issued":{"date-parts":[["2006"]]},"page":"646-663","title":"The Role of Rivalry: Public Goods Versus Common-Pool Resources","type":"article-journal","volume":"50"},"uris":["http://www.mendeley.com/documents/?uuid=f5cb6fa3-5614-471f-b647-b09db2974bc4"]}],"mendeley":{"formattedCitation":"(Walker, Gardner and Ostrom, 1990; Apesteguia and Maier-Rigaud, 2006)","plainTextFormattedCitation":"(Walker, Gardner and Ostrom, 1990; Apesteguia and Maier-Rigaud, 2006)","previouslyFormattedCitation":"(Walker, Gardner and Ostrom, 1990; Apesteguia and Maier-Rigaud, 2006)"},"properties":{"noteIndex":0},"schema":"https://github.com/citation-style-language/schema/raw/master/csl-citation.json"}</w:instrText>
      </w:r>
      <w:r w:rsidRPr="00D91864">
        <w:rPr>
          <w:rFonts w:ascii="Times New Roman" w:hAnsi="Times New Roman" w:cs="Times New Roman"/>
        </w:rPr>
        <w:fldChar w:fldCharType="separate"/>
      </w:r>
      <w:r w:rsidRPr="00751A8F">
        <w:rPr>
          <w:rFonts w:ascii="Times New Roman" w:hAnsi="Times New Roman" w:cs="Times New Roman"/>
          <w:noProof/>
        </w:rPr>
        <w:t>(Walker, Gardner and Ostrom, 1990; Apesteguia and Maier-Rigaud, 2006)</w:t>
      </w:r>
      <w:r w:rsidRPr="00D91864">
        <w:rPr>
          <w:rFonts w:ascii="Times New Roman" w:hAnsi="Times New Roman" w:cs="Times New Roman"/>
        </w:rPr>
        <w:fldChar w:fldCharType="end"/>
      </w:r>
      <w:r w:rsidRPr="00D91864">
        <w:rPr>
          <w:rFonts w:ascii="Times New Roman" w:hAnsi="Times New Roman" w:cs="Times New Roman"/>
        </w:rPr>
        <w:t xml:space="preserve">. Participant </w:t>
      </w:r>
      <w:r w:rsidRPr="00D91864">
        <w:rPr>
          <w:rFonts w:ascii="Times New Roman" w:hAnsi="Times New Roman" w:cs="Times New Roman"/>
          <w:i/>
        </w:rPr>
        <w:t>i</w:t>
      </w:r>
      <w:r w:rsidRPr="00D91864">
        <w:rPr>
          <w:rFonts w:ascii="Times New Roman" w:hAnsi="Times New Roman" w:cs="Times New Roman"/>
        </w:rPr>
        <w:t>’s payoff (</w:t>
      </w:r>
      <m:oMath>
        <m:sSub>
          <m:sSubPr>
            <m:ctrlPr>
              <w:rPr>
                <w:rFonts w:ascii="Cambria Math" w:eastAsia="DengXian" w:hAnsi="Cambria Math" w:cs="Times New Roman"/>
                <w:i/>
              </w:rPr>
            </m:ctrlPr>
          </m:sSubPr>
          <m:e>
            <m:r>
              <w:rPr>
                <w:rFonts w:ascii="Cambria Math" w:eastAsia="DengXian" w:hAnsi="Cambria Math" w:cs="Times New Roman"/>
              </w:rPr>
              <m:t>P</m:t>
            </m:r>
          </m:e>
          <m:sub>
            <m:r>
              <w:rPr>
                <w:rFonts w:ascii="Cambria Math" w:eastAsia="DengXian" w:hAnsi="Cambria Math" w:cs="Times New Roman"/>
              </w:rPr>
              <m:t xml:space="preserve">i </m:t>
            </m:r>
          </m:sub>
        </m:sSub>
      </m:oMath>
      <w:r w:rsidRPr="00D91864">
        <w:rPr>
          <w:rFonts w:ascii="Times New Roman" w:hAnsi="Times New Roman" w:cs="Times New Roman"/>
        </w:rPr>
        <w:t xml:space="preserve">) is given as: </w:t>
      </w:r>
    </w:p>
    <w:p w14:paraId="1C3B3092" w14:textId="77777777" w:rsidR="00AB1E60" w:rsidRPr="00D91864" w:rsidRDefault="00AB1E60" w:rsidP="00AB1E60">
      <w:pPr>
        <w:pStyle w:val="NoSpacing"/>
        <w:spacing w:line="360" w:lineRule="auto"/>
        <w:rPr>
          <w:rFonts w:ascii="Times New Roman" w:hAnsi="Times New Roman" w:cs="Times New Roman"/>
        </w:rPr>
      </w:pPr>
    </w:p>
    <w:p w14:paraId="25C30DBC" w14:textId="77777777" w:rsidR="00AB1E60" w:rsidRPr="00D91864" w:rsidRDefault="001D730C" w:rsidP="00AB1E60">
      <w:pPr>
        <w:pStyle w:val="NoSpacing"/>
        <w:spacing w:line="360" w:lineRule="auto"/>
        <w:ind w:left="2880" w:firstLine="720"/>
        <w:rPr>
          <w:rFonts w:ascii="Times New Roman" w:hAnsi="Times New Roman" w:cs="Times New Roman"/>
        </w:rPr>
      </w:pPr>
      <m:oMath>
        <m:sSub>
          <m:sSubPr>
            <m:ctrlPr>
              <w:rPr>
                <w:rFonts w:ascii="Cambria Math" w:eastAsia="DengXian" w:hAnsi="Cambria Math" w:cs="Times New Roman"/>
                <w:i/>
              </w:rPr>
            </m:ctrlPr>
          </m:sSubPr>
          <m:e>
            <m:r>
              <w:rPr>
                <w:rFonts w:ascii="Cambria Math" w:eastAsia="DengXian" w:hAnsi="Cambria Math" w:cs="Times New Roman"/>
              </w:rPr>
              <m:t>P</m:t>
            </m:r>
          </m:e>
          <m:sub>
            <m:r>
              <w:rPr>
                <w:rFonts w:ascii="Cambria Math" w:eastAsia="DengXian" w:hAnsi="Cambria Math" w:cs="Times New Roman"/>
              </w:rPr>
              <m:t xml:space="preserve">i </m:t>
            </m:r>
          </m:sub>
        </m:sSub>
        <m:r>
          <w:rPr>
            <w:rFonts w:ascii="Cambria Math" w:eastAsia="DengXian" w:hAnsi="Cambria Math" w:cs="Times New Roman"/>
          </w:rPr>
          <m:t>=</m:t>
        </m:r>
        <m:d>
          <m:dPr>
            <m:begChr m:val="{"/>
            <m:endChr m:val="}"/>
            <m:ctrlPr>
              <w:rPr>
                <w:rFonts w:ascii="Cambria Math" w:eastAsia="DengXian" w:hAnsi="Cambria Math" w:cs="Times New Roman"/>
                <w:i/>
              </w:rPr>
            </m:ctrlPr>
          </m:dPr>
          <m:e>
            <m:d>
              <m:dPr>
                <m:begChr m:val="["/>
                <m:endChr m:val="]"/>
                <m:ctrlPr>
                  <w:rPr>
                    <w:rFonts w:ascii="Cambria Math" w:eastAsia="DengXian" w:hAnsi="Cambria Math" w:cs="Times New Roman"/>
                    <w:i/>
                  </w:rPr>
                </m:ctrlPr>
              </m:dPr>
              <m:e>
                <m:r>
                  <w:rPr>
                    <w:rFonts w:ascii="Cambria Math" w:eastAsia="DengXian" w:hAnsi="Cambria Math" w:cs="Times New Roman"/>
                  </w:rPr>
                  <m:t>aY-</m:t>
                </m:r>
                <m:sSup>
                  <m:sSupPr>
                    <m:ctrlPr>
                      <w:rPr>
                        <w:rFonts w:ascii="Cambria Math" w:eastAsia="DengXian" w:hAnsi="Cambria Math" w:cs="Times New Roman"/>
                        <w:i/>
                      </w:rPr>
                    </m:ctrlPr>
                  </m:sSupPr>
                  <m:e>
                    <m:r>
                      <w:rPr>
                        <w:rFonts w:ascii="Cambria Math" w:eastAsia="DengXian" w:hAnsi="Cambria Math" w:cs="Times New Roman"/>
                      </w:rPr>
                      <m:t>bY</m:t>
                    </m:r>
                  </m:e>
                  <m:sup>
                    <m:r>
                      <w:rPr>
                        <w:rFonts w:ascii="Cambria Math" w:eastAsia="DengXian" w:hAnsi="Cambria Math" w:cs="Times New Roman"/>
                      </w:rPr>
                      <m:t>2</m:t>
                    </m:r>
                  </m:sup>
                </m:sSup>
              </m:e>
            </m:d>
            <m:f>
              <m:fPr>
                <m:ctrlPr>
                  <w:rPr>
                    <w:rFonts w:ascii="Cambria Math" w:eastAsia="DengXian" w:hAnsi="Cambria Math" w:cs="Times New Roman"/>
                    <w:i/>
                  </w:rPr>
                </m:ctrlPr>
              </m:fPr>
              <m:num>
                <m:sSub>
                  <m:sSubPr>
                    <m:ctrlPr>
                      <w:rPr>
                        <w:rFonts w:ascii="Cambria Math" w:eastAsia="DengXian" w:hAnsi="Cambria Math" w:cs="Times New Roman"/>
                        <w:i/>
                      </w:rPr>
                    </m:ctrlPr>
                  </m:sSubPr>
                  <m:e>
                    <m:r>
                      <w:rPr>
                        <w:rFonts w:ascii="Cambria Math" w:eastAsia="DengXian" w:hAnsi="Cambria Math" w:cs="Times New Roman"/>
                      </w:rPr>
                      <m:t>x</m:t>
                    </m:r>
                  </m:e>
                  <m:sub>
                    <m:r>
                      <w:rPr>
                        <w:rFonts w:ascii="Cambria Math" w:eastAsia="DengXian" w:hAnsi="Cambria Math" w:cs="Times New Roman"/>
                      </w:rPr>
                      <m:t>i</m:t>
                    </m:r>
                  </m:sub>
                </m:sSub>
              </m:num>
              <m:den>
                <m:r>
                  <w:rPr>
                    <w:rFonts w:ascii="Cambria Math" w:eastAsia="DengXian" w:hAnsi="Cambria Math" w:cs="Times New Roman"/>
                  </w:rPr>
                  <m:t>Y</m:t>
                </m:r>
              </m:den>
            </m:f>
            <m:r>
              <w:rPr>
                <w:rFonts w:ascii="Cambria Math" w:eastAsia="DengXian" w:hAnsi="Cambria Math" w:cs="Times New Roman"/>
              </w:rPr>
              <m:t>-c</m:t>
            </m:r>
            <m:sSub>
              <m:sSubPr>
                <m:ctrlPr>
                  <w:rPr>
                    <w:rFonts w:ascii="Cambria Math" w:eastAsia="DengXian" w:hAnsi="Cambria Math" w:cs="Times New Roman"/>
                    <w:i/>
                  </w:rPr>
                </m:ctrlPr>
              </m:sSubPr>
              <m:e>
                <m:r>
                  <w:rPr>
                    <w:rFonts w:ascii="Cambria Math" w:eastAsia="DengXian" w:hAnsi="Cambria Math" w:cs="Times New Roman"/>
                  </w:rPr>
                  <m:t>x</m:t>
                </m:r>
              </m:e>
              <m:sub>
                <m:r>
                  <w:rPr>
                    <w:rFonts w:ascii="Cambria Math" w:eastAsia="DengXian" w:hAnsi="Cambria Math" w:cs="Times New Roman"/>
                  </w:rPr>
                  <m:t>i</m:t>
                </m:r>
              </m:sub>
            </m:sSub>
          </m:e>
        </m:d>
        <m:r>
          <w:rPr>
            <w:rFonts w:ascii="Cambria Math" w:eastAsia="DengXian" w:hAnsi="Cambria Math" w:cs="Times New Roman"/>
          </w:rPr>
          <m:t>+</m:t>
        </m:r>
        <m:d>
          <m:dPr>
            <m:begChr m:val="{"/>
            <m:endChr m:val="}"/>
            <m:ctrlPr>
              <w:rPr>
                <w:rFonts w:ascii="Cambria Math" w:eastAsia="DengXian" w:hAnsi="Cambria Math" w:cs="Times New Roman"/>
                <w:i/>
              </w:rPr>
            </m:ctrlPr>
          </m:dPr>
          <m:e>
            <m:r>
              <w:rPr>
                <w:rFonts w:ascii="Cambria Math" w:eastAsia="DengXian" w:hAnsi="Cambria Math" w:cs="Times New Roman"/>
              </w:rPr>
              <m:t>d-e</m:t>
            </m:r>
            <m:sSub>
              <m:sSubPr>
                <m:ctrlPr>
                  <w:rPr>
                    <w:rFonts w:ascii="Cambria Math" w:eastAsia="DengXian" w:hAnsi="Cambria Math" w:cs="Times New Roman"/>
                    <w:i/>
                  </w:rPr>
                </m:ctrlPr>
              </m:sSubPr>
              <m:e>
                <m:r>
                  <w:rPr>
                    <w:rFonts w:ascii="Cambria Math" w:eastAsia="DengXian" w:hAnsi="Cambria Math" w:cs="Times New Roman"/>
                  </w:rPr>
                  <m:t>Y</m:t>
                </m:r>
              </m:e>
              <m:sub>
                <m:r>
                  <w:rPr>
                    <w:rFonts w:ascii="Cambria Math" w:eastAsia="DengXian" w:hAnsi="Cambria Math" w:cs="Times New Roman"/>
                  </w:rPr>
                  <m:t>-i</m:t>
                </m:r>
              </m:sub>
            </m:sSub>
          </m:e>
        </m:d>
      </m:oMath>
      <w:r w:rsidR="00AB1E60" w:rsidRPr="00D91864">
        <w:rPr>
          <w:rFonts w:ascii="Times New Roman" w:hAnsi="Times New Roman" w:cs="Times New Roman"/>
        </w:rPr>
        <w:t xml:space="preserve">  </w:t>
      </w:r>
      <w:r w:rsidR="00AB1E60" w:rsidRPr="00D91864">
        <w:rPr>
          <w:rFonts w:ascii="Times New Roman" w:hAnsi="Times New Roman" w:cs="Times New Roman"/>
        </w:rPr>
        <w:tab/>
      </w:r>
      <w:r w:rsidR="00AB1E60" w:rsidRPr="00D91864">
        <w:rPr>
          <w:rFonts w:ascii="Times New Roman" w:hAnsi="Times New Roman" w:cs="Times New Roman"/>
        </w:rPr>
        <w:tab/>
      </w:r>
      <w:r w:rsidR="00AB1E60" w:rsidRPr="00D91864">
        <w:rPr>
          <w:rFonts w:ascii="Times New Roman" w:hAnsi="Times New Roman" w:cs="Times New Roman"/>
        </w:rPr>
        <w:tab/>
        <w:t>(1)</w:t>
      </w:r>
    </w:p>
    <w:p w14:paraId="46F29DB8" w14:textId="77777777" w:rsidR="00AB1E60" w:rsidRPr="00D91864" w:rsidRDefault="00AB1E60" w:rsidP="00AB1E60">
      <w:pPr>
        <w:pStyle w:val="NoSpacing"/>
        <w:spacing w:line="360" w:lineRule="auto"/>
        <w:rPr>
          <w:rFonts w:ascii="Times New Roman" w:hAnsi="Times New Roman" w:cs="Times New Roman"/>
        </w:rPr>
      </w:pPr>
    </w:p>
    <w:p w14:paraId="64996D10" w14:textId="77777777" w:rsidR="00AB1E60" w:rsidRPr="006B329B" w:rsidRDefault="00AB1E60" w:rsidP="00AB1E60">
      <w:pPr>
        <w:pStyle w:val="NoSpacing"/>
        <w:spacing w:line="360" w:lineRule="auto"/>
        <w:rPr>
          <w:rFonts w:ascii="Times New Roman" w:hAnsi="Times New Roman" w:cs="Times New Roman"/>
          <w:shd w:val="clear" w:color="auto" w:fill="FFFFFF"/>
        </w:rPr>
      </w:pPr>
      <w:r w:rsidRPr="00D91864">
        <w:rPr>
          <w:rFonts w:ascii="Times New Roman" w:hAnsi="Times New Roman" w:cs="Times New Roman"/>
        </w:rPr>
        <w:t xml:space="preserve">where </w:t>
      </w:r>
      <w:r w:rsidRPr="00D91864">
        <w:rPr>
          <w:rFonts w:ascii="Times New Roman" w:hAnsi="Times New Roman" w:cs="Times New Roman"/>
          <w:i/>
        </w:rPr>
        <w:t>x</w:t>
      </w:r>
      <w:r w:rsidRPr="00D91864">
        <w:rPr>
          <w:rFonts w:ascii="Times New Roman" w:hAnsi="Times New Roman" w:cs="Times New Roman"/>
          <w:i/>
          <w:vertAlign w:val="subscript"/>
        </w:rPr>
        <w:t>i</w:t>
      </w:r>
      <w:r w:rsidRPr="00D91864">
        <w:rPr>
          <w:rFonts w:ascii="Times New Roman" w:hAnsi="Times New Roman" w:cs="Times New Roman"/>
        </w:rPr>
        <w:t xml:space="preserve"> is the number of fish caught by the participant, </w:t>
      </w:r>
      <w:r w:rsidRPr="00D91864">
        <w:rPr>
          <w:rFonts w:ascii="Times New Roman" w:hAnsi="Times New Roman" w:cs="Times New Roman"/>
          <w:i/>
        </w:rPr>
        <w:t>Y</w:t>
      </w:r>
      <w:r w:rsidRPr="00D91864">
        <w:rPr>
          <w:rFonts w:ascii="Times New Roman" w:hAnsi="Times New Roman" w:cs="Times New Roman"/>
        </w:rPr>
        <w:t xml:space="preserve"> is the total number of fish caught in the fishery (</w:t>
      </w:r>
      <m:oMath>
        <m:r>
          <w:rPr>
            <w:rFonts w:ascii="Cambria Math" w:hAnsi="Cambria Math" w:cs="Times New Roman"/>
          </w:rPr>
          <m:t>Y=</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oMath>
      <w:r w:rsidRPr="00D91864">
        <w:rPr>
          <w:rFonts w:ascii="Times New Roman" w:hAnsi="Times New Roman" w:cs="Times New Roman"/>
        </w:rPr>
        <w:t xml:space="preserve">), </w:t>
      </w:r>
      <w:r w:rsidRPr="00D91864">
        <w:rPr>
          <w:rFonts w:ascii="Times New Roman" w:hAnsi="Times New Roman" w:cs="Times New Roman"/>
          <w:i/>
        </w:rPr>
        <w:t>Y</w:t>
      </w:r>
      <w:r w:rsidRPr="00D91864">
        <w:rPr>
          <w:rFonts w:ascii="Times New Roman" w:hAnsi="Times New Roman" w:cs="Times New Roman"/>
          <w:i/>
          <w:vertAlign w:val="subscript"/>
        </w:rPr>
        <w:t>-</w:t>
      </w:r>
      <w:proofErr w:type="spellStart"/>
      <w:r w:rsidRPr="00D91864">
        <w:rPr>
          <w:rFonts w:ascii="Times New Roman" w:hAnsi="Times New Roman" w:cs="Times New Roman"/>
          <w:i/>
          <w:vertAlign w:val="subscript"/>
        </w:rPr>
        <w:t>i</w:t>
      </w:r>
      <w:proofErr w:type="spellEnd"/>
      <w:r w:rsidRPr="00D91864">
        <w:rPr>
          <w:rFonts w:ascii="Times New Roman" w:hAnsi="Times New Roman" w:cs="Times New Roman"/>
          <w:vertAlign w:val="subscript"/>
        </w:rPr>
        <w:t xml:space="preserve"> </w:t>
      </w:r>
      <w:r w:rsidRPr="00D91864">
        <w:rPr>
          <w:rFonts w:ascii="Times New Roman" w:hAnsi="Times New Roman" w:cs="Times New Roman"/>
        </w:rPr>
        <w:t>is the total number of fish caught by other fishers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nary>
          <m:naryPr>
            <m:chr m:val="∑"/>
            <m:limLoc m:val="subSup"/>
            <m:supHide m:val="1"/>
            <m:ctrlPr>
              <w:rPr>
                <w:rFonts w:ascii="Cambria Math" w:hAnsi="Cambria Math" w:cs="Times New Roman"/>
                <w:i/>
              </w:rPr>
            </m:ctrlPr>
          </m:naryPr>
          <m:sub>
            <m:r>
              <w:rPr>
                <w:rFonts w:ascii="Cambria Math" w:hAnsi="Cambria Math" w:cs="Times New Roman"/>
              </w:rPr>
              <m:t>j≠i</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e>
        </m:nary>
      </m:oMath>
      <w:r w:rsidRPr="00D91864">
        <w:rPr>
          <w:rFonts w:ascii="Times New Roman" w:hAnsi="Times New Roman" w:cs="Times New Roman"/>
        </w:rPr>
        <w:t xml:space="preserve">), and </w:t>
      </w:r>
      <w:r w:rsidRPr="00D91864">
        <w:rPr>
          <w:rFonts w:ascii="Times New Roman" w:hAnsi="Times New Roman" w:cs="Times New Roman"/>
          <w:i/>
        </w:rPr>
        <w:t>a, b, c, d</w:t>
      </w:r>
      <w:r w:rsidRPr="00D91864">
        <w:rPr>
          <w:rFonts w:ascii="Times New Roman" w:hAnsi="Times New Roman" w:cs="Times New Roman"/>
        </w:rPr>
        <w:t xml:space="preserve"> and </w:t>
      </w:r>
      <w:r w:rsidRPr="00D91864">
        <w:rPr>
          <w:rFonts w:ascii="Times New Roman" w:hAnsi="Times New Roman" w:cs="Times New Roman"/>
          <w:i/>
        </w:rPr>
        <w:t xml:space="preserve">e </w:t>
      </w:r>
      <w:r w:rsidRPr="00D91864">
        <w:rPr>
          <w:rFonts w:ascii="Times New Roman" w:hAnsi="Times New Roman" w:cs="Times New Roman"/>
        </w:rPr>
        <w:t xml:space="preserve">are the parameters. This specification of the payoff incorporates the two types of benefits derived from recreational fishing. The first benefit, which is directly associated with the catch, is represented by the first expression in curly brackets on the right-hand side of the equation. This type of benefit is strictly concave in own-catch </w:t>
      </w:r>
      <w:r w:rsidRPr="00D91864">
        <w:rPr>
          <w:rFonts w:ascii="Times New Roman" w:hAnsi="Times New Roman" w:cs="Times New Roman"/>
          <w:i/>
          <w:iCs/>
        </w:rPr>
        <w:t>x</w:t>
      </w:r>
      <w:r w:rsidRPr="00D91864">
        <w:rPr>
          <w:rFonts w:ascii="Times New Roman" w:hAnsi="Times New Roman" w:cs="Times New Roman"/>
          <w:i/>
          <w:iCs/>
          <w:vertAlign w:val="subscript"/>
        </w:rPr>
        <w:t>i</w:t>
      </w:r>
      <w:r w:rsidRPr="00D91864">
        <w:rPr>
          <w:rFonts w:ascii="Times New Roman" w:hAnsi="Times New Roman" w:cs="Times New Roman"/>
        </w:rPr>
        <w:t xml:space="preserve"> and decreases with an increase in the group’s catch </w:t>
      </w:r>
      <w:r w:rsidRPr="00D91864">
        <w:rPr>
          <w:rFonts w:ascii="Times New Roman" w:hAnsi="Times New Roman" w:cs="Times New Roman"/>
          <w:i/>
          <w:iCs/>
        </w:rPr>
        <w:t>Y</w:t>
      </w:r>
      <w:r w:rsidRPr="00D91864">
        <w:rPr>
          <w:rFonts w:ascii="Times New Roman" w:hAnsi="Times New Roman" w:cs="Times New Roman"/>
        </w:rPr>
        <w:t>. The second benefit, which is associated with the enjoyment benefit gained from the experience of the recreational activity itself, is represented by the expression in the second curly brackets and</w:t>
      </w:r>
      <w:r w:rsidRPr="00D91864">
        <w:rPr>
          <w:rFonts w:ascii="Times New Roman" w:hAnsi="Times New Roman" w:cs="Times New Roman"/>
          <w:lang w:val="en-US"/>
        </w:rPr>
        <w:t xml:space="preserve"> is negatively related to the intensity of others’ fishing</w:t>
      </w:r>
      <w:r w:rsidRPr="00D91864">
        <w:rPr>
          <w:rFonts w:ascii="Times New Roman" w:hAnsi="Times New Roman" w:cs="Times New Roman"/>
        </w:rPr>
        <w:t>. Therefore, an individual’s payoff exhibits diminishing marginal returns to increased own-catch (</w:t>
      </w:r>
      <m:oMath>
        <m:f>
          <m:fPr>
            <m:type m:val="lin"/>
            <m:ctrlPr>
              <w:rPr>
                <w:rFonts w:ascii="Cambria Math" w:hAnsi="Cambria Math" w:cs="Times New Roman"/>
                <w:i/>
              </w:rPr>
            </m:ctrlPr>
          </m:fPr>
          <m:num>
            <m:sSub>
              <m:sSubPr>
                <m:ctrlPr>
                  <w:rPr>
                    <w:rFonts w:ascii="Cambria Math" w:eastAsia="DengXian" w:hAnsi="Cambria Math" w:cs="Times New Roman"/>
                    <w:i/>
                  </w:rPr>
                </m:ctrlPr>
              </m:sSubPr>
              <m:e>
                <m:sSup>
                  <m:sSupPr>
                    <m:ctrlPr>
                      <w:rPr>
                        <w:rFonts w:ascii="Cambria Math" w:eastAsia="DengXian" w:hAnsi="Cambria Math" w:cs="Times New Roman"/>
                        <w:i/>
                      </w:rPr>
                    </m:ctrlPr>
                  </m:sSupPr>
                  <m:e>
                    <m:r>
                      <w:rPr>
                        <w:rFonts w:ascii="Cambria Math" w:eastAsia="DengXian" w:hAnsi="Cambria Math" w:cs="Times New Roman"/>
                      </w:rPr>
                      <m:t>∂</m:t>
                    </m:r>
                  </m:e>
                  <m:sup>
                    <m:r>
                      <w:rPr>
                        <w:rFonts w:ascii="Cambria Math" w:eastAsia="DengXian" w:hAnsi="Cambria Math" w:cs="Times New Roman"/>
                      </w:rPr>
                      <m:t>2</m:t>
                    </m:r>
                  </m:sup>
                </m:sSup>
                <m:r>
                  <w:rPr>
                    <w:rFonts w:ascii="Cambria Math" w:eastAsia="DengXian" w:hAnsi="Cambria Math" w:cs="Times New Roman"/>
                  </w:rPr>
                  <m:t>P</m:t>
                </m:r>
              </m:e>
              <m:sub>
                <m:r>
                  <w:rPr>
                    <w:rFonts w:ascii="Cambria Math" w:eastAsia="DengXian" w:hAnsi="Cambria Math" w:cs="Times New Roman"/>
                  </w:rPr>
                  <m:t>i</m:t>
                </m:r>
              </m:sub>
            </m:sSub>
          </m:num>
          <m:den>
            <m:r>
              <w:rPr>
                <w:rFonts w:ascii="Cambria Math" w:eastAsia="DengXian"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2</m:t>
                </m:r>
              </m:sup>
            </m:sSubSup>
          </m:den>
        </m:f>
        <m:r>
          <w:rPr>
            <w:rFonts w:ascii="Cambria Math" w:hAnsi="Cambria Math" w:cs="Times New Roman"/>
          </w:rPr>
          <m:t>&lt;0</m:t>
        </m:r>
      </m:oMath>
      <w:r w:rsidRPr="00D91864">
        <w:rPr>
          <w:rFonts w:ascii="Times New Roman" w:hAnsi="Times New Roman" w:cs="Times New Roman"/>
        </w:rPr>
        <w:t>) and decreases with others catch (</w:t>
      </w:r>
      <m:oMath>
        <m:f>
          <m:fPr>
            <m:type m:val="lin"/>
            <m:ctrlPr>
              <w:rPr>
                <w:rFonts w:ascii="Cambria Math" w:hAnsi="Cambria Math" w:cs="Times New Roman"/>
                <w:i/>
              </w:rPr>
            </m:ctrlPr>
          </m:fPr>
          <m:num>
            <m:sSub>
              <m:sSubPr>
                <m:ctrlPr>
                  <w:rPr>
                    <w:rFonts w:ascii="Cambria Math" w:eastAsia="DengXian" w:hAnsi="Cambria Math" w:cs="Times New Roman"/>
                    <w:i/>
                  </w:rPr>
                </m:ctrlPr>
              </m:sSubPr>
              <m:e>
                <m:r>
                  <w:rPr>
                    <w:rFonts w:ascii="Cambria Math" w:eastAsia="DengXian" w:hAnsi="Cambria Math" w:cs="Times New Roman"/>
                  </w:rPr>
                  <m:t>∂P</m:t>
                </m:r>
              </m:e>
              <m:sub>
                <m:r>
                  <w:rPr>
                    <w:rFonts w:ascii="Cambria Math" w:eastAsia="DengXian" w:hAnsi="Cambria Math" w:cs="Times New Roman"/>
                  </w:rPr>
                  <m:t>i</m:t>
                </m:r>
              </m:sub>
            </m:sSub>
          </m:num>
          <m:den>
            <m:r>
              <w:rPr>
                <w:rFonts w:ascii="Cambria Math" w:eastAsia="DengXian"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den>
        </m:f>
        <m:r>
          <w:rPr>
            <w:rFonts w:ascii="Cambria Math" w:hAnsi="Cambria Math" w:cs="Times New Roman"/>
          </w:rPr>
          <m:t>&lt;0</m:t>
        </m:r>
      </m:oMath>
      <w:r w:rsidRPr="00D91864">
        <w:rPr>
          <w:rFonts w:ascii="Times New Roman" w:hAnsi="Times New Roman" w:cs="Times New Roman"/>
        </w:rPr>
        <w:t xml:space="preserve">). </w:t>
      </w:r>
      <w:r w:rsidRPr="00D91864">
        <w:rPr>
          <w:rFonts w:ascii="Times New Roman" w:hAnsi="Times New Roman" w:cs="Times New Roman"/>
          <w:shd w:val="clear" w:color="auto" w:fill="FFFFFF"/>
        </w:rPr>
        <w:t>Furthermore, the marginal returns to increased own-catch diminishes with others catch (</w:t>
      </w:r>
      <m:oMath>
        <m:f>
          <m:fPr>
            <m:type m:val="lin"/>
            <m:ctrlPr>
              <w:rPr>
                <w:rFonts w:ascii="Cambria Math" w:hAnsi="Cambria Math" w:cs="Times New Roman"/>
                <w:i/>
              </w:rPr>
            </m:ctrlPr>
          </m:fPr>
          <m:num>
            <m:sSub>
              <m:sSubPr>
                <m:ctrlPr>
                  <w:rPr>
                    <w:rFonts w:ascii="Cambria Math" w:eastAsia="DengXian" w:hAnsi="Cambria Math" w:cs="Times New Roman"/>
                    <w:i/>
                  </w:rPr>
                </m:ctrlPr>
              </m:sSubPr>
              <m:e>
                <m:sSup>
                  <m:sSupPr>
                    <m:ctrlPr>
                      <w:rPr>
                        <w:rFonts w:ascii="Cambria Math" w:eastAsia="DengXian" w:hAnsi="Cambria Math" w:cs="Times New Roman"/>
                        <w:i/>
                      </w:rPr>
                    </m:ctrlPr>
                  </m:sSupPr>
                  <m:e>
                    <m:r>
                      <w:rPr>
                        <w:rFonts w:ascii="Cambria Math" w:eastAsia="DengXian" w:hAnsi="Cambria Math" w:cs="Times New Roman"/>
                      </w:rPr>
                      <m:t>∂</m:t>
                    </m:r>
                  </m:e>
                  <m:sup>
                    <m:r>
                      <w:rPr>
                        <w:rFonts w:ascii="Cambria Math" w:eastAsia="DengXian" w:hAnsi="Cambria Math" w:cs="Times New Roman"/>
                      </w:rPr>
                      <m:t>2</m:t>
                    </m:r>
                  </m:sup>
                </m:sSup>
                <m:r>
                  <w:rPr>
                    <w:rFonts w:ascii="Cambria Math" w:eastAsia="DengXian" w:hAnsi="Cambria Math" w:cs="Times New Roman"/>
                  </w:rPr>
                  <m:t>P</m:t>
                </m:r>
              </m:e>
              <m:sub>
                <m:r>
                  <w:rPr>
                    <w:rFonts w:ascii="Cambria Math" w:eastAsia="DengXian" w:hAnsi="Cambria Math" w:cs="Times New Roman"/>
                  </w:rPr>
                  <m:t>i</m:t>
                </m:r>
              </m:sub>
            </m:sSub>
          </m:num>
          <m:den>
            <m:d>
              <m:dPr>
                <m:begChr m:val="["/>
                <m:endChr m:val="]"/>
                <m:ctrlPr>
                  <w:rPr>
                    <w:rFonts w:ascii="Cambria Math" w:eastAsia="DengXian" w:hAnsi="Cambria Math" w:cs="Times New Roman"/>
                    <w:i/>
                  </w:rPr>
                </m:ctrlPr>
              </m:dPr>
              <m:e>
                <m:r>
                  <w:rPr>
                    <w:rFonts w:ascii="Cambria Math" w:eastAsia="DengXian"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m:t>
                    </m:r>
                  </m:sub>
                </m:sSub>
                <m:r>
                  <w:rPr>
                    <w:rFonts w:ascii="Cambria Math" w:eastAsia="DengXian"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den>
        </m:f>
        <m:r>
          <w:rPr>
            <w:rFonts w:ascii="Cambria Math" w:hAnsi="Cambria Math" w:cs="Times New Roman"/>
          </w:rPr>
          <m:t>&lt;0</m:t>
        </m:r>
      </m:oMath>
      <w:r w:rsidRPr="00D91864">
        <w:rPr>
          <w:rFonts w:ascii="Times New Roman" w:hAnsi="Times New Roman" w:cs="Times New Roman"/>
          <w:shd w:val="clear" w:color="auto" w:fill="FFFFFF"/>
        </w:rPr>
        <w:t xml:space="preserve">). </w:t>
      </w:r>
      <w:r w:rsidRPr="00D91864">
        <w:rPr>
          <w:rFonts w:ascii="Times New Roman" w:hAnsi="Times New Roman" w:cs="Times New Roman"/>
        </w:rPr>
        <w:t>The first element is consistent with empirical evidence that the highest satisfaction is obtained from the first fish caught and a marginal return of satisfaction that diminishes for increasing catch (Beardmore et al. 2015). The second and third elements reflect</w:t>
      </w:r>
      <w:r w:rsidRPr="00D91864">
        <w:rPr>
          <w:rFonts w:ascii="Times New Roman" w:hAnsi="Times New Roman" w:cs="Times New Roman"/>
          <w:shd w:val="clear" w:color="auto" w:fill="FFFFFF"/>
        </w:rPr>
        <w:t xml:space="preserve"> the fact that an individual’s level of enjoyment in recreational fishing and additional enjoyment from extra catch are influenced by other peoples’ decisions in terms of the health of the stock and how busy the fishing spots are.</w:t>
      </w:r>
      <w:r>
        <w:br w:type="page"/>
      </w:r>
    </w:p>
    <w:p w14:paraId="6CF9FB1E" w14:textId="77777777" w:rsidR="00AB1E60" w:rsidRPr="00D91864" w:rsidRDefault="00AB1E60" w:rsidP="00AB1E60">
      <w:pPr>
        <w:rPr>
          <w:sz w:val="22"/>
          <w:szCs w:val="22"/>
        </w:rPr>
      </w:pPr>
      <w:r w:rsidRPr="00E65BF0">
        <w:rPr>
          <w:b/>
          <w:sz w:val="22"/>
          <w:szCs w:val="22"/>
        </w:rPr>
        <w:lastRenderedPageBreak/>
        <w:t>Appendix B</w:t>
      </w:r>
      <w:r w:rsidRPr="00D91864">
        <w:rPr>
          <w:sz w:val="22"/>
          <w:szCs w:val="22"/>
        </w:rPr>
        <w:t>. Sensitivity analysis on ordering effect</w:t>
      </w:r>
    </w:p>
    <w:p w14:paraId="4D2394D9" w14:textId="77777777" w:rsidR="00AB1E60" w:rsidRPr="00D91864" w:rsidRDefault="00AB1E60" w:rsidP="00AB1E60">
      <w:pPr>
        <w:rPr>
          <w:sz w:val="22"/>
          <w:szCs w:val="22"/>
        </w:rPr>
      </w:pPr>
    </w:p>
    <w:p w14:paraId="691238D9" w14:textId="77777777" w:rsidR="00AB1E60" w:rsidRPr="00D91864" w:rsidRDefault="00AB1E60" w:rsidP="00AB1E60">
      <w:pPr>
        <w:rPr>
          <w:sz w:val="22"/>
          <w:szCs w:val="22"/>
        </w:rPr>
      </w:pPr>
      <w:r w:rsidRPr="00D91864">
        <w:rPr>
          <w:sz w:val="22"/>
          <w:szCs w:val="22"/>
        </w:rPr>
        <w:t>Table B.1 Comparison of proportions between full sample and two sub-samples to assess any ordering effect</w:t>
      </w:r>
    </w:p>
    <w:p w14:paraId="7B1BCBDF" w14:textId="77777777" w:rsidR="00AB1E60" w:rsidRPr="00D91864" w:rsidRDefault="00AB1E60" w:rsidP="00AB1E60">
      <w:pPr>
        <w:rPr>
          <w:sz w:val="22"/>
          <w:szCs w:val="22"/>
        </w:rPr>
      </w:pPr>
    </w:p>
    <w:tbl>
      <w:tblPr>
        <w:tblW w:w="10635" w:type="dxa"/>
        <w:tblLook w:val="04A0" w:firstRow="1" w:lastRow="0" w:firstColumn="1" w:lastColumn="0" w:noHBand="0" w:noVBand="1"/>
      </w:tblPr>
      <w:tblGrid>
        <w:gridCol w:w="2268"/>
        <w:gridCol w:w="702"/>
        <w:gridCol w:w="1101"/>
        <w:gridCol w:w="1032"/>
        <w:gridCol w:w="772"/>
        <w:gridCol w:w="753"/>
        <w:gridCol w:w="1102"/>
        <w:gridCol w:w="702"/>
        <w:gridCol w:w="1101"/>
        <w:gridCol w:w="1102"/>
      </w:tblGrid>
      <w:tr w:rsidR="00AB1E60" w:rsidRPr="00D91864" w14:paraId="7FB129DB" w14:textId="77777777" w:rsidTr="000A3810">
        <w:trPr>
          <w:trHeight w:val="328"/>
        </w:trPr>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469318E" w14:textId="77777777" w:rsidR="00AB1E60" w:rsidRPr="00D91864" w:rsidRDefault="00AB1E60" w:rsidP="000A3810">
            <w:pPr>
              <w:rPr>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F050F" w14:textId="77777777" w:rsidR="00AB1E60" w:rsidRPr="00D91864" w:rsidRDefault="00AB1E60" w:rsidP="000A3810">
            <w:pPr>
              <w:jc w:val="center"/>
              <w:rPr>
                <w:color w:val="000000"/>
                <w:sz w:val="22"/>
                <w:szCs w:val="22"/>
              </w:rPr>
            </w:pPr>
            <w:r w:rsidRPr="00D91864">
              <w:rPr>
                <w:color w:val="000000"/>
                <w:sz w:val="22"/>
                <w:szCs w:val="22"/>
              </w:rPr>
              <w:t>Normative in low deterrence</w:t>
            </w:r>
          </w:p>
        </w:tc>
        <w:tc>
          <w:tcPr>
            <w:tcW w:w="26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B64A" w14:textId="77777777" w:rsidR="00AB1E60" w:rsidRPr="00D91864" w:rsidRDefault="00AB1E60" w:rsidP="000A3810">
            <w:pPr>
              <w:jc w:val="center"/>
              <w:rPr>
                <w:color w:val="000000"/>
                <w:sz w:val="22"/>
                <w:szCs w:val="22"/>
              </w:rPr>
            </w:pPr>
            <w:r w:rsidRPr="00D91864">
              <w:rPr>
                <w:color w:val="000000"/>
                <w:sz w:val="22"/>
                <w:szCs w:val="22"/>
              </w:rPr>
              <w:t>Normative in high deterrence</w:t>
            </w:r>
          </w:p>
        </w:tc>
        <w:tc>
          <w:tcPr>
            <w:tcW w:w="2905" w:type="dxa"/>
            <w:gridSpan w:val="3"/>
            <w:tcBorders>
              <w:top w:val="single" w:sz="4" w:space="0" w:color="auto"/>
              <w:left w:val="single" w:sz="4" w:space="0" w:color="auto"/>
              <w:bottom w:val="single" w:sz="4" w:space="0" w:color="auto"/>
              <w:right w:val="nil"/>
            </w:tcBorders>
            <w:shd w:val="clear" w:color="auto" w:fill="auto"/>
            <w:noWrap/>
            <w:vAlign w:val="center"/>
            <w:hideMark/>
          </w:tcPr>
          <w:p w14:paraId="560B044F" w14:textId="77777777" w:rsidR="00AB1E60" w:rsidRPr="00D91864" w:rsidRDefault="00AB1E60" w:rsidP="000A3810">
            <w:pPr>
              <w:jc w:val="center"/>
              <w:rPr>
                <w:color w:val="000000"/>
                <w:sz w:val="22"/>
                <w:szCs w:val="22"/>
              </w:rPr>
            </w:pPr>
            <w:r w:rsidRPr="00D91864">
              <w:rPr>
                <w:color w:val="000000"/>
                <w:sz w:val="22"/>
                <w:szCs w:val="22"/>
              </w:rPr>
              <w:t>Instrumental</w:t>
            </w:r>
          </w:p>
        </w:tc>
      </w:tr>
      <w:tr w:rsidR="00AB1E60" w:rsidRPr="00D91864" w14:paraId="3F0C3D30" w14:textId="77777777" w:rsidTr="000A3810">
        <w:trPr>
          <w:cantSplit/>
          <w:trHeight w:val="1590"/>
        </w:trPr>
        <w:tc>
          <w:tcPr>
            <w:tcW w:w="2268" w:type="dxa"/>
            <w:tcBorders>
              <w:top w:val="single" w:sz="4" w:space="0" w:color="auto"/>
              <w:left w:val="nil"/>
              <w:bottom w:val="nil"/>
              <w:right w:val="single" w:sz="4" w:space="0" w:color="auto"/>
            </w:tcBorders>
            <w:shd w:val="clear" w:color="auto" w:fill="auto"/>
            <w:noWrap/>
            <w:vAlign w:val="center"/>
            <w:hideMark/>
          </w:tcPr>
          <w:p w14:paraId="4A9FAA9F" w14:textId="77777777" w:rsidR="00AB1E60" w:rsidRPr="00D91864" w:rsidRDefault="00AB1E60" w:rsidP="000A3810">
            <w:pPr>
              <w:jc w:val="center"/>
              <w:rPr>
                <w:color w:val="000000"/>
                <w:sz w:val="22"/>
                <w:szCs w:val="22"/>
              </w:rPr>
            </w:pPr>
            <w:r w:rsidRPr="00D91864">
              <w:rPr>
                <w:color w:val="000000"/>
                <w:sz w:val="22"/>
                <w:szCs w:val="22"/>
              </w:rPr>
              <w:t>Compliance Response Group</w:t>
            </w:r>
          </w:p>
        </w:tc>
        <w:tc>
          <w:tcPr>
            <w:tcW w:w="702" w:type="dxa"/>
            <w:tcBorders>
              <w:top w:val="single" w:sz="4" w:space="0" w:color="auto"/>
              <w:left w:val="single" w:sz="4" w:space="0" w:color="auto"/>
              <w:bottom w:val="single" w:sz="4" w:space="0" w:color="auto"/>
              <w:right w:val="nil"/>
            </w:tcBorders>
            <w:shd w:val="clear" w:color="auto" w:fill="auto"/>
            <w:noWrap/>
            <w:textDirection w:val="tbRl"/>
            <w:vAlign w:val="center"/>
            <w:hideMark/>
          </w:tcPr>
          <w:p w14:paraId="6A617D89" w14:textId="77777777" w:rsidR="00AB1E60" w:rsidRPr="00D91864" w:rsidRDefault="00AB1E60" w:rsidP="000A3810">
            <w:pPr>
              <w:ind w:left="113" w:right="113"/>
              <w:rPr>
                <w:color w:val="000000"/>
                <w:sz w:val="22"/>
                <w:szCs w:val="22"/>
              </w:rPr>
            </w:pPr>
            <w:r w:rsidRPr="00D91864">
              <w:rPr>
                <w:color w:val="000000"/>
                <w:sz w:val="22"/>
                <w:szCs w:val="22"/>
              </w:rPr>
              <w:t>Full sample</w:t>
            </w:r>
          </w:p>
        </w:tc>
        <w:tc>
          <w:tcPr>
            <w:tcW w:w="1101" w:type="dxa"/>
            <w:tcBorders>
              <w:top w:val="single" w:sz="4" w:space="0" w:color="auto"/>
              <w:left w:val="nil"/>
              <w:bottom w:val="single" w:sz="4" w:space="0" w:color="auto"/>
              <w:right w:val="nil"/>
            </w:tcBorders>
            <w:shd w:val="clear" w:color="auto" w:fill="auto"/>
            <w:noWrap/>
            <w:textDirection w:val="tbRl"/>
            <w:vAlign w:val="center"/>
            <w:hideMark/>
          </w:tcPr>
          <w:p w14:paraId="3919E090" w14:textId="77777777" w:rsidR="00AB1E60" w:rsidRPr="00D91864" w:rsidRDefault="00AB1E60" w:rsidP="000A3810">
            <w:pPr>
              <w:ind w:left="113" w:right="113"/>
              <w:rPr>
                <w:color w:val="000000"/>
                <w:sz w:val="22"/>
                <w:szCs w:val="22"/>
              </w:rPr>
            </w:pPr>
            <w:r w:rsidRPr="00D91864">
              <w:rPr>
                <w:color w:val="000000"/>
                <w:sz w:val="22"/>
                <w:szCs w:val="22"/>
              </w:rPr>
              <w:t>Sub-sample 1</w:t>
            </w:r>
          </w:p>
        </w:tc>
        <w:tc>
          <w:tcPr>
            <w:tcW w:w="103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0C8CE74" w14:textId="77777777" w:rsidR="00AB1E60" w:rsidRPr="00D91864" w:rsidRDefault="00AB1E60" w:rsidP="000A3810">
            <w:pPr>
              <w:ind w:left="113" w:right="113"/>
              <w:rPr>
                <w:color w:val="000000"/>
                <w:sz w:val="22"/>
                <w:szCs w:val="22"/>
              </w:rPr>
            </w:pPr>
            <w:r w:rsidRPr="00D91864">
              <w:rPr>
                <w:color w:val="000000"/>
                <w:sz w:val="22"/>
                <w:szCs w:val="22"/>
              </w:rPr>
              <w:t>Sub-sample 2</w:t>
            </w:r>
          </w:p>
        </w:tc>
        <w:tc>
          <w:tcPr>
            <w:tcW w:w="772" w:type="dxa"/>
            <w:tcBorders>
              <w:top w:val="single" w:sz="4" w:space="0" w:color="auto"/>
              <w:left w:val="single" w:sz="4" w:space="0" w:color="auto"/>
              <w:bottom w:val="single" w:sz="4" w:space="0" w:color="auto"/>
              <w:right w:val="nil"/>
            </w:tcBorders>
            <w:shd w:val="clear" w:color="auto" w:fill="auto"/>
            <w:noWrap/>
            <w:textDirection w:val="tbRl"/>
            <w:vAlign w:val="center"/>
            <w:hideMark/>
          </w:tcPr>
          <w:p w14:paraId="22A4FF53" w14:textId="77777777" w:rsidR="00AB1E60" w:rsidRPr="00D91864" w:rsidRDefault="00AB1E60" w:rsidP="000A3810">
            <w:pPr>
              <w:ind w:left="113" w:right="113"/>
              <w:rPr>
                <w:color w:val="000000"/>
                <w:sz w:val="22"/>
                <w:szCs w:val="22"/>
              </w:rPr>
            </w:pPr>
            <w:r w:rsidRPr="00D91864">
              <w:rPr>
                <w:color w:val="000000"/>
                <w:sz w:val="22"/>
                <w:szCs w:val="22"/>
              </w:rPr>
              <w:t>Full sample</w:t>
            </w:r>
          </w:p>
        </w:tc>
        <w:tc>
          <w:tcPr>
            <w:tcW w:w="753" w:type="dxa"/>
            <w:tcBorders>
              <w:top w:val="single" w:sz="4" w:space="0" w:color="auto"/>
              <w:left w:val="nil"/>
              <w:bottom w:val="single" w:sz="4" w:space="0" w:color="auto"/>
              <w:right w:val="nil"/>
            </w:tcBorders>
            <w:shd w:val="clear" w:color="auto" w:fill="auto"/>
            <w:noWrap/>
            <w:textDirection w:val="tbRl"/>
            <w:vAlign w:val="center"/>
            <w:hideMark/>
          </w:tcPr>
          <w:p w14:paraId="2EE3DC0F" w14:textId="77777777" w:rsidR="00AB1E60" w:rsidRPr="00D91864" w:rsidRDefault="00AB1E60" w:rsidP="000A3810">
            <w:pPr>
              <w:ind w:left="113" w:right="113"/>
              <w:rPr>
                <w:color w:val="000000"/>
                <w:sz w:val="22"/>
                <w:szCs w:val="22"/>
              </w:rPr>
            </w:pPr>
            <w:r w:rsidRPr="00D91864">
              <w:rPr>
                <w:color w:val="000000"/>
                <w:sz w:val="22"/>
                <w:szCs w:val="22"/>
              </w:rPr>
              <w:t>Sub-sample 1</w:t>
            </w:r>
          </w:p>
        </w:tc>
        <w:tc>
          <w:tcPr>
            <w:tcW w:w="1102"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767DFB2C" w14:textId="77777777" w:rsidR="00AB1E60" w:rsidRPr="00D91864" w:rsidRDefault="00AB1E60" w:rsidP="000A3810">
            <w:pPr>
              <w:ind w:left="113" w:right="113"/>
              <w:rPr>
                <w:color w:val="000000"/>
                <w:sz w:val="22"/>
                <w:szCs w:val="22"/>
              </w:rPr>
            </w:pPr>
            <w:r w:rsidRPr="00D91864">
              <w:rPr>
                <w:color w:val="000000"/>
                <w:sz w:val="22"/>
                <w:szCs w:val="22"/>
              </w:rPr>
              <w:t>Sub-sample 2</w:t>
            </w:r>
          </w:p>
        </w:tc>
        <w:tc>
          <w:tcPr>
            <w:tcW w:w="702" w:type="dxa"/>
            <w:tcBorders>
              <w:top w:val="single" w:sz="4" w:space="0" w:color="auto"/>
              <w:left w:val="single" w:sz="4" w:space="0" w:color="auto"/>
              <w:bottom w:val="single" w:sz="4" w:space="0" w:color="auto"/>
              <w:right w:val="nil"/>
            </w:tcBorders>
            <w:shd w:val="clear" w:color="auto" w:fill="auto"/>
            <w:noWrap/>
            <w:textDirection w:val="tbRl"/>
            <w:vAlign w:val="center"/>
            <w:hideMark/>
          </w:tcPr>
          <w:p w14:paraId="5A19AB03" w14:textId="77777777" w:rsidR="00AB1E60" w:rsidRPr="00D91864" w:rsidRDefault="00AB1E60" w:rsidP="000A3810">
            <w:pPr>
              <w:ind w:left="113" w:right="113"/>
              <w:rPr>
                <w:color w:val="000000"/>
                <w:sz w:val="22"/>
                <w:szCs w:val="22"/>
              </w:rPr>
            </w:pPr>
            <w:r w:rsidRPr="00D91864">
              <w:rPr>
                <w:color w:val="000000"/>
                <w:sz w:val="22"/>
                <w:szCs w:val="22"/>
              </w:rPr>
              <w:t>Full sample</w:t>
            </w:r>
          </w:p>
        </w:tc>
        <w:tc>
          <w:tcPr>
            <w:tcW w:w="1101" w:type="dxa"/>
            <w:tcBorders>
              <w:top w:val="single" w:sz="4" w:space="0" w:color="auto"/>
              <w:left w:val="nil"/>
              <w:bottom w:val="single" w:sz="4" w:space="0" w:color="auto"/>
              <w:right w:val="nil"/>
            </w:tcBorders>
            <w:shd w:val="clear" w:color="auto" w:fill="auto"/>
            <w:noWrap/>
            <w:textDirection w:val="tbRl"/>
            <w:vAlign w:val="center"/>
            <w:hideMark/>
          </w:tcPr>
          <w:p w14:paraId="25C27ED0" w14:textId="77777777" w:rsidR="00AB1E60" w:rsidRPr="00D91864" w:rsidRDefault="00AB1E60" w:rsidP="000A3810">
            <w:pPr>
              <w:ind w:left="113" w:right="113"/>
              <w:rPr>
                <w:color w:val="000000"/>
                <w:sz w:val="22"/>
                <w:szCs w:val="22"/>
              </w:rPr>
            </w:pPr>
            <w:r w:rsidRPr="00D91864">
              <w:rPr>
                <w:color w:val="000000"/>
                <w:sz w:val="22"/>
                <w:szCs w:val="22"/>
              </w:rPr>
              <w:t>Sub-sample 1</w:t>
            </w:r>
          </w:p>
        </w:tc>
        <w:tc>
          <w:tcPr>
            <w:tcW w:w="1102" w:type="dxa"/>
            <w:tcBorders>
              <w:top w:val="single" w:sz="4" w:space="0" w:color="auto"/>
              <w:left w:val="nil"/>
              <w:bottom w:val="single" w:sz="4" w:space="0" w:color="auto"/>
              <w:right w:val="nil"/>
            </w:tcBorders>
            <w:shd w:val="clear" w:color="auto" w:fill="auto"/>
            <w:noWrap/>
            <w:textDirection w:val="tbRl"/>
            <w:vAlign w:val="center"/>
            <w:hideMark/>
          </w:tcPr>
          <w:p w14:paraId="3187BA8B" w14:textId="77777777" w:rsidR="00AB1E60" w:rsidRPr="00D91864" w:rsidRDefault="00AB1E60" w:rsidP="000A3810">
            <w:pPr>
              <w:ind w:left="113" w:right="113"/>
              <w:rPr>
                <w:color w:val="000000"/>
                <w:sz w:val="22"/>
                <w:szCs w:val="22"/>
              </w:rPr>
            </w:pPr>
            <w:r w:rsidRPr="00D91864">
              <w:rPr>
                <w:color w:val="000000"/>
                <w:sz w:val="22"/>
                <w:szCs w:val="22"/>
              </w:rPr>
              <w:t>Sub-sample 2</w:t>
            </w:r>
          </w:p>
        </w:tc>
      </w:tr>
      <w:tr w:rsidR="00AB1E60" w:rsidRPr="00D91864" w14:paraId="08D90E32" w14:textId="77777777" w:rsidTr="000A3810">
        <w:trPr>
          <w:trHeight w:val="328"/>
        </w:trPr>
        <w:tc>
          <w:tcPr>
            <w:tcW w:w="2268" w:type="dxa"/>
            <w:tcBorders>
              <w:top w:val="nil"/>
              <w:left w:val="nil"/>
              <w:bottom w:val="nil"/>
              <w:right w:val="single" w:sz="4" w:space="0" w:color="auto"/>
            </w:tcBorders>
            <w:shd w:val="clear" w:color="auto" w:fill="auto"/>
            <w:noWrap/>
            <w:vAlign w:val="bottom"/>
            <w:hideMark/>
          </w:tcPr>
          <w:p w14:paraId="53943A58" w14:textId="77777777" w:rsidR="00AB1E60" w:rsidRPr="00D91864" w:rsidRDefault="00AB1E60" w:rsidP="000A3810">
            <w:pPr>
              <w:rPr>
                <w:color w:val="000000"/>
                <w:sz w:val="22"/>
                <w:szCs w:val="22"/>
              </w:rPr>
            </w:pPr>
            <w:r w:rsidRPr="00D91864">
              <w:rPr>
                <w:color w:val="000000"/>
                <w:sz w:val="22"/>
                <w:szCs w:val="22"/>
              </w:rPr>
              <w:t>The compliers</w:t>
            </w:r>
          </w:p>
        </w:tc>
        <w:tc>
          <w:tcPr>
            <w:tcW w:w="702" w:type="dxa"/>
            <w:tcBorders>
              <w:top w:val="single" w:sz="4" w:space="0" w:color="auto"/>
              <w:left w:val="single" w:sz="4" w:space="0" w:color="auto"/>
              <w:bottom w:val="nil"/>
              <w:right w:val="nil"/>
            </w:tcBorders>
            <w:shd w:val="clear" w:color="auto" w:fill="auto"/>
            <w:noWrap/>
            <w:vAlign w:val="center"/>
            <w:hideMark/>
          </w:tcPr>
          <w:p w14:paraId="788F2EFC" w14:textId="77777777" w:rsidR="00AB1E60" w:rsidRPr="00D91864" w:rsidRDefault="00AB1E60" w:rsidP="000A3810">
            <w:pPr>
              <w:jc w:val="center"/>
              <w:rPr>
                <w:color w:val="000000"/>
                <w:sz w:val="22"/>
                <w:szCs w:val="22"/>
              </w:rPr>
            </w:pPr>
            <w:r w:rsidRPr="00D91864">
              <w:rPr>
                <w:color w:val="000000"/>
                <w:sz w:val="22"/>
                <w:szCs w:val="22"/>
              </w:rPr>
              <w:t>25</w:t>
            </w:r>
          </w:p>
        </w:tc>
        <w:tc>
          <w:tcPr>
            <w:tcW w:w="1101" w:type="dxa"/>
            <w:tcBorders>
              <w:top w:val="single" w:sz="4" w:space="0" w:color="auto"/>
              <w:left w:val="nil"/>
              <w:bottom w:val="nil"/>
              <w:right w:val="nil"/>
            </w:tcBorders>
            <w:shd w:val="clear" w:color="auto" w:fill="auto"/>
            <w:noWrap/>
            <w:vAlign w:val="center"/>
            <w:hideMark/>
          </w:tcPr>
          <w:p w14:paraId="280A84C4" w14:textId="77777777" w:rsidR="00AB1E60" w:rsidRPr="00D91864" w:rsidRDefault="00AB1E60" w:rsidP="000A3810">
            <w:pPr>
              <w:jc w:val="center"/>
              <w:rPr>
                <w:color w:val="000000"/>
                <w:sz w:val="22"/>
                <w:szCs w:val="22"/>
              </w:rPr>
            </w:pPr>
            <w:r w:rsidRPr="00D91864">
              <w:rPr>
                <w:color w:val="000000"/>
                <w:sz w:val="22"/>
                <w:szCs w:val="22"/>
              </w:rPr>
              <w:t>16.7</w:t>
            </w:r>
          </w:p>
        </w:tc>
        <w:tc>
          <w:tcPr>
            <w:tcW w:w="1032" w:type="dxa"/>
            <w:tcBorders>
              <w:top w:val="single" w:sz="4" w:space="0" w:color="auto"/>
              <w:left w:val="nil"/>
              <w:bottom w:val="nil"/>
              <w:right w:val="single" w:sz="4" w:space="0" w:color="auto"/>
            </w:tcBorders>
            <w:shd w:val="clear" w:color="auto" w:fill="auto"/>
            <w:noWrap/>
            <w:vAlign w:val="center"/>
            <w:hideMark/>
          </w:tcPr>
          <w:p w14:paraId="36941990" w14:textId="77777777" w:rsidR="00AB1E60" w:rsidRPr="00D91864" w:rsidRDefault="00AB1E60" w:rsidP="000A3810">
            <w:pPr>
              <w:jc w:val="center"/>
              <w:rPr>
                <w:color w:val="000000"/>
                <w:sz w:val="22"/>
                <w:szCs w:val="22"/>
              </w:rPr>
            </w:pPr>
            <w:r w:rsidRPr="00D91864">
              <w:rPr>
                <w:color w:val="000000"/>
                <w:sz w:val="22"/>
                <w:szCs w:val="22"/>
              </w:rPr>
              <w:t>16.7</w:t>
            </w:r>
          </w:p>
        </w:tc>
        <w:tc>
          <w:tcPr>
            <w:tcW w:w="772" w:type="dxa"/>
            <w:tcBorders>
              <w:top w:val="single" w:sz="4" w:space="0" w:color="auto"/>
              <w:left w:val="single" w:sz="4" w:space="0" w:color="auto"/>
              <w:bottom w:val="nil"/>
              <w:right w:val="nil"/>
            </w:tcBorders>
            <w:shd w:val="clear" w:color="auto" w:fill="auto"/>
            <w:noWrap/>
            <w:vAlign w:val="center"/>
            <w:hideMark/>
          </w:tcPr>
          <w:p w14:paraId="6AA5724A" w14:textId="77777777" w:rsidR="00AB1E60" w:rsidRPr="00D91864" w:rsidRDefault="00AB1E60" w:rsidP="000A3810">
            <w:pPr>
              <w:jc w:val="center"/>
              <w:rPr>
                <w:color w:val="000000"/>
                <w:sz w:val="22"/>
                <w:szCs w:val="22"/>
              </w:rPr>
            </w:pPr>
            <w:r w:rsidRPr="00D91864">
              <w:rPr>
                <w:color w:val="000000"/>
                <w:sz w:val="22"/>
                <w:szCs w:val="22"/>
              </w:rPr>
              <w:t>52.5</w:t>
            </w:r>
          </w:p>
        </w:tc>
        <w:tc>
          <w:tcPr>
            <w:tcW w:w="753" w:type="dxa"/>
            <w:tcBorders>
              <w:top w:val="single" w:sz="4" w:space="0" w:color="auto"/>
              <w:left w:val="nil"/>
              <w:bottom w:val="nil"/>
              <w:right w:val="nil"/>
            </w:tcBorders>
            <w:shd w:val="clear" w:color="auto" w:fill="auto"/>
            <w:noWrap/>
            <w:vAlign w:val="center"/>
            <w:hideMark/>
          </w:tcPr>
          <w:p w14:paraId="681E7DF0" w14:textId="77777777" w:rsidR="00AB1E60" w:rsidRPr="00D91864" w:rsidRDefault="00AB1E60" w:rsidP="000A3810">
            <w:pPr>
              <w:jc w:val="center"/>
              <w:rPr>
                <w:color w:val="000000"/>
                <w:sz w:val="22"/>
                <w:szCs w:val="22"/>
              </w:rPr>
            </w:pPr>
            <w:r w:rsidRPr="00D91864">
              <w:rPr>
                <w:color w:val="000000"/>
                <w:sz w:val="22"/>
                <w:szCs w:val="22"/>
              </w:rPr>
              <w:t>0</w:t>
            </w:r>
          </w:p>
        </w:tc>
        <w:tc>
          <w:tcPr>
            <w:tcW w:w="1102" w:type="dxa"/>
            <w:tcBorders>
              <w:top w:val="single" w:sz="4" w:space="0" w:color="auto"/>
              <w:left w:val="nil"/>
              <w:bottom w:val="nil"/>
              <w:right w:val="single" w:sz="4" w:space="0" w:color="auto"/>
            </w:tcBorders>
            <w:shd w:val="clear" w:color="auto" w:fill="auto"/>
            <w:noWrap/>
            <w:vAlign w:val="center"/>
            <w:hideMark/>
          </w:tcPr>
          <w:p w14:paraId="74D24018" w14:textId="77777777" w:rsidR="00AB1E60" w:rsidRPr="00D91864" w:rsidRDefault="00AB1E60" w:rsidP="000A3810">
            <w:pPr>
              <w:jc w:val="center"/>
              <w:rPr>
                <w:color w:val="000000"/>
                <w:sz w:val="22"/>
                <w:szCs w:val="22"/>
              </w:rPr>
            </w:pPr>
            <w:r w:rsidRPr="00D91864">
              <w:rPr>
                <w:color w:val="000000"/>
                <w:sz w:val="22"/>
                <w:szCs w:val="22"/>
              </w:rPr>
              <w:t>43.3</w:t>
            </w:r>
          </w:p>
        </w:tc>
        <w:tc>
          <w:tcPr>
            <w:tcW w:w="702" w:type="dxa"/>
            <w:tcBorders>
              <w:top w:val="single" w:sz="4" w:space="0" w:color="auto"/>
              <w:left w:val="single" w:sz="4" w:space="0" w:color="auto"/>
              <w:bottom w:val="nil"/>
              <w:right w:val="nil"/>
            </w:tcBorders>
            <w:shd w:val="clear" w:color="auto" w:fill="auto"/>
            <w:noWrap/>
            <w:vAlign w:val="center"/>
            <w:hideMark/>
          </w:tcPr>
          <w:p w14:paraId="40F1C5BD" w14:textId="77777777" w:rsidR="00AB1E60" w:rsidRPr="00D91864" w:rsidRDefault="00AB1E60" w:rsidP="000A3810">
            <w:pPr>
              <w:jc w:val="center"/>
              <w:rPr>
                <w:color w:val="000000"/>
                <w:sz w:val="22"/>
                <w:szCs w:val="22"/>
              </w:rPr>
            </w:pPr>
            <w:r w:rsidRPr="00D91864">
              <w:rPr>
                <w:color w:val="000000"/>
                <w:sz w:val="22"/>
                <w:szCs w:val="22"/>
              </w:rPr>
              <w:t>27.5</w:t>
            </w:r>
          </w:p>
        </w:tc>
        <w:tc>
          <w:tcPr>
            <w:tcW w:w="1101" w:type="dxa"/>
            <w:tcBorders>
              <w:top w:val="single" w:sz="4" w:space="0" w:color="auto"/>
              <w:left w:val="nil"/>
              <w:bottom w:val="nil"/>
              <w:right w:val="nil"/>
            </w:tcBorders>
            <w:shd w:val="clear" w:color="auto" w:fill="auto"/>
            <w:noWrap/>
            <w:vAlign w:val="center"/>
            <w:hideMark/>
          </w:tcPr>
          <w:p w14:paraId="163BC897" w14:textId="77777777" w:rsidR="00AB1E60" w:rsidRPr="00D91864" w:rsidRDefault="00AB1E60" w:rsidP="000A3810">
            <w:pPr>
              <w:jc w:val="center"/>
              <w:rPr>
                <w:color w:val="000000"/>
                <w:sz w:val="22"/>
                <w:szCs w:val="22"/>
              </w:rPr>
            </w:pPr>
            <w:r w:rsidRPr="00D91864">
              <w:rPr>
                <w:color w:val="000000"/>
                <w:sz w:val="22"/>
                <w:szCs w:val="22"/>
              </w:rPr>
              <w:t>25</w:t>
            </w:r>
          </w:p>
        </w:tc>
        <w:tc>
          <w:tcPr>
            <w:tcW w:w="1102" w:type="dxa"/>
            <w:tcBorders>
              <w:top w:val="single" w:sz="4" w:space="0" w:color="auto"/>
              <w:left w:val="nil"/>
              <w:bottom w:val="nil"/>
              <w:right w:val="nil"/>
            </w:tcBorders>
            <w:shd w:val="clear" w:color="auto" w:fill="auto"/>
            <w:noWrap/>
            <w:vAlign w:val="center"/>
            <w:hideMark/>
          </w:tcPr>
          <w:p w14:paraId="0E8B1609" w14:textId="77777777" w:rsidR="00AB1E60" w:rsidRPr="00D91864" w:rsidRDefault="00AB1E60" w:rsidP="000A3810">
            <w:pPr>
              <w:jc w:val="center"/>
              <w:rPr>
                <w:color w:val="000000"/>
                <w:sz w:val="22"/>
                <w:szCs w:val="22"/>
              </w:rPr>
            </w:pPr>
            <w:r w:rsidRPr="00D91864">
              <w:rPr>
                <w:color w:val="000000"/>
                <w:sz w:val="22"/>
                <w:szCs w:val="22"/>
              </w:rPr>
              <w:t>13.3</w:t>
            </w:r>
          </w:p>
        </w:tc>
      </w:tr>
      <w:tr w:rsidR="00AB1E60" w:rsidRPr="00D91864" w14:paraId="46592781" w14:textId="77777777" w:rsidTr="000A3810">
        <w:trPr>
          <w:trHeight w:val="328"/>
        </w:trPr>
        <w:tc>
          <w:tcPr>
            <w:tcW w:w="2268" w:type="dxa"/>
            <w:tcBorders>
              <w:top w:val="nil"/>
              <w:left w:val="nil"/>
              <w:bottom w:val="nil"/>
              <w:right w:val="single" w:sz="4" w:space="0" w:color="auto"/>
            </w:tcBorders>
            <w:shd w:val="clear" w:color="auto" w:fill="auto"/>
            <w:noWrap/>
            <w:vAlign w:val="bottom"/>
            <w:hideMark/>
          </w:tcPr>
          <w:p w14:paraId="0A024D1D" w14:textId="77777777" w:rsidR="00AB1E60" w:rsidRPr="00D91864" w:rsidRDefault="00AB1E60" w:rsidP="000A3810">
            <w:pPr>
              <w:jc w:val="right"/>
              <w:rPr>
                <w:color w:val="000000"/>
                <w:sz w:val="22"/>
                <w:szCs w:val="22"/>
              </w:rPr>
            </w:pPr>
          </w:p>
        </w:tc>
        <w:tc>
          <w:tcPr>
            <w:tcW w:w="702" w:type="dxa"/>
            <w:tcBorders>
              <w:top w:val="nil"/>
              <w:left w:val="single" w:sz="4" w:space="0" w:color="auto"/>
              <w:bottom w:val="nil"/>
              <w:right w:val="nil"/>
            </w:tcBorders>
            <w:shd w:val="clear" w:color="auto" w:fill="auto"/>
            <w:noWrap/>
            <w:vAlign w:val="center"/>
            <w:hideMark/>
          </w:tcPr>
          <w:p w14:paraId="155506D0" w14:textId="77777777" w:rsidR="00AB1E60" w:rsidRPr="00D91864" w:rsidRDefault="00AB1E60" w:rsidP="000A3810">
            <w:pPr>
              <w:jc w:val="center"/>
              <w:rPr>
                <w:sz w:val="22"/>
                <w:szCs w:val="22"/>
              </w:rPr>
            </w:pPr>
          </w:p>
        </w:tc>
        <w:tc>
          <w:tcPr>
            <w:tcW w:w="1101" w:type="dxa"/>
            <w:tcBorders>
              <w:top w:val="nil"/>
              <w:left w:val="nil"/>
              <w:bottom w:val="nil"/>
              <w:right w:val="nil"/>
            </w:tcBorders>
            <w:shd w:val="clear" w:color="auto" w:fill="auto"/>
            <w:noWrap/>
            <w:vAlign w:val="center"/>
            <w:hideMark/>
          </w:tcPr>
          <w:p w14:paraId="79F312A8" w14:textId="77777777" w:rsidR="00AB1E60" w:rsidRPr="00D91864" w:rsidRDefault="00AB1E60" w:rsidP="000A3810">
            <w:pPr>
              <w:jc w:val="center"/>
              <w:rPr>
                <w:color w:val="000000"/>
                <w:sz w:val="22"/>
                <w:szCs w:val="22"/>
              </w:rPr>
            </w:pPr>
            <w:r w:rsidRPr="00D91864">
              <w:rPr>
                <w:color w:val="000000"/>
                <w:sz w:val="22"/>
                <w:szCs w:val="22"/>
              </w:rPr>
              <w:t>(0.4431)</w:t>
            </w:r>
          </w:p>
        </w:tc>
        <w:tc>
          <w:tcPr>
            <w:tcW w:w="1032" w:type="dxa"/>
            <w:tcBorders>
              <w:top w:val="nil"/>
              <w:left w:val="nil"/>
              <w:bottom w:val="nil"/>
              <w:right w:val="single" w:sz="4" w:space="0" w:color="auto"/>
            </w:tcBorders>
            <w:shd w:val="clear" w:color="auto" w:fill="auto"/>
            <w:noWrap/>
            <w:vAlign w:val="center"/>
            <w:hideMark/>
          </w:tcPr>
          <w:p w14:paraId="7D1FA09A" w14:textId="77777777" w:rsidR="00AB1E60" w:rsidRPr="00D91864" w:rsidRDefault="00AB1E60" w:rsidP="000A3810">
            <w:pPr>
              <w:jc w:val="center"/>
              <w:rPr>
                <w:color w:val="000000"/>
                <w:sz w:val="22"/>
                <w:szCs w:val="22"/>
              </w:rPr>
            </w:pPr>
            <w:r w:rsidRPr="00D91864">
              <w:rPr>
                <w:color w:val="000000"/>
                <w:sz w:val="22"/>
                <w:szCs w:val="22"/>
              </w:rPr>
              <w:t>(0.3838)</w:t>
            </w:r>
          </w:p>
        </w:tc>
        <w:tc>
          <w:tcPr>
            <w:tcW w:w="772" w:type="dxa"/>
            <w:tcBorders>
              <w:top w:val="nil"/>
              <w:left w:val="single" w:sz="4" w:space="0" w:color="auto"/>
              <w:bottom w:val="nil"/>
              <w:right w:val="nil"/>
            </w:tcBorders>
            <w:shd w:val="clear" w:color="auto" w:fill="auto"/>
            <w:noWrap/>
            <w:vAlign w:val="center"/>
            <w:hideMark/>
          </w:tcPr>
          <w:p w14:paraId="4161319A" w14:textId="77777777" w:rsidR="00AB1E60" w:rsidRPr="00D91864" w:rsidRDefault="00AB1E60" w:rsidP="000A3810">
            <w:pPr>
              <w:jc w:val="center"/>
              <w:rPr>
                <w:color w:val="000000"/>
                <w:sz w:val="22"/>
                <w:szCs w:val="22"/>
              </w:rPr>
            </w:pPr>
          </w:p>
        </w:tc>
        <w:tc>
          <w:tcPr>
            <w:tcW w:w="753" w:type="dxa"/>
            <w:tcBorders>
              <w:top w:val="nil"/>
              <w:left w:val="nil"/>
              <w:bottom w:val="nil"/>
              <w:right w:val="nil"/>
            </w:tcBorders>
            <w:shd w:val="clear" w:color="auto" w:fill="auto"/>
            <w:noWrap/>
            <w:vAlign w:val="center"/>
            <w:hideMark/>
          </w:tcPr>
          <w:p w14:paraId="48B8ABF3" w14:textId="77777777" w:rsidR="00AB1E60" w:rsidRPr="00D91864" w:rsidRDefault="00AB1E60" w:rsidP="000A3810">
            <w:pPr>
              <w:jc w:val="center"/>
              <w:rPr>
                <w:sz w:val="22"/>
                <w:szCs w:val="22"/>
              </w:rPr>
            </w:pPr>
          </w:p>
        </w:tc>
        <w:tc>
          <w:tcPr>
            <w:tcW w:w="1102" w:type="dxa"/>
            <w:tcBorders>
              <w:top w:val="nil"/>
              <w:left w:val="nil"/>
              <w:bottom w:val="nil"/>
              <w:right w:val="single" w:sz="4" w:space="0" w:color="auto"/>
            </w:tcBorders>
            <w:shd w:val="clear" w:color="auto" w:fill="auto"/>
            <w:noWrap/>
            <w:vAlign w:val="center"/>
            <w:hideMark/>
          </w:tcPr>
          <w:p w14:paraId="6FA95C4C" w14:textId="77777777" w:rsidR="00AB1E60" w:rsidRPr="00D91864" w:rsidRDefault="00AB1E60" w:rsidP="000A3810">
            <w:pPr>
              <w:jc w:val="center"/>
              <w:rPr>
                <w:color w:val="000000"/>
                <w:sz w:val="22"/>
                <w:szCs w:val="22"/>
              </w:rPr>
            </w:pPr>
            <w:r w:rsidRPr="00D91864">
              <w:rPr>
                <w:color w:val="000000"/>
                <w:sz w:val="22"/>
                <w:szCs w:val="22"/>
              </w:rPr>
              <w:t>(0.3689)</w:t>
            </w:r>
          </w:p>
        </w:tc>
        <w:tc>
          <w:tcPr>
            <w:tcW w:w="702" w:type="dxa"/>
            <w:tcBorders>
              <w:top w:val="nil"/>
              <w:left w:val="single" w:sz="4" w:space="0" w:color="auto"/>
              <w:bottom w:val="nil"/>
              <w:right w:val="nil"/>
            </w:tcBorders>
            <w:shd w:val="clear" w:color="auto" w:fill="auto"/>
            <w:noWrap/>
            <w:vAlign w:val="center"/>
            <w:hideMark/>
          </w:tcPr>
          <w:p w14:paraId="4F46B357" w14:textId="77777777" w:rsidR="00AB1E60" w:rsidRPr="00D91864" w:rsidRDefault="00AB1E60" w:rsidP="000A3810">
            <w:pPr>
              <w:jc w:val="center"/>
              <w:rPr>
                <w:color w:val="000000"/>
                <w:sz w:val="22"/>
                <w:szCs w:val="22"/>
              </w:rPr>
            </w:pPr>
          </w:p>
        </w:tc>
        <w:tc>
          <w:tcPr>
            <w:tcW w:w="1101" w:type="dxa"/>
            <w:tcBorders>
              <w:top w:val="nil"/>
              <w:left w:val="nil"/>
              <w:bottom w:val="nil"/>
              <w:right w:val="nil"/>
            </w:tcBorders>
            <w:shd w:val="clear" w:color="auto" w:fill="auto"/>
            <w:noWrap/>
            <w:vAlign w:val="center"/>
            <w:hideMark/>
          </w:tcPr>
          <w:p w14:paraId="665AE173" w14:textId="77777777" w:rsidR="00AB1E60" w:rsidRPr="00D91864" w:rsidRDefault="00AB1E60" w:rsidP="000A3810">
            <w:pPr>
              <w:jc w:val="center"/>
              <w:rPr>
                <w:color w:val="000000"/>
                <w:sz w:val="22"/>
                <w:szCs w:val="22"/>
              </w:rPr>
            </w:pPr>
            <w:r w:rsidRPr="00D91864">
              <w:rPr>
                <w:color w:val="000000"/>
                <w:sz w:val="22"/>
                <w:szCs w:val="22"/>
              </w:rPr>
              <w:t>(0.8535)</w:t>
            </w:r>
          </w:p>
        </w:tc>
        <w:tc>
          <w:tcPr>
            <w:tcW w:w="1102" w:type="dxa"/>
            <w:tcBorders>
              <w:top w:val="nil"/>
              <w:left w:val="nil"/>
              <w:bottom w:val="nil"/>
              <w:right w:val="nil"/>
            </w:tcBorders>
            <w:shd w:val="clear" w:color="auto" w:fill="auto"/>
            <w:noWrap/>
            <w:vAlign w:val="center"/>
            <w:hideMark/>
          </w:tcPr>
          <w:p w14:paraId="4787F89B" w14:textId="77777777" w:rsidR="00AB1E60" w:rsidRPr="00D91864" w:rsidRDefault="00AB1E60" w:rsidP="000A3810">
            <w:pPr>
              <w:jc w:val="center"/>
              <w:rPr>
                <w:color w:val="000000"/>
                <w:sz w:val="22"/>
                <w:szCs w:val="22"/>
              </w:rPr>
            </w:pPr>
            <w:r w:rsidRPr="00D91864">
              <w:rPr>
                <w:color w:val="000000"/>
                <w:sz w:val="22"/>
                <w:szCs w:val="22"/>
              </w:rPr>
              <w:t>(0.1077)</w:t>
            </w:r>
          </w:p>
        </w:tc>
      </w:tr>
      <w:tr w:rsidR="00AB1E60" w:rsidRPr="00D91864" w14:paraId="0EA5752D" w14:textId="77777777" w:rsidTr="000A3810">
        <w:trPr>
          <w:trHeight w:val="328"/>
        </w:trPr>
        <w:tc>
          <w:tcPr>
            <w:tcW w:w="2268" w:type="dxa"/>
            <w:tcBorders>
              <w:top w:val="nil"/>
              <w:left w:val="nil"/>
              <w:bottom w:val="nil"/>
              <w:right w:val="single" w:sz="4" w:space="0" w:color="auto"/>
            </w:tcBorders>
            <w:shd w:val="clear" w:color="auto" w:fill="auto"/>
            <w:noWrap/>
            <w:vAlign w:val="bottom"/>
            <w:hideMark/>
          </w:tcPr>
          <w:p w14:paraId="654D477E" w14:textId="77777777" w:rsidR="00AB1E60" w:rsidRPr="00D91864" w:rsidRDefault="00AB1E60" w:rsidP="000A3810">
            <w:pPr>
              <w:rPr>
                <w:color w:val="000000"/>
                <w:sz w:val="22"/>
                <w:szCs w:val="22"/>
              </w:rPr>
            </w:pPr>
            <w:r w:rsidRPr="00D91864">
              <w:rPr>
                <w:color w:val="000000"/>
                <w:sz w:val="22"/>
                <w:szCs w:val="22"/>
              </w:rPr>
              <w:t>The free-riders</w:t>
            </w:r>
          </w:p>
        </w:tc>
        <w:tc>
          <w:tcPr>
            <w:tcW w:w="702" w:type="dxa"/>
            <w:tcBorders>
              <w:top w:val="nil"/>
              <w:left w:val="single" w:sz="4" w:space="0" w:color="auto"/>
              <w:bottom w:val="nil"/>
              <w:right w:val="nil"/>
            </w:tcBorders>
            <w:shd w:val="clear" w:color="auto" w:fill="auto"/>
            <w:noWrap/>
            <w:vAlign w:val="center"/>
            <w:hideMark/>
          </w:tcPr>
          <w:p w14:paraId="60BC9F7D" w14:textId="77777777" w:rsidR="00AB1E60" w:rsidRPr="00D91864" w:rsidRDefault="00AB1E60" w:rsidP="000A3810">
            <w:pPr>
              <w:jc w:val="center"/>
              <w:rPr>
                <w:color w:val="000000"/>
                <w:sz w:val="22"/>
                <w:szCs w:val="22"/>
              </w:rPr>
            </w:pPr>
            <w:r w:rsidRPr="00D91864">
              <w:rPr>
                <w:color w:val="000000"/>
                <w:sz w:val="22"/>
                <w:szCs w:val="22"/>
              </w:rPr>
              <w:t>5.8</w:t>
            </w:r>
          </w:p>
        </w:tc>
        <w:tc>
          <w:tcPr>
            <w:tcW w:w="1101" w:type="dxa"/>
            <w:tcBorders>
              <w:top w:val="nil"/>
              <w:left w:val="nil"/>
              <w:bottom w:val="nil"/>
              <w:right w:val="nil"/>
            </w:tcBorders>
            <w:shd w:val="clear" w:color="auto" w:fill="auto"/>
            <w:noWrap/>
            <w:vAlign w:val="center"/>
            <w:hideMark/>
          </w:tcPr>
          <w:p w14:paraId="3F3F5BC5" w14:textId="77777777" w:rsidR="00AB1E60" w:rsidRPr="00D91864" w:rsidRDefault="00AB1E60" w:rsidP="000A3810">
            <w:pPr>
              <w:jc w:val="center"/>
              <w:rPr>
                <w:color w:val="000000"/>
                <w:sz w:val="22"/>
                <w:szCs w:val="22"/>
              </w:rPr>
            </w:pPr>
            <w:r w:rsidRPr="00D91864">
              <w:rPr>
                <w:color w:val="000000"/>
                <w:sz w:val="22"/>
                <w:szCs w:val="22"/>
              </w:rPr>
              <w:t>11.1</w:t>
            </w:r>
          </w:p>
        </w:tc>
        <w:tc>
          <w:tcPr>
            <w:tcW w:w="1032" w:type="dxa"/>
            <w:tcBorders>
              <w:top w:val="nil"/>
              <w:left w:val="nil"/>
              <w:bottom w:val="nil"/>
              <w:right w:val="single" w:sz="4" w:space="0" w:color="auto"/>
            </w:tcBorders>
            <w:shd w:val="clear" w:color="auto" w:fill="auto"/>
            <w:noWrap/>
            <w:vAlign w:val="center"/>
            <w:hideMark/>
          </w:tcPr>
          <w:p w14:paraId="7CB07AD7" w14:textId="77777777" w:rsidR="00AB1E60" w:rsidRPr="00D91864" w:rsidRDefault="00AB1E60" w:rsidP="000A3810">
            <w:pPr>
              <w:jc w:val="center"/>
              <w:rPr>
                <w:color w:val="000000"/>
                <w:sz w:val="22"/>
                <w:szCs w:val="22"/>
              </w:rPr>
            </w:pPr>
            <w:r w:rsidRPr="00D91864">
              <w:rPr>
                <w:color w:val="000000"/>
                <w:sz w:val="22"/>
                <w:szCs w:val="22"/>
              </w:rPr>
              <w:t>8.3</w:t>
            </w:r>
          </w:p>
        </w:tc>
        <w:tc>
          <w:tcPr>
            <w:tcW w:w="772" w:type="dxa"/>
            <w:tcBorders>
              <w:top w:val="nil"/>
              <w:left w:val="single" w:sz="4" w:space="0" w:color="auto"/>
              <w:bottom w:val="nil"/>
              <w:right w:val="nil"/>
            </w:tcBorders>
            <w:shd w:val="clear" w:color="auto" w:fill="auto"/>
            <w:noWrap/>
            <w:vAlign w:val="center"/>
            <w:hideMark/>
          </w:tcPr>
          <w:p w14:paraId="196587FD" w14:textId="77777777" w:rsidR="00AB1E60" w:rsidRPr="00D91864" w:rsidRDefault="00AB1E60" w:rsidP="000A3810">
            <w:pPr>
              <w:jc w:val="center"/>
              <w:rPr>
                <w:color w:val="000000"/>
                <w:sz w:val="22"/>
                <w:szCs w:val="22"/>
              </w:rPr>
            </w:pPr>
            <w:r w:rsidRPr="00D91864">
              <w:rPr>
                <w:color w:val="000000"/>
                <w:sz w:val="22"/>
                <w:szCs w:val="22"/>
              </w:rPr>
              <w:t>9.2</w:t>
            </w:r>
          </w:p>
        </w:tc>
        <w:tc>
          <w:tcPr>
            <w:tcW w:w="753" w:type="dxa"/>
            <w:tcBorders>
              <w:top w:val="nil"/>
              <w:left w:val="nil"/>
              <w:bottom w:val="nil"/>
              <w:right w:val="nil"/>
            </w:tcBorders>
            <w:shd w:val="clear" w:color="auto" w:fill="auto"/>
            <w:noWrap/>
            <w:vAlign w:val="center"/>
            <w:hideMark/>
          </w:tcPr>
          <w:p w14:paraId="671EAE61" w14:textId="77777777" w:rsidR="00AB1E60" w:rsidRPr="00D91864" w:rsidRDefault="00AB1E60" w:rsidP="000A3810">
            <w:pPr>
              <w:jc w:val="center"/>
              <w:rPr>
                <w:color w:val="000000"/>
                <w:sz w:val="22"/>
                <w:szCs w:val="22"/>
              </w:rPr>
            </w:pPr>
            <w:r w:rsidRPr="00D91864">
              <w:rPr>
                <w:color w:val="000000"/>
                <w:sz w:val="22"/>
                <w:szCs w:val="22"/>
              </w:rPr>
              <w:t>0</w:t>
            </w:r>
          </w:p>
        </w:tc>
        <w:tc>
          <w:tcPr>
            <w:tcW w:w="1102" w:type="dxa"/>
            <w:tcBorders>
              <w:top w:val="nil"/>
              <w:left w:val="nil"/>
              <w:bottom w:val="nil"/>
              <w:right w:val="single" w:sz="4" w:space="0" w:color="auto"/>
            </w:tcBorders>
            <w:shd w:val="clear" w:color="auto" w:fill="auto"/>
            <w:noWrap/>
            <w:vAlign w:val="center"/>
            <w:hideMark/>
          </w:tcPr>
          <w:p w14:paraId="1F14A54B" w14:textId="77777777" w:rsidR="00AB1E60" w:rsidRPr="00D91864" w:rsidRDefault="00AB1E60" w:rsidP="000A3810">
            <w:pPr>
              <w:jc w:val="center"/>
              <w:rPr>
                <w:color w:val="000000"/>
                <w:sz w:val="22"/>
                <w:szCs w:val="22"/>
              </w:rPr>
            </w:pPr>
            <w:r w:rsidRPr="00D91864">
              <w:rPr>
                <w:color w:val="000000"/>
                <w:sz w:val="22"/>
                <w:szCs w:val="22"/>
              </w:rPr>
              <w:t>20</w:t>
            </w:r>
          </w:p>
        </w:tc>
        <w:tc>
          <w:tcPr>
            <w:tcW w:w="702" w:type="dxa"/>
            <w:tcBorders>
              <w:top w:val="nil"/>
              <w:left w:val="single" w:sz="4" w:space="0" w:color="auto"/>
              <w:bottom w:val="nil"/>
              <w:right w:val="nil"/>
            </w:tcBorders>
            <w:shd w:val="clear" w:color="auto" w:fill="auto"/>
            <w:noWrap/>
            <w:vAlign w:val="center"/>
            <w:hideMark/>
          </w:tcPr>
          <w:p w14:paraId="7615F0DB" w14:textId="77777777" w:rsidR="00AB1E60" w:rsidRPr="00D91864" w:rsidRDefault="00AB1E60" w:rsidP="000A3810">
            <w:pPr>
              <w:jc w:val="center"/>
              <w:rPr>
                <w:color w:val="000000"/>
                <w:sz w:val="22"/>
                <w:szCs w:val="22"/>
              </w:rPr>
            </w:pPr>
            <w:r w:rsidRPr="00D91864">
              <w:rPr>
                <w:color w:val="000000"/>
                <w:sz w:val="22"/>
                <w:szCs w:val="22"/>
              </w:rPr>
              <w:t>3.3</w:t>
            </w:r>
          </w:p>
        </w:tc>
        <w:tc>
          <w:tcPr>
            <w:tcW w:w="1101" w:type="dxa"/>
            <w:tcBorders>
              <w:top w:val="nil"/>
              <w:left w:val="nil"/>
              <w:bottom w:val="nil"/>
              <w:right w:val="nil"/>
            </w:tcBorders>
            <w:shd w:val="clear" w:color="auto" w:fill="auto"/>
            <w:noWrap/>
            <w:vAlign w:val="center"/>
            <w:hideMark/>
          </w:tcPr>
          <w:p w14:paraId="42C5EDC1" w14:textId="77777777" w:rsidR="00AB1E60" w:rsidRPr="00D91864" w:rsidRDefault="00AB1E60" w:rsidP="000A3810">
            <w:pPr>
              <w:jc w:val="center"/>
              <w:rPr>
                <w:color w:val="000000"/>
                <w:sz w:val="22"/>
                <w:szCs w:val="22"/>
              </w:rPr>
            </w:pPr>
            <w:r w:rsidRPr="00D91864">
              <w:rPr>
                <w:color w:val="000000"/>
                <w:sz w:val="22"/>
                <w:szCs w:val="22"/>
              </w:rPr>
              <w:t>0</w:t>
            </w:r>
          </w:p>
        </w:tc>
        <w:tc>
          <w:tcPr>
            <w:tcW w:w="1102" w:type="dxa"/>
            <w:tcBorders>
              <w:top w:val="nil"/>
              <w:left w:val="nil"/>
              <w:bottom w:val="nil"/>
              <w:right w:val="nil"/>
            </w:tcBorders>
            <w:shd w:val="clear" w:color="auto" w:fill="auto"/>
            <w:noWrap/>
            <w:vAlign w:val="center"/>
            <w:hideMark/>
          </w:tcPr>
          <w:p w14:paraId="3E3EEA0B" w14:textId="77777777" w:rsidR="00AB1E60" w:rsidRPr="00D91864" w:rsidRDefault="00AB1E60" w:rsidP="000A3810">
            <w:pPr>
              <w:jc w:val="center"/>
              <w:rPr>
                <w:color w:val="000000"/>
                <w:sz w:val="22"/>
                <w:szCs w:val="22"/>
              </w:rPr>
            </w:pPr>
            <w:r w:rsidRPr="00D91864">
              <w:rPr>
                <w:color w:val="000000"/>
                <w:sz w:val="22"/>
                <w:szCs w:val="22"/>
              </w:rPr>
              <w:t>0</w:t>
            </w:r>
          </w:p>
        </w:tc>
      </w:tr>
      <w:tr w:rsidR="00AB1E60" w:rsidRPr="00D91864" w14:paraId="3D5570F2" w14:textId="77777777" w:rsidTr="000A3810">
        <w:trPr>
          <w:trHeight w:val="328"/>
        </w:trPr>
        <w:tc>
          <w:tcPr>
            <w:tcW w:w="2268" w:type="dxa"/>
            <w:tcBorders>
              <w:top w:val="nil"/>
              <w:left w:val="nil"/>
              <w:bottom w:val="nil"/>
              <w:right w:val="single" w:sz="4" w:space="0" w:color="auto"/>
            </w:tcBorders>
            <w:shd w:val="clear" w:color="auto" w:fill="auto"/>
            <w:noWrap/>
            <w:vAlign w:val="bottom"/>
            <w:hideMark/>
          </w:tcPr>
          <w:p w14:paraId="7C8CF644" w14:textId="77777777" w:rsidR="00AB1E60" w:rsidRPr="00D91864" w:rsidRDefault="00AB1E60" w:rsidP="000A3810">
            <w:pPr>
              <w:jc w:val="right"/>
              <w:rPr>
                <w:color w:val="000000"/>
                <w:sz w:val="22"/>
                <w:szCs w:val="22"/>
              </w:rPr>
            </w:pPr>
          </w:p>
        </w:tc>
        <w:tc>
          <w:tcPr>
            <w:tcW w:w="702" w:type="dxa"/>
            <w:tcBorders>
              <w:top w:val="nil"/>
              <w:left w:val="single" w:sz="4" w:space="0" w:color="auto"/>
              <w:bottom w:val="nil"/>
              <w:right w:val="nil"/>
            </w:tcBorders>
            <w:shd w:val="clear" w:color="auto" w:fill="auto"/>
            <w:noWrap/>
            <w:vAlign w:val="center"/>
            <w:hideMark/>
          </w:tcPr>
          <w:p w14:paraId="46D09460" w14:textId="77777777" w:rsidR="00AB1E60" w:rsidRPr="00D91864" w:rsidRDefault="00AB1E60" w:rsidP="000A3810">
            <w:pPr>
              <w:jc w:val="center"/>
              <w:rPr>
                <w:sz w:val="22"/>
                <w:szCs w:val="22"/>
              </w:rPr>
            </w:pPr>
          </w:p>
        </w:tc>
        <w:tc>
          <w:tcPr>
            <w:tcW w:w="1101" w:type="dxa"/>
            <w:tcBorders>
              <w:top w:val="nil"/>
              <w:left w:val="nil"/>
              <w:bottom w:val="nil"/>
              <w:right w:val="nil"/>
            </w:tcBorders>
            <w:shd w:val="clear" w:color="auto" w:fill="auto"/>
            <w:noWrap/>
            <w:vAlign w:val="center"/>
            <w:hideMark/>
          </w:tcPr>
          <w:p w14:paraId="4AD90283" w14:textId="77777777" w:rsidR="00AB1E60" w:rsidRPr="00D91864" w:rsidRDefault="00AB1E60" w:rsidP="000A3810">
            <w:pPr>
              <w:jc w:val="center"/>
              <w:rPr>
                <w:color w:val="000000"/>
                <w:sz w:val="22"/>
                <w:szCs w:val="22"/>
              </w:rPr>
            </w:pPr>
            <w:r w:rsidRPr="00D91864">
              <w:rPr>
                <w:color w:val="000000"/>
                <w:sz w:val="22"/>
                <w:szCs w:val="22"/>
              </w:rPr>
              <w:t>(0.3964)</w:t>
            </w:r>
          </w:p>
        </w:tc>
        <w:tc>
          <w:tcPr>
            <w:tcW w:w="1032" w:type="dxa"/>
            <w:tcBorders>
              <w:top w:val="nil"/>
              <w:left w:val="nil"/>
              <w:bottom w:val="nil"/>
              <w:right w:val="single" w:sz="4" w:space="0" w:color="auto"/>
            </w:tcBorders>
            <w:shd w:val="clear" w:color="auto" w:fill="auto"/>
            <w:noWrap/>
            <w:vAlign w:val="center"/>
            <w:hideMark/>
          </w:tcPr>
          <w:p w14:paraId="02423B0D" w14:textId="77777777" w:rsidR="00AB1E60" w:rsidRPr="00D91864" w:rsidRDefault="00AB1E60" w:rsidP="000A3810">
            <w:pPr>
              <w:jc w:val="center"/>
              <w:rPr>
                <w:color w:val="000000"/>
                <w:sz w:val="22"/>
                <w:szCs w:val="22"/>
              </w:rPr>
            </w:pPr>
            <w:r w:rsidRPr="00D91864">
              <w:rPr>
                <w:color w:val="000000"/>
                <w:sz w:val="22"/>
                <w:szCs w:val="22"/>
              </w:rPr>
              <w:t>(0.6445)</w:t>
            </w:r>
          </w:p>
        </w:tc>
        <w:tc>
          <w:tcPr>
            <w:tcW w:w="772" w:type="dxa"/>
            <w:tcBorders>
              <w:top w:val="nil"/>
              <w:left w:val="single" w:sz="4" w:space="0" w:color="auto"/>
              <w:bottom w:val="nil"/>
              <w:right w:val="nil"/>
            </w:tcBorders>
            <w:shd w:val="clear" w:color="auto" w:fill="auto"/>
            <w:noWrap/>
            <w:vAlign w:val="center"/>
            <w:hideMark/>
          </w:tcPr>
          <w:p w14:paraId="41E024EF" w14:textId="77777777" w:rsidR="00AB1E60" w:rsidRPr="00D91864" w:rsidRDefault="00AB1E60" w:rsidP="000A3810">
            <w:pPr>
              <w:jc w:val="center"/>
              <w:rPr>
                <w:color w:val="000000"/>
                <w:sz w:val="22"/>
                <w:szCs w:val="22"/>
              </w:rPr>
            </w:pPr>
          </w:p>
        </w:tc>
        <w:tc>
          <w:tcPr>
            <w:tcW w:w="753" w:type="dxa"/>
            <w:tcBorders>
              <w:top w:val="nil"/>
              <w:left w:val="nil"/>
              <w:bottom w:val="nil"/>
              <w:right w:val="nil"/>
            </w:tcBorders>
            <w:shd w:val="clear" w:color="auto" w:fill="auto"/>
            <w:noWrap/>
            <w:vAlign w:val="center"/>
            <w:hideMark/>
          </w:tcPr>
          <w:p w14:paraId="4EF5BC0B" w14:textId="77777777" w:rsidR="00AB1E60" w:rsidRPr="00D91864" w:rsidRDefault="00AB1E60" w:rsidP="000A3810">
            <w:pPr>
              <w:jc w:val="center"/>
              <w:rPr>
                <w:sz w:val="22"/>
                <w:szCs w:val="22"/>
              </w:rPr>
            </w:pPr>
          </w:p>
        </w:tc>
        <w:tc>
          <w:tcPr>
            <w:tcW w:w="1102" w:type="dxa"/>
            <w:tcBorders>
              <w:top w:val="nil"/>
              <w:left w:val="nil"/>
              <w:bottom w:val="nil"/>
              <w:right w:val="single" w:sz="4" w:space="0" w:color="auto"/>
            </w:tcBorders>
            <w:shd w:val="clear" w:color="auto" w:fill="auto"/>
            <w:noWrap/>
            <w:vAlign w:val="center"/>
            <w:hideMark/>
          </w:tcPr>
          <w:p w14:paraId="443BCCF6" w14:textId="77777777" w:rsidR="00AB1E60" w:rsidRPr="00D91864" w:rsidRDefault="00AB1E60" w:rsidP="000A3810">
            <w:pPr>
              <w:jc w:val="center"/>
              <w:rPr>
                <w:b/>
                <w:color w:val="000000"/>
                <w:sz w:val="22"/>
                <w:szCs w:val="22"/>
              </w:rPr>
            </w:pPr>
            <w:r w:rsidRPr="00D91864">
              <w:rPr>
                <w:b/>
                <w:color w:val="000000"/>
                <w:sz w:val="22"/>
                <w:szCs w:val="22"/>
              </w:rPr>
              <w:t>(0.0966)*</w:t>
            </w:r>
          </w:p>
        </w:tc>
        <w:tc>
          <w:tcPr>
            <w:tcW w:w="702" w:type="dxa"/>
            <w:tcBorders>
              <w:top w:val="nil"/>
              <w:left w:val="single" w:sz="4" w:space="0" w:color="auto"/>
              <w:bottom w:val="nil"/>
              <w:right w:val="nil"/>
            </w:tcBorders>
            <w:shd w:val="clear" w:color="auto" w:fill="auto"/>
            <w:noWrap/>
            <w:vAlign w:val="center"/>
            <w:hideMark/>
          </w:tcPr>
          <w:p w14:paraId="4532C079" w14:textId="77777777" w:rsidR="00AB1E60" w:rsidRPr="00D91864" w:rsidRDefault="00AB1E60" w:rsidP="000A3810">
            <w:pPr>
              <w:jc w:val="center"/>
              <w:rPr>
                <w:color w:val="000000"/>
                <w:sz w:val="22"/>
                <w:szCs w:val="22"/>
              </w:rPr>
            </w:pPr>
          </w:p>
        </w:tc>
        <w:tc>
          <w:tcPr>
            <w:tcW w:w="1101" w:type="dxa"/>
            <w:tcBorders>
              <w:top w:val="nil"/>
              <w:left w:val="nil"/>
              <w:bottom w:val="nil"/>
              <w:right w:val="nil"/>
            </w:tcBorders>
            <w:shd w:val="clear" w:color="auto" w:fill="auto"/>
            <w:noWrap/>
            <w:vAlign w:val="center"/>
            <w:hideMark/>
          </w:tcPr>
          <w:p w14:paraId="470ECA42" w14:textId="77777777" w:rsidR="00AB1E60" w:rsidRPr="00D91864" w:rsidRDefault="00AB1E60" w:rsidP="000A3810">
            <w:pPr>
              <w:jc w:val="center"/>
              <w:rPr>
                <w:color w:val="000000"/>
                <w:sz w:val="22"/>
                <w:szCs w:val="22"/>
              </w:rPr>
            </w:pPr>
            <w:r w:rsidRPr="00D91864">
              <w:rPr>
                <w:color w:val="000000"/>
                <w:sz w:val="22"/>
                <w:szCs w:val="22"/>
              </w:rPr>
              <w:t>(0.5244)</w:t>
            </w:r>
          </w:p>
        </w:tc>
        <w:tc>
          <w:tcPr>
            <w:tcW w:w="1102" w:type="dxa"/>
            <w:tcBorders>
              <w:top w:val="nil"/>
              <w:left w:val="nil"/>
              <w:bottom w:val="nil"/>
              <w:right w:val="nil"/>
            </w:tcBorders>
            <w:shd w:val="clear" w:color="auto" w:fill="auto"/>
            <w:noWrap/>
            <w:vAlign w:val="center"/>
            <w:hideMark/>
          </w:tcPr>
          <w:p w14:paraId="1D7219D3" w14:textId="77777777" w:rsidR="00AB1E60" w:rsidRPr="00D91864" w:rsidRDefault="00AB1E60" w:rsidP="000A3810">
            <w:pPr>
              <w:jc w:val="center"/>
              <w:rPr>
                <w:color w:val="000000"/>
                <w:sz w:val="22"/>
                <w:szCs w:val="22"/>
              </w:rPr>
            </w:pPr>
            <w:r w:rsidRPr="00D91864">
              <w:rPr>
                <w:color w:val="000000"/>
                <w:sz w:val="22"/>
                <w:szCs w:val="22"/>
              </w:rPr>
              <w:t>(0.3149)</w:t>
            </w:r>
          </w:p>
        </w:tc>
      </w:tr>
      <w:tr w:rsidR="00AB1E60" w:rsidRPr="00D91864" w14:paraId="29A5B273" w14:textId="77777777" w:rsidTr="000A3810">
        <w:trPr>
          <w:trHeight w:val="328"/>
        </w:trPr>
        <w:tc>
          <w:tcPr>
            <w:tcW w:w="2268" w:type="dxa"/>
            <w:tcBorders>
              <w:top w:val="nil"/>
              <w:left w:val="nil"/>
              <w:bottom w:val="nil"/>
              <w:right w:val="single" w:sz="4" w:space="0" w:color="auto"/>
            </w:tcBorders>
            <w:shd w:val="clear" w:color="auto" w:fill="auto"/>
            <w:noWrap/>
            <w:vAlign w:val="bottom"/>
            <w:hideMark/>
          </w:tcPr>
          <w:p w14:paraId="11DABDB9" w14:textId="77777777" w:rsidR="00AB1E60" w:rsidRPr="00D91864" w:rsidRDefault="00AB1E60" w:rsidP="000A3810">
            <w:pPr>
              <w:rPr>
                <w:color w:val="000000"/>
                <w:sz w:val="22"/>
                <w:szCs w:val="22"/>
              </w:rPr>
            </w:pPr>
            <w:r w:rsidRPr="00D91864">
              <w:rPr>
                <w:color w:val="000000"/>
                <w:sz w:val="22"/>
                <w:szCs w:val="22"/>
              </w:rPr>
              <w:t>The incentivized</w:t>
            </w:r>
          </w:p>
        </w:tc>
        <w:tc>
          <w:tcPr>
            <w:tcW w:w="702" w:type="dxa"/>
            <w:tcBorders>
              <w:top w:val="nil"/>
              <w:left w:val="single" w:sz="4" w:space="0" w:color="auto"/>
              <w:bottom w:val="nil"/>
              <w:right w:val="nil"/>
            </w:tcBorders>
            <w:shd w:val="clear" w:color="auto" w:fill="auto"/>
            <w:noWrap/>
            <w:vAlign w:val="center"/>
            <w:hideMark/>
          </w:tcPr>
          <w:p w14:paraId="0FAD1277" w14:textId="77777777" w:rsidR="00AB1E60" w:rsidRPr="00D91864" w:rsidRDefault="00AB1E60" w:rsidP="000A3810">
            <w:pPr>
              <w:jc w:val="center"/>
              <w:rPr>
                <w:color w:val="000000"/>
                <w:sz w:val="22"/>
                <w:szCs w:val="22"/>
              </w:rPr>
            </w:pPr>
            <w:r w:rsidRPr="00D91864">
              <w:rPr>
                <w:color w:val="000000"/>
                <w:sz w:val="22"/>
                <w:szCs w:val="22"/>
              </w:rPr>
              <w:t>15.8</w:t>
            </w:r>
          </w:p>
        </w:tc>
        <w:tc>
          <w:tcPr>
            <w:tcW w:w="1101" w:type="dxa"/>
            <w:tcBorders>
              <w:top w:val="nil"/>
              <w:left w:val="nil"/>
              <w:bottom w:val="nil"/>
              <w:right w:val="nil"/>
            </w:tcBorders>
            <w:shd w:val="clear" w:color="auto" w:fill="auto"/>
            <w:noWrap/>
            <w:vAlign w:val="center"/>
            <w:hideMark/>
          </w:tcPr>
          <w:p w14:paraId="7DAA11CE" w14:textId="77777777" w:rsidR="00AB1E60" w:rsidRPr="00D91864" w:rsidRDefault="00AB1E60" w:rsidP="000A3810">
            <w:pPr>
              <w:jc w:val="center"/>
              <w:rPr>
                <w:color w:val="000000"/>
                <w:sz w:val="22"/>
                <w:szCs w:val="22"/>
              </w:rPr>
            </w:pPr>
            <w:r w:rsidRPr="00D91864">
              <w:rPr>
                <w:color w:val="000000"/>
                <w:sz w:val="22"/>
                <w:szCs w:val="22"/>
              </w:rPr>
              <w:t>22.2</w:t>
            </w:r>
          </w:p>
        </w:tc>
        <w:tc>
          <w:tcPr>
            <w:tcW w:w="1032" w:type="dxa"/>
            <w:tcBorders>
              <w:top w:val="nil"/>
              <w:left w:val="nil"/>
              <w:bottom w:val="nil"/>
              <w:right w:val="single" w:sz="4" w:space="0" w:color="auto"/>
            </w:tcBorders>
            <w:shd w:val="clear" w:color="auto" w:fill="auto"/>
            <w:noWrap/>
            <w:vAlign w:val="center"/>
            <w:hideMark/>
          </w:tcPr>
          <w:p w14:paraId="0079FCFB" w14:textId="77777777" w:rsidR="00AB1E60" w:rsidRPr="00D91864" w:rsidRDefault="00AB1E60" w:rsidP="000A3810">
            <w:pPr>
              <w:jc w:val="center"/>
              <w:rPr>
                <w:color w:val="000000"/>
                <w:sz w:val="22"/>
                <w:szCs w:val="22"/>
              </w:rPr>
            </w:pPr>
            <w:r w:rsidRPr="00D91864">
              <w:rPr>
                <w:color w:val="000000"/>
                <w:sz w:val="22"/>
                <w:szCs w:val="22"/>
              </w:rPr>
              <w:t>20.8</w:t>
            </w:r>
          </w:p>
        </w:tc>
        <w:tc>
          <w:tcPr>
            <w:tcW w:w="772" w:type="dxa"/>
            <w:tcBorders>
              <w:top w:val="nil"/>
              <w:left w:val="single" w:sz="4" w:space="0" w:color="auto"/>
              <w:bottom w:val="nil"/>
              <w:right w:val="nil"/>
            </w:tcBorders>
            <w:shd w:val="clear" w:color="auto" w:fill="auto"/>
            <w:noWrap/>
            <w:vAlign w:val="center"/>
            <w:hideMark/>
          </w:tcPr>
          <w:p w14:paraId="62EAE772" w14:textId="77777777" w:rsidR="00AB1E60" w:rsidRPr="00D91864" w:rsidRDefault="00AB1E60" w:rsidP="000A3810">
            <w:pPr>
              <w:jc w:val="center"/>
              <w:rPr>
                <w:color w:val="000000"/>
                <w:sz w:val="22"/>
                <w:szCs w:val="22"/>
              </w:rPr>
            </w:pPr>
            <w:r w:rsidRPr="00D91864">
              <w:rPr>
                <w:color w:val="000000"/>
                <w:sz w:val="22"/>
                <w:szCs w:val="22"/>
              </w:rPr>
              <w:t>12.5</w:t>
            </w:r>
          </w:p>
        </w:tc>
        <w:tc>
          <w:tcPr>
            <w:tcW w:w="753" w:type="dxa"/>
            <w:tcBorders>
              <w:top w:val="nil"/>
              <w:left w:val="nil"/>
              <w:bottom w:val="nil"/>
              <w:right w:val="nil"/>
            </w:tcBorders>
            <w:shd w:val="clear" w:color="auto" w:fill="auto"/>
            <w:noWrap/>
            <w:vAlign w:val="center"/>
            <w:hideMark/>
          </w:tcPr>
          <w:p w14:paraId="68BDFE71" w14:textId="77777777" w:rsidR="00AB1E60" w:rsidRPr="00D91864" w:rsidRDefault="00AB1E60" w:rsidP="000A3810">
            <w:pPr>
              <w:jc w:val="center"/>
              <w:rPr>
                <w:color w:val="000000"/>
                <w:sz w:val="22"/>
                <w:szCs w:val="22"/>
              </w:rPr>
            </w:pPr>
            <w:r w:rsidRPr="00D91864">
              <w:rPr>
                <w:color w:val="000000"/>
                <w:sz w:val="22"/>
                <w:szCs w:val="22"/>
              </w:rPr>
              <w:t>0</w:t>
            </w:r>
          </w:p>
        </w:tc>
        <w:tc>
          <w:tcPr>
            <w:tcW w:w="1102" w:type="dxa"/>
            <w:tcBorders>
              <w:top w:val="nil"/>
              <w:left w:val="nil"/>
              <w:bottom w:val="nil"/>
              <w:right w:val="single" w:sz="4" w:space="0" w:color="auto"/>
            </w:tcBorders>
            <w:shd w:val="clear" w:color="auto" w:fill="auto"/>
            <w:noWrap/>
            <w:vAlign w:val="center"/>
            <w:hideMark/>
          </w:tcPr>
          <w:p w14:paraId="5BD72E49" w14:textId="77777777" w:rsidR="00AB1E60" w:rsidRPr="00D91864" w:rsidRDefault="00AB1E60" w:rsidP="000A3810">
            <w:pPr>
              <w:jc w:val="center"/>
              <w:rPr>
                <w:color w:val="000000"/>
                <w:sz w:val="22"/>
                <w:szCs w:val="22"/>
              </w:rPr>
            </w:pPr>
            <w:r w:rsidRPr="00D91864">
              <w:rPr>
                <w:color w:val="000000"/>
                <w:sz w:val="22"/>
                <w:szCs w:val="22"/>
              </w:rPr>
              <w:t>10</w:t>
            </w:r>
          </w:p>
        </w:tc>
        <w:tc>
          <w:tcPr>
            <w:tcW w:w="702" w:type="dxa"/>
            <w:tcBorders>
              <w:top w:val="nil"/>
              <w:left w:val="single" w:sz="4" w:space="0" w:color="auto"/>
              <w:bottom w:val="nil"/>
              <w:right w:val="nil"/>
            </w:tcBorders>
            <w:shd w:val="clear" w:color="auto" w:fill="auto"/>
            <w:noWrap/>
            <w:vAlign w:val="center"/>
            <w:hideMark/>
          </w:tcPr>
          <w:p w14:paraId="69177C4F" w14:textId="77777777" w:rsidR="00AB1E60" w:rsidRPr="00D91864" w:rsidRDefault="00AB1E60" w:rsidP="000A3810">
            <w:pPr>
              <w:jc w:val="center"/>
              <w:rPr>
                <w:color w:val="000000"/>
                <w:sz w:val="22"/>
                <w:szCs w:val="22"/>
              </w:rPr>
            </w:pPr>
            <w:r w:rsidRPr="00D91864">
              <w:rPr>
                <w:color w:val="000000"/>
                <w:sz w:val="22"/>
                <w:szCs w:val="22"/>
              </w:rPr>
              <w:t>34.2</w:t>
            </w:r>
          </w:p>
        </w:tc>
        <w:tc>
          <w:tcPr>
            <w:tcW w:w="1101" w:type="dxa"/>
            <w:tcBorders>
              <w:top w:val="nil"/>
              <w:left w:val="nil"/>
              <w:bottom w:val="nil"/>
              <w:right w:val="nil"/>
            </w:tcBorders>
            <w:shd w:val="clear" w:color="auto" w:fill="auto"/>
            <w:noWrap/>
            <w:vAlign w:val="center"/>
            <w:hideMark/>
          </w:tcPr>
          <w:p w14:paraId="4508E214" w14:textId="77777777" w:rsidR="00AB1E60" w:rsidRPr="00D91864" w:rsidRDefault="00AB1E60" w:rsidP="000A3810">
            <w:pPr>
              <w:jc w:val="center"/>
              <w:rPr>
                <w:color w:val="000000"/>
                <w:sz w:val="22"/>
                <w:szCs w:val="22"/>
              </w:rPr>
            </w:pPr>
            <w:r w:rsidRPr="00D91864">
              <w:rPr>
                <w:color w:val="000000"/>
                <w:sz w:val="22"/>
                <w:szCs w:val="22"/>
              </w:rPr>
              <w:t>41.7</w:t>
            </w:r>
          </w:p>
        </w:tc>
        <w:tc>
          <w:tcPr>
            <w:tcW w:w="1102" w:type="dxa"/>
            <w:tcBorders>
              <w:top w:val="nil"/>
              <w:left w:val="nil"/>
              <w:bottom w:val="nil"/>
              <w:right w:val="nil"/>
            </w:tcBorders>
            <w:shd w:val="clear" w:color="auto" w:fill="auto"/>
            <w:noWrap/>
            <w:vAlign w:val="center"/>
            <w:hideMark/>
          </w:tcPr>
          <w:p w14:paraId="00D5EB04" w14:textId="77777777" w:rsidR="00AB1E60" w:rsidRPr="00D91864" w:rsidRDefault="00AB1E60" w:rsidP="000A3810">
            <w:pPr>
              <w:jc w:val="center"/>
              <w:rPr>
                <w:color w:val="000000"/>
                <w:sz w:val="22"/>
                <w:szCs w:val="22"/>
              </w:rPr>
            </w:pPr>
            <w:r w:rsidRPr="00D91864">
              <w:rPr>
                <w:color w:val="000000"/>
                <w:sz w:val="22"/>
                <w:szCs w:val="22"/>
              </w:rPr>
              <w:t>40</w:t>
            </w:r>
          </w:p>
        </w:tc>
      </w:tr>
      <w:tr w:rsidR="00AB1E60" w:rsidRPr="00D91864" w14:paraId="1EF938AC" w14:textId="77777777" w:rsidTr="000A3810">
        <w:trPr>
          <w:trHeight w:val="328"/>
        </w:trPr>
        <w:tc>
          <w:tcPr>
            <w:tcW w:w="2268" w:type="dxa"/>
            <w:tcBorders>
              <w:top w:val="nil"/>
              <w:left w:val="nil"/>
              <w:bottom w:val="nil"/>
              <w:right w:val="single" w:sz="4" w:space="0" w:color="auto"/>
            </w:tcBorders>
            <w:shd w:val="clear" w:color="auto" w:fill="auto"/>
            <w:noWrap/>
            <w:vAlign w:val="bottom"/>
            <w:hideMark/>
          </w:tcPr>
          <w:p w14:paraId="54BBAFE2" w14:textId="77777777" w:rsidR="00AB1E60" w:rsidRPr="00D91864" w:rsidRDefault="00AB1E60" w:rsidP="000A3810">
            <w:pPr>
              <w:jc w:val="right"/>
              <w:rPr>
                <w:color w:val="000000"/>
                <w:sz w:val="22"/>
                <w:szCs w:val="22"/>
              </w:rPr>
            </w:pPr>
          </w:p>
        </w:tc>
        <w:tc>
          <w:tcPr>
            <w:tcW w:w="702" w:type="dxa"/>
            <w:tcBorders>
              <w:top w:val="nil"/>
              <w:left w:val="single" w:sz="4" w:space="0" w:color="auto"/>
              <w:bottom w:val="nil"/>
              <w:right w:val="nil"/>
            </w:tcBorders>
            <w:shd w:val="clear" w:color="auto" w:fill="auto"/>
            <w:noWrap/>
            <w:vAlign w:val="center"/>
            <w:hideMark/>
          </w:tcPr>
          <w:p w14:paraId="3F5748BB" w14:textId="77777777" w:rsidR="00AB1E60" w:rsidRPr="00D91864" w:rsidRDefault="00AB1E60" w:rsidP="000A3810">
            <w:pPr>
              <w:jc w:val="center"/>
              <w:rPr>
                <w:sz w:val="22"/>
                <w:szCs w:val="22"/>
              </w:rPr>
            </w:pPr>
          </w:p>
        </w:tc>
        <w:tc>
          <w:tcPr>
            <w:tcW w:w="1101" w:type="dxa"/>
            <w:tcBorders>
              <w:top w:val="nil"/>
              <w:left w:val="nil"/>
              <w:bottom w:val="nil"/>
              <w:right w:val="nil"/>
            </w:tcBorders>
            <w:shd w:val="clear" w:color="auto" w:fill="auto"/>
            <w:noWrap/>
            <w:vAlign w:val="center"/>
            <w:hideMark/>
          </w:tcPr>
          <w:p w14:paraId="128E0501" w14:textId="77777777" w:rsidR="00AB1E60" w:rsidRPr="00D91864" w:rsidRDefault="00AB1E60" w:rsidP="000A3810">
            <w:pPr>
              <w:jc w:val="center"/>
              <w:rPr>
                <w:color w:val="000000"/>
                <w:sz w:val="22"/>
                <w:szCs w:val="22"/>
              </w:rPr>
            </w:pPr>
            <w:r w:rsidRPr="00D91864">
              <w:rPr>
                <w:color w:val="000000"/>
                <w:sz w:val="22"/>
                <w:szCs w:val="22"/>
              </w:rPr>
              <w:t>(0.4981)</w:t>
            </w:r>
          </w:p>
        </w:tc>
        <w:tc>
          <w:tcPr>
            <w:tcW w:w="1032" w:type="dxa"/>
            <w:tcBorders>
              <w:top w:val="nil"/>
              <w:left w:val="nil"/>
              <w:bottom w:val="nil"/>
              <w:right w:val="single" w:sz="4" w:space="0" w:color="auto"/>
            </w:tcBorders>
            <w:shd w:val="clear" w:color="auto" w:fill="auto"/>
            <w:noWrap/>
            <w:vAlign w:val="center"/>
            <w:hideMark/>
          </w:tcPr>
          <w:p w14:paraId="6D62AD62" w14:textId="77777777" w:rsidR="00AB1E60" w:rsidRPr="00D91864" w:rsidRDefault="00AB1E60" w:rsidP="000A3810">
            <w:pPr>
              <w:jc w:val="center"/>
              <w:rPr>
                <w:color w:val="000000"/>
                <w:sz w:val="22"/>
                <w:szCs w:val="22"/>
              </w:rPr>
            </w:pPr>
            <w:r w:rsidRPr="00D91864">
              <w:rPr>
                <w:color w:val="000000"/>
                <w:sz w:val="22"/>
                <w:szCs w:val="22"/>
              </w:rPr>
              <w:t>(0.5496)</w:t>
            </w:r>
          </w:p>
        </w:tc>
        <w:tc>
          <w:tcPr>
            <w:tcW w:w="772" w:type="dxa"/>
            <w:tcBorders>
              <w:top w:val="nil"/>
              <w:left w:val="single" w:sz="4" w:space="0" w:color="auto"/>
              <w:bottom w:val="nil"/>
              <w:right w:val="nil"/>
            </w:tcBorders>
            <w:shd w:val="clear" w:color="auto" w:fill="auto"/>
            <w:noWrap/>
            <w:vAlign w:val="center"/>
            <w:hideMark/>
          </w:tcPr>
          <w:p w14:paraId="7DA28760" w14:textId="77777777" w:rsidR="00AB1E60" w:rsidRPr="00D91864" w:rsidRDefault="00AB1E60" w:rsidP="000A3810">
            <w:pPr>
              <w:jc w:val="center"/>
              <w:rPr>
                <w:color w:val="000000"/>
                <w:sz w:val="22"/>
                <w:szCs w:val="22"/>
              </w:rPr>
            </w:pPr>
          </w:p>
        </w:tc>
        <w:tc>
          <w:tcPr>
            <w:tcW w:w="753" w:type="dxa"/>
            <w:tcBorders>
              <w:top w:val="nil"/>
              <w:left w:val="nil"/>
              <w:bottom w:val="nil"/>
              <w:right w:val="nil"/>
            </w:tcBorders>
            <w:shd w:val="clear" w:color="auto" w:fill="auto"/>
            <w:noWrap/>
            <w:vAlign w:val="center"/>
            <w:hideMark/>
          </w:tcPr>
          <w:p w14:paraId="5F307AF7" w14:textId="77777777" w:rsidR="00AB1E60" w:rsidRPr="00D91864" w:rsidRDefault="00AB1E60" w:rsidP="000A3810">
            <w:pPr>
              <w:jc w:val="center"/>
              <w:rPr>
                <w:sz w:val="22"/>
                <w:szCs w:val="22"/>
              </w:rPr>
            </w:pPr>
          </w:p>
        </w:tc>
        <w:tc>
          <w:tcPr>
            <w:tcW w:w="1102" w:type="dxa"/>
            <w:tcBorders>
              <w:top w:val="nil"/>
              <w:left w:val="nil"/>
              <w:bottom w:val="nil"/>
              <w:right w:val="single" w:sz="4" w:space="0" w:color="auto"/>
            </w:tcBorders>
            <w:shd w:val="clear" w:color="auto" w:fill="auto"/>
            <w:noWrap/>
            <w:vAlign w:val="center"/>
            <w:hideMark/>
          </w:tcPr>
          <w:p w14:paraId="61EA30C4" w14:textId="77777777" w:rsidR="00AB1E60" w:rsidRPr="00D91864" w:rsidRDefault="00AB1E60" w:rsidP="000A3810">
            <w:pPr>
              <w:jc w:val="center"/>
              <w:rPr>
                <w:color w:val="000000"/>
                <w:sz w:val="22"/>
                <w:szCs w:val="22"/>
              </w:rPr>
            </w:pPr>
            <w:r w:rsidRPr="00D91864">
              <w:rPr>
                <w:color w:val="000000"/>
                <w:sz w:val="22"/>
                <w:szCs w:val="22"/>
              </w:rPr>
              <w:t>(0.7072)</w:t>
            </w:r>
          </w:p>
        </w:tc>
        <w:tc>
          <w:tcPr>
            <w:tcW w:w="702" w:type="dxa"/>
            <w:tcBorders>
              <w:top w:val="nil"/>
              <w:left w:val="single" w:sz="4" w:space="0" w:color="auto"/>
              <w:bottom w:val="nil"/>
              <w:right w:val="nil"/>
            </w:tcBorders>
            <w:shd w:val="clear" w:color="auto" w:fill="auto"/>
            <w:noWrap/>
            <w:vAlign w:val="center"/>
            <w:hideMark/>
          </w:tcPr>
          <w:p w14:paraId="705DC3A4" w14:textId="77777777" w:rsidR="00AB1E60" w:rsidRPr="00D91864" w:rsidRDefault="00AB1E60" w:rsidP="000A3810">
            <w:pPr>
              <w:jc w:val="center"/>
              <w:rPr>
                <w:color w:val="000000"/>
                <w:sz w:val="22"/>
                <w:szCs w:val="22"/>
              </w:rPr>
            </w:pPr>
          </w:p>
        </w:tc>
        <w:tc>
          <w:tcPr>
            <w:tcW w:w="1101" w:type="dxa"/>
            <w:tcBorders>
              <w:top w:val="nil"/>
              <w:left w:val="nil"/>
              <w:bottom w:val="nil"/>
              <w:right w:val="nil"/>
            </w:tcBorders>
            <w:shd w:val="clear" w:color="auto" w:fill="auto"/>
            <w:noWrap/>
            <w:vAlign w:val="center"/>
            <w:hideMark/>
          </w:tcPr>
          <w:p w14:paraId="58274EC2" w14:textId="77777777" w:rsidR="00AB1E60" w:rsidRPr="00D91864" w:rsidRDefault="00AB1E60" w:rsidP="000A3810">
            <w:pPr>
              <w:jc w:val="center"/>
              <w:rPr>
                <w:color w:val="000000"/>
                <w:sz w:val="22"/>
                <w:szCs w:val="22"/>
              </w:rPr>
            </w:pPr>
            <w:r w:rsidRPr="00D91864">
              <w:rPr>
                <w:color w:val="000000"/>
                <w:sz w:val="22"/>
                <w:szCs w:val="22"/>
              </w:rPr>
              <w:t>(0.6046)</w:t>
            </w:r>
          </w:p>
        </w:tc>
        <w:tc>
          <w:tcPr>
            <w:tcW w:w="1102" w:type="dxa"/>
            <w:tcBorders>
              <w:top w:val="nil"/>
              <w:left w:val="nil"/>
              <w:bottom w:val="nil"/>
              <w:right w:val="nil"/>
            </w:tcBorders>
            <w:shd w:val="clear" w:color="auto" w:fill="auto"/>
            <w:noWrap/>
            <w:vAlign w:val="center"/>
            <w:hideMark/>
          </w:tcPr>
          <w:p w14:paraId="77053CC5" w14:textId="77777777" w:rsidR="00AB1E60" w:rsidRPr="00D91864" w:rsidRDefault="00AB1E60" w:rsidP="000A3810">
            <w:pPr>
              <w:jc w:val="center"/>
              <w:rPr>
                <w:color w:val="000000"/>
                <w:sz w:val="22"/>
                <w:szCs w:val="22"/>
              </w:rPr>
            </w:pPr>
            <w:r w:rsidRPr="00D91864">
              <w:rPr>
                <w:color w:val="000000"/>
                <w:sz w:val="22"/>
                <w:szCs w:val="22"/>
              </w:rPr>
              <w:t>(0.5536)</w:t>
            </w:r>
          </w:p>
        </w:tc>
      </w:tr>
      <w:tr w:rsidR="00AB1E60" w:rsidRPr="00D91864" w14:paraId="45C37947" w14:textId="77777777" w:rsidTr="000A3810">
        <w:trPr>
          <w:trHeight w:val="328"/>
        </w:trPr>
        <w:tc>
          <w:tcPr>
            <w:tcW w:w="2268" w:type="dxa"/>
            <w:tcBorders>
              <w:top w:val="nil"/>
              <w:left w:val="nil"/>
              <w:right w:val="single" w:sz="4" w:space="0" w:color="auto"/>
            </w:tcBorders>
            <w:shd w:val="clear" w:color="auto" w:fill="auto"/>
            <w:noWrap/>
            <w:vAlign w:val="bottom"/>
            <w:hideMark/>
          </w:tcPr>
          <w:p w14:paraId="59FFCF90" w14:textId="77777777" w:rsidR="00AB1E60" w:rsidRPr="00D91864" w:rsidRDefault="00AB1E60" w:rsidP="000A3810">
            <w:pPr>
              <w:rPr>
                <w:color w:val="000000"/>
                <w:sz w:val="22"/>
                <w:szCs w:val="22"/>
              </w:rPr>
            </w:pPr>
            <w:r w:rsidRPr="00D91864">
              <w:rPr>
                <w:color w:val="000000"/>
                <w:sz w:val="22"/>
                <w:szCs w:val="22"/>
              </w:rPr>
              <w:t>The non-compliers</w:t>
            </w:r>
          </w:p>
        </w:tc>
        <w:tc>
          <w:tcPr>
            <w:tcW w:w="702" w:type="dxa"/>
            <w:tcBorders>
              <w:top w:val="nil"/>
              <w:left w:val="single" w:sz="4" w:space="0" w:color="auto"/>
              <w:right w:val="nil"/>
            </w:tcBorders>
            <w:shd w:val="clear" w:color="auto" w:fill="auto"/>
            <w:noWrap/>
            <w:vAlign w:val="center"/>
            <w:hideMark/>
          </w:tcPr>
          <w:p w14:paraId="45CAA02D" w14:textId="77777777" w:rsidR="00AB1E60" w:rsidRPr="00D91864" w:rsidRDefault="00AB1E60" w:rsidP="000A3810">
            <w:pPr>
              <w:jc w:val="center"/>
              <w:rPr>
                <w:color w:val="000000"/>
                <w:sz w:val="22"/>
                <w:szCs w:val="22"/>
              </w:rPr>
            </w:pPr>
            <w:r w:rsidRPr="00D91864">
              <w:rPr>
                <w:color w:val="000000"/>
                <w:sz w:val="22"/>
                <w:szCs w:val="22"/>
              </w:rPr>
              <w:t>53.3</w:t>
            </w:r>
          </w:p>
        </w:tc>
        <w:tc>
          <w:tcPr>
            <w:tcW w:w="1101" w:type="dxa"/>
            <w:tcBorders>
              <w:top w:val="nil"/>
              <w:left w:val="nil"/>
              <w:right w:val="nil"/>
            </w:tcBorders>
            <w:shd w:val="clear" w:color="auto" w:fill="auto"/>
            <w:noWrap/>
            <w:vAlign w:val="center"/>
            <w:hideMark/>
          </w:tcPr>
          <w:p w14:paraId="096FC886" w14:textId="77777777" w:rsidR="00AB1E60" w:rsidRPr="00D91864" w:rsidRDefault="00AB1E60" w:rsidP="000A3810">
            <w:pPr>
              <w:jc w:val="center"/>
              <w:rPr>
                <w:color w:val="000000"/>
                <w:sz w:val="22"/>
                <w:szCs w:val="22"/>
              </w:rPr>
            </w:pPr>
            <w:r w:rsidRPr="00D91864">
              <w:rPr>
                <w:color w:val="000000"/>
                <w:sz w:val="22"/>
                <w:szCs w:val="22"/>
              </w:rPr>
              <w:t>50</w:t>
            </w:r>
          </w:p>
        </w:tc>
        <w:tc>
          <w:tcPr>
            <w:tcW w:w="1032" w:type="dxa"/>
            <w:tcBorders>
              <w:top w:val="nil"/>
              <w:left w:val="nil"/>
              <w:right w:val="single" w:sz="4" w:space="0" w:color="auto"/>
            </w:tcBorders>
            <w:shd w:val="clear" w:color="auto" w:fill="auto"/>
            <w:noWrap/>
            <w:vAlign w:val="center"/>
            <w:hideMark/>
          </w:tcPr>
          <w:p w14:paraId="206C7EEB" w14:textId="77777777" w:rsidR="00AB1E60" w:rsidRPr="00D91864" w:rsidRDefault="00AB1E60" w:rsidP="000A3810">
            <w:pPr>
              <w:jc w:val="center"/>
              <w:rPr>
                <w:color w:val="000000"/>
                <w:sz w:val="22"/>
                <w:szCs w:val="22"/>
              </w:rPr>
            </w:pPr>
            <w:r w:rsidRPr="00D91864">
              <w:rPr>
                <w:color w:val="000000"/>
                <w:sz w:val="22"/>
                <w:szCs w:val="22"/>
              </w:rPr>
              <w:t>54.2</w:t>
            </w:r>
          </w:p>
        </w:tc>
        <w:tc>
          <w:tcPr>
            <w:tcW w:w="772" w:type="dxa"/>
            <w:tcBorders>
              <w:top w:val="nil"/>
              <w:left w:val="single" w:sz="4" w:space="0" w:color="auto"/>
              <w:right w:val="nil"/>
            </w:tcBorders>
            <w:shd w:val="clear" w:color="auto" w:fill="auto"/>
            <w:noWrap/>
            <w:vAlign w:val="center"/>
            <w:hideMark/>
          </w:tcPr>
          <w:p w14:paraId="7D4DC6B9" w14:textId="77777777" w:rsidR="00AB1E60" w:rsidRPr="00D91864" w:rsidRDefault="00AB1E60" w:rsidP="000A3810">
            <w:pPr>
              <w:jc w:val="center"/>
              <w:rPr>
                <w:color w:val="000000"/>
                <w:sz w:val="22"/>
                <w:szCs w:val="22"/>
              </w:rPr>
            </w:pPr>
            <w:r w:rsidRPr="00D91864">
              <w:rPr>
                <w:color w:val="000000"/>
                <w:sz w:val="22"/>
                <w:szCs w:val="22"/>
              </w:rPr>
              <w:t>25.8</w:t>
            </w:r>
          </w:p>
        </w:tc>
        <w:tc>
          <w:tcPr>
            <w:tcW w:w="753" w:type="dxa"/>
            <w:tcBorders>
              <w:top w:val="nil"/>
              <w:left w:val="nil"/>
              <w:right w:val="nil"/>
            </w:tcBorders>
            <w:shd w:val="clear" w:color="auto" w:fill="auto"/>
            <w:noWrap/>
            <w:vAlign w:val="center"/>
            <w:hideMark/>
          </w:tcPr>
          <w:p w14:paraId="2BCDA0BE" w14:textId="77777777" w:rsidR="00AB1E60" w:rsidRPr="00D91864" w:rsidRDefault="00AB1E60" w:rsidP="000A3810">
            <w:pPr>
              <w:jc w:val="center"/>
              <w:rPr>
                <w:color w:val="000000"/>
                <w:sz w:val="22"/>
                <w:szCs w:val="22"/>
              </w:rPr>
            </w:pPr>
            <w:r w:rsidRPr="00D91864">
              <w:rPr>
                <w:color w:val="000000"/>
                <w:sz w:val="22"/>
                <w:szCs w:val="22"/>
              </w:rPr>
              <w:t>0</w:t>
            </w:r>
          </w:p>
        </w:tc>
        <w:tc>
          <w:tcPr>
            <w:tcW w:w="1102" w:type="dxa"/>
            <w:tcBorders>
              <w:top w:val="nil"/>
              <w:left w:val="nil"/>
              <w:right w:val="single" w:sz="4" w:space="0" w:color="auto"/>
            </w:tcBorders>
            <w:shd w:val="clear" w:color="auto" w:fill="auto"/>
            <w:noWrap/>
            <w:vAlign w:val="center"/>
            <w:hideMark/>
          </w:tcPr>
          <w:p w14:paraId="0A9C647B" w14:textId="77777777" w:rsidR="00AB1E60" w:rsidRPr="00D91864" w:rsidRDefault="00AB1E60" w:rsidP="000A3810">
            <w:pPr>
              <w:jc w:val="center"/>
              <w:rPr>
                <w:color w:val="000000"/>
                <w:sz w:val="22"/>
                <w:szCs w:val="22"/>
              </w:rPr>
            </w:pPr>
            <w:r w:rsidRPr="00D91864">
              <w:rPr>
                <w:color w:val="000000"/>
                <w:sz w:val="22"/>
                <w:szCs w:val="22"/>
              </w:rPr>
              <w:t>26.7</w:t>
            </w:r>
          </w:p>
        </w:tc>
        <w:tc>
          <w:tcPr>
            <w:tcW w:w="702" w:type="dxa"/>
            <w:tcBorders>
              <w:top w:val="nil"/>
              <w:left w:val="single" w:sz="4" w:space="0" w:color="auto"/>
              <w:right w:val="nil"/>
            </w:tcBorders>
            <w:shd w:val="clear" w:color="auto" w:fill="auto"/>
            <w:noWrap/>
            <w:vAlign w:val="center"/>
            <w:hideMark/>
          </w:tcPr>
          <w:p w14:paraId="2CC772CA" w14:textId="77777777" w:rsidR="00AB1E60" w:rsidRPr="00D91864" w:rsidRDefault="00AB1E60" w:rsidP="000A3810">
            <w:pPr>
              <w:jc w:val="center"/>
              <w:rPr>
                <w:color w:val="000000"/>
                <w:sz w:val="22"/>
                <w:szCs w:val="22"/>
              </w:rPr>
            </w:pPr>
            <w:r w:rsidRPr="00D91864">
              <w:rPr>
                <w:color w:val="000000"/>
                <w:sz w:val="22"/>
                <w:szCs w:val="22"/>
              </w:rPr>
              <w:t>35</w:t>
            </w:r>
          </w:p>
        </w:tc>
        <w:tc>
          <w:tcPr>
            <w:tcW w:w="1101" w:type="dxa"/>
            <w:tcBorders>
              <w:top w:val="nil"/>
              <w:left w:val="nil"/>
              <w:right w:val="nil"/>
            </w:tcBorders>
            <w:shd w:val="clear" w:color="auto" w:fill="auto"/>
            <w:noWrap/>
            <w:vAlign w:val="center"/>
            <w:hideMark/>
          </w:tcPr>
          <w:p w14:paraId="7A8B7A62" w14:textId="77777777" w:rsidR="00AB1E60" w:rsidRPr="00D91864" w:rsidRDefault="00AB1E60" w:rsidP="000A3810">
            <w:pPr>
              <w:jc w:val="center"/>
              <w:rPr>
                <w:color w:val="000000"/>
                <w:sz w:val="22"/>
                <w:szCs w:val="22"/>
              </w:rPr>
            </w:pPr>
            <w:r w:rsidRPr="00D91864">
              <w:rPr>
                <w:color w:val="000000"/>
                <w:sz w:val="22"/>
                <w:szCs w:val="22"/>
              </w:rPr>
              <w:t>33.3</w:t>
            </w:r>
          </w:p>
        </w:tc>
        <w:tc>
          <w:tcPr>
            <w:tcW w:w="1102" w:type="dxa"/>
            <w:tcBorders>
              <w:top w:val="nil"/>
              <w:left w:val="nil"/>
              <w:right w:val="nil"/>
            </w:tcBorders>
            <w:shd w:val="clear" w:color="auto" w:fill="auto"/>
            <w:noWrap/>
            <w:vAlign w:val="center"/>
            <w:hideMark/>
          </w:tcPr>
          <w:p w14:paraId="53E2FAFC" w14:textId="77777777" w:rsidR="00AB1E60" w:rsidRPr="00D91864" w:rsidRDefault="00AB1E60" w:rsidP="000A3810">
            <w:pPr>
              <w:jc w:val="center"/>
              <w:rPr>
                <w:color w:val="000000"/>
                <w:sz w:val="22"/>
                <w:szCs w:val="22"/>
              </w:rPr>
            </w:pPr>
            <w:r w:rsidRPr="00D91864">
              <w:rPr>
                <w:color w:val="000000"/>
                <w:sz w:val="22"/>
                <w:szCs w:val="22"/>
              </w:rPr>
              <w:t>46.7</w:t>
            </w:r>
          </w:p>
        </w:tc>
      </w:tr>
      <w:tr w:rsidR="00AB1E60" w:rsidRPr="00D91864" w14:paraId="7CEAE5C4" w14:textId="77777777" w:rsidTr="000A3810">
        <w:trPr>
          <w:trHeight w:val="328"/>
        </w:trPr>
        <w:tc>
          <w:tcPr>
            <w:tcW w:w="2268" w:type="dxa"/>
            <w:tcBorders>
              <w:top w:val="nil"/>
              <w:left w:val="nil"/>
              <w:bottom w:val="single" w:sz="4" w:space="0" w:color="auto"/>
              <w:right w:val="single" w:sz="4" w:space="0" w:color="auto"/>
            </w:tcBorders>
            <w:shd w:val="clear" w:color="auto" w:fill="auto"/>
            <w:noWrap/>
            <w:vAlign w:val="bottom"/>
            <w:hideMark/>
          </w:tcPr>
          <w:p w14:paraId="77106990" w14:textId="77777777" w:rsidR="00AB1E60" w:rsidRPr="00D91864" w:rsidRDefault="00AB1E60" w:rsidP="000A3810">
            <w:pPr>
              <w:jc w:val="right"/>
              <w:rPr>
                <w:color w:val="000000"/>
                <w:sz w:val="22"/>
                <w:szCs w:val="22"/>
              </w:rPr>
            </w:pPr>
          </w:p>
        </w:tc>
        <w:tc>
          <w:tcPr>
            <w:tcW w:w="702" w:type="dxa"/>
            <w:tcBorders>
              <w:top w:val="nil"/>
              <w:left w:val="single" w:sz="4" w:space="0" w:color="auto"/>
              <w:bottom w:val="single" w:sz="4" w:space="0" w:color="auto"/>
              <w:right w:val="nil"/>
            </w:tcBorders>
            <w:shd w:val="clear" w:color="auto" w:fill="auto"/>
            <w:noWrap/>
            <w:vAlign w:val="center"/>
            <w:hideMark/>
          </w:tcPr>
          <w:p w14:paraId="4BAEB22C" w14:textId="77777777" w:rsidR="00AB1E60" w:rsidRPr="00D91864" w:rsidRDefault="00AB1E60" w:rsidP="000A3810">
            <w:pPr>
              <w:jc w:val="center"/>
              <w:rPr>
                <w:sz w:val="22"/>
                <w:szCs w:val="22"/>
              </w:rPr>
            </w:pPr>
          </w:p>
        </w:tc>
        <w:tc>
          <w:tcPr>
            <w:tcW w:w="1101" w:type="dxa"/>
            <w:tcBorders>
              <w:top w:val="nil"/>
              <w:left w:val="nil"/>
              <w:bottom w:val="single" w:sz="4" w:space="0" w:color="auto"/>
              <w:right w:val="nil"/>
            </w:tcBorders>
            <w:shd w:val="clear" w:color="auto" w:fill="auto"/>
            <w:noWrap/>
            <w:vAlign w:val="center"/>
            <w:hideMark/>
          </w:tcPr>
          <w:p w14:paraId="07F61B61" w14:textId="77777777" w:rsidR="00AB1E60" w:rsidRPr="00D91864" w:rsidRDefault="00AB1E60" w:rsidP="000A3810">
            <w:pPr>
              <w:jc w:val="center"/>
              <w:rPr>
                <w:color w:val="000000"/>
                <w:sz w:val="22"/>
                <w:szCs w:val="22"/>
              </w:rPr>
            </w:pPr>
            <w:r w:rsidRPr="00D91864">
              <w:rPr>
                <w:color w:val="000000"/>
                <w:sz w:val="22"/>
                <w:szCs w:val="22"/>
              </w:rPr>
              <w:t>(0.7944)</w:t>
            </w:r>
          </w:p>
        </w:tc>
        <w:tc>
          <w:tcPr>
            <w:tcW w:w="1032" w:type="dxa"/>
            <w:tcBorders>
              <w:top w:val="nil"/>
              <w:left w:val="nil"/>
              <w:bottom w:val="single" w:sz="4" w:space="0" w:color="auto"/>
              <w:right w:val="single" w:sz="4" w:space="0" w:color="auto"/>
            </w:tcBorders>
            <w:shd w:val="clear" w:color="auto" w:fill="auto"/>
            <w:noWrap/>
            <w:vAlign w:val="center"/>
            <w:hideMark/>
          </w:tcPr>
          <w:p w14:paraId="0785001B" w14:textId="77777777" w:rsidR="00AB1E60" w:rsidRPr="00D91864" w:rsidRDefault="00AB1E60" w:rsidP="000A3810">
            <w:pPr>
              <w:jc w:val="center"/>
              <w:rPr>
                <w:color w:val="000000"/>
                <w:sz w:val="22"/>
                <w:szCs w:val="22"/>
              </w:rPr>
            </w:pPr>
            <w:r w:rsidRPr="00D91864">
              <w:rPr>
                <w:color w:val="000000"/>
                <w:sz w:val="22"/>
                <w:szCs w:val="22"/>
              </w:rPr>
              <w:t>(0.9359)</w:t>
            </w:r>
          </w:p>
        </w:tc>
        <w:tc>
          <w:tcPr>
            <w:tcW w:w="772" w:type="dxa"/>
            <w:tcBorders>
              <w:top w:val="nil"/>
              <w:left w:val="single" w:sz="4" w:space="0" w:color="auto"/>
              <w:bottom w:val="single" w:sz="4" w:space="0" w:color="auto"/>
              <w:right w:val="nil"/>
            </w:tcBorders>
            <w:shd w:val="clear" w:color="auto" w:fill="auto"/>
            <w:noWrap/>
            <w:vAlign w:val="center"/>
            <w:hideMark/>
          </w:tcPr>
          <w:p w14:paraId="1461B133" w14:textId="77777777" w:rsidR="00AB1E60" w:rsidRPr="00D91864" w:rsidRDefault="00AB1E60" w:rsidP="000A3810">
            <w:pPr>
              <w:jc w:val="center"/>
              <w:rPr>
                <w:color w:val="000000"/>
                <w:sz w:val="22"/>
                <w:szCs w:val="22"/>
              </w:rPr>
            </w:pPr>
          </w:p>
        </w:tc>
        <w:tc>
          <w:tcPr>
            <w:tcW w:w="753" w:type="dxa"/>
            <w:tcBorders>
              <w:top w:val="nil"/>
              <w:left w:val="nil"/>
              <w:bottom w:val="single" w:sz="4" w:space="0" w:color="auto"/>
              <w:right w:val="nil"/>
            </w:tcBorders>
            <w:shd w:val="clear" w:color="auto" w:fill="auto"/>
            <w:noWrap/>
            <w:vAlign w:val="center"/>
            <w:hideMark/>
          </w:tcPr>
          <w:p w14:paraId="02D7BD82" w14:textId="77777777" w:rsidR="00AB1E60" w:rsidRPr="00D91864" w:rsidRDefault="00AB1E60" w:rsidP="000A3810">
            <w:pPr>
              <w:jc w:val="center"/>
              <w:rPr>
                <w:sz w:val="22"/>
                <w:szCs w:val="22"/>
              </w:rPr>
            </w:pPr>
          </w:p>
        </w:tc>
        <w:tc>
          <w:tcPr>
            <w:tcW w:w="1102" w:type="dxa"/>
            <w:tcBorders>
              <w:top w:val="nil"/>
              <w:left w:val="nil"/>
              <w:bottom w:val="single" w:sz="4" w:space="0" w:color="auto"/>
              <w:right w:val="single" w:sz="4" w:space="0" w:color="auto"/>
            </w:tcBorders>
            <w:shd w:val="clear" w:color="auto" w:fill="auto"/>
            <w:noWrap/>
            <w:vAlign w:val="center"/>
            <w:hideMark/>
          </w:tcPr>
          <w:p w14:paraId="298DDEBF" w14:textId="77777777" w:rsidR="00AB1E60" w:rsidRPr="00D91864" w:rsidRDefault="00AB1E60" w:rsidP="000A3810">
            <w:pPr>
              <w:jc w:val="center"/>
              <w:rPr>
                <w:color w:val="000000"/>
                <w:sz w:val="22"/>
                <w:szCs w:val="22"/>
              </w:rPr>
            </w:pPr>
            <w:r w:rsidRPr="00D91864">
              <w:rPr>
                <w:color w:val="000000"/>
                <w:sz w:val="22"/>
                <w:szCs w:val="22"/>
              </w:rPr>
              <w:t>(0.9202)</w:t>
            </w:r>
          </w:p>
        </w:tc>
        <w:tc>
          <w:tcPr>
            <w:tcW w:w="702" w:type="dxa"/>
            <w:tcBorders>
              <w:top w:val="nil"/>
              <w:left w:val="single" w:sz="4" w:space="0" w:color="auto"/>
              <w:bottom w:val="single" w:sz="4" w:space="0" w:color="auto"/>
              <w:right w:val="nil"/>
            </w:tcBorders>
            <w:shd w:val="clear" w:color="auto" w:fill="auto"/>
            <w:noWrap/>
            <w:vAlign w:val="center"/>
            <w:hideMark/>
          </w:tcPr>
          <w:p w14:paraId="42A719E9" w14:textId="77777777" w:rsidR="00AB1E60" w:rsidRPr="00D91864" w:rsidRDefault="00AB1E60" w:rsidP="000A3810">
            <w:pPr>
              <w:jc w:val="center"/>
              <w:rPr>
                <w:color w:val="000000"/>
                <w:sz w:val="22"/>
                <w:szCs w:val="22"/>
              </w:rPr>
            </w:pPr>
          </w:p>
        </w:tc>
        <w:tc>
          <w:tcPr>
            <w:tcW w:w="1101" w:type="dxa"/>
            <w:tcBorders>
              <w:top w:val="nil"/>
              <w:left w:val="nil"/>
              <w:bottom w:val="single" w:sz="4" w:space="0" w:color="auto"/>
              <w:right w:val="nil"/>
            </w:tcBorders>
            <w:shd w:val="clear" w:color="auto" w:fill="auto"/>
            <w:noWrap/>
            <w:vAlign w:val="center"/>
            <w:hideMark/>
          </w:tcPr>
          <w:p w14:paraId="1F99C5EE" w14:textId="77777777" w:rsidR="00AB1E60" w:rsidRPr="00D91864" w:rsidRDefault="00AB1E60" w:rsidP="000A3810">
            <w:pPr>
              <w:jc w:val="center"/>
              <w:rPr>
                <w:color w:val="000000"/>
                <w:sz w:val="22"/>
                <w:szCs w:val="22"/>
              </w:rPr>
            </w:pPr>
            <w:r w:rsidRPr="00D91864">
              <w:rPr>
                <w:color w:val="000000"/>
                <w:sz w:val="22"/>
                <w:szCs w:val="22"/>
              </w:rPr>
              <w:t>(0.9065)</w:t>
            </w:r>
          </w:p>
        </w:tc>
        <w:tc>
          <w:tcPr>
            <w:tcW w:w="1102" w:type="dxa"/>
            <w:tcBorders>
              <w:top w:val="nil"/>
              <w:left w:val="nil"/>
              <w:bottom w:val="single" w:sz="4" w:space="0" w:color="auto"/>
              <w:right w:val="nil"/>
            </w:tcBorders>
            <w:shd w:val="clear" w:color="auto" w:fill="auto"/>
            <w:noWrap/>
            <w:vAlign w:val="center"/>
            <w:hideMark/>
          </w:tcPr>
          <w:p w14:paraId="694AFD78" w14:textId="77777777" w:rsidR="00AB1E60" w:rsidRPr="00D91864" w:rsidRDefault="00AB1E60" w:rsidP="000A3810">
            <w:pPr>
              <w:jc w:val="center"/>
              <w:rPr>
                <w:color w:val="000000"/>
                <w:sz w:val="22"/>
                <w:szCs w:val="22"/>
              </w:rPr>
            </w:pPr>
            <w:r w:rsidRPr="00D91864">
              <w:rPr>
                <w:color w:val="000000"/>
                <w:sz w:val="22"/>
                <w:szCs w:val="22"/>
              </w:rPr>
              <w:t>(0.2376)</w:t>
            </w:r>
          </w:p>
        </w:tc>
      </w:tr>
      <w:tr w:rsidR="00AB1E60" w:rsidRPr="00D91864" w14:paraId="1436B06C" w14:textId="77777777" w:rsidTr="000A3810">
        <w:trPr>
          <w:trHeight w:val="328"/>
        </w:trPr>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A7D9619" w14:textId="77777777" w:rsidR="00AB1E60" w:rsidRPr="00D91864" w:rsidRDefault="00AB1E60" w:rsidP="000A3810">
            <w:pPr>
              <w:rPr>
                <w:color w:val="000000"/>
                <w:sz w:val="22"/>
                <w:szCs w:val="22"/>
              </w:rPr>
            </w:pPr>
            <w:r w:rsidRPr="00D91864">
              <w:rPr>
                <w:color w:val="000000"/>
                <w:sz w:val="22"/>
                <w:szCs w:val="22"/>
              </w:rPr>
              <w:t>Number of observations</w:t>
            </w:r>
          </w:p>
        </w:tc>
        <w:tc>
          <w:tcPr>
            <w:tcW w:w="702" w:type="dxa"/>
            <w:tcBorders>
              <w:top w:val="single" w:sz="4" w:space="0" w:color="auto"/>
              <w:left w:val="single" w:sz="4" w:space="0" w:color="auto"/>
              <w:bottom w:val="single" w:sz="4" w:space="0" w:color="auto"/>
              <w:right w:val="nil"/>
            </w:tcBorders>
            <w:shd w:val="clear" w:color="auto" w:fill="auto"/>
            <w:noWrap/>
            <w:vAlign w:val="center"/>
            <w:hideMark/>
          </w:tcPr>
          <w:p w14:paraId="1EF42DB4" w14:textId="77777777" w:rsidR="00AB1E60" w:rsidRPr="00D91864" w:rsidRDefault="00AB1E60" w:rsidP="000A3810">
            <w:pPr>
              <w:jc w:val="center"/>
              <w:rPr>
                <w:color w:val="000000"/>
                <w:sz w:val="22"/>
                <w:szCs w:val="22"/>
              </w:rPr>
            </w:pPr>
            <w:r w:rsidRPr="00D91864">
              <w:rPr>
                <w:color w:val="000000"/>
                <w:sz w:val="22"/>
                <w:szCs w:val="22"/>
              </w:rPr>
              <w:t>120</w:t>
            </w:r>
          </w:p>
        </w:tc>
        <w:tc>
          <w:tcPr>
            <w:tcW w:w="1101" w:type="dxa"/>
            <w:tcBorders>
              <w:top w:val="single" w:sz="4" w:space="0" w:color="auto"/>
              <w:left w:val="nil"/>
              <w:bottom w:val="single" w:sz="4" w:space="0" w:color="auto"/>
              <w:right w:val="nil"/>
            </w:tcBorders>
            <w:shd w:val="clear" w:color="auto" w:fill="auto"/>
            <w:noWrap/>
            <w:vAlign w:val="center"/>
            <w:hideMark/>
          </w:tcPr>
          <w:p w14:paraId="188A0618" w14:textId="77777777" w:rsidR="00AB1E60" w:rsidRPr="00D91864" w:rsidRDefault="00AB1E60" w:rsidP="000A3810">
            <w:pPr>
              <w:jc w:val="center"/>
              <w:rPr>
                <w:color w:val="000000"/>
                <w:sz w:val="22"/>
                <w:szCs w:val="22"/>
              </w:rPr>
            </w:pPr>
            <w:r w:rsidRPr="00D91864">
              <w:rPr>
                <w:color w:val="000000"/>
                <w:sz w:val="22"/>
                <w:szCs w:val="22"/>
              </w:rPr>
              <w:t>18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021886F0" w14:textId="77777777" w:rsidR="00AB1E60" w:rsidRPr="00D91864" w:rsidRDefault="00AB1E60" w:rsidP="000A3810">
            <w:pPr>
              <w:jc w:val="center"/>
              <w:rPr>
                <w:color w:val="000000"/>
                <w:sz w:val="22"/>
                <w:szCs w:val="22"/>
              </w:rPr>
            </w:pPr>
            <w:r w:rsidRPr="00D91864">
              <w:rPr>
                <w:color w:val="000000"/>
                <w:sz w:val="22"/>
                <w:szCs w:val="22"/>
              </w:rPr>
              <w:t>24</w:t>
            </w:r>
          </w:p>
        </w:tc>
        <w:tc>
          <w:tcPr>
            <w:tcW w:w="772" w:type="dxa"/>
            <w:tcBorders>
              <w:top w:val="single" w:sz="4" w:space="0" w:color="auto"/>
              <w:left w:val="single" w:sz="4" w:space="0" w:color="auto"/>
              <w:bottom w:val="single" w:sz="4" w:space="0" w:color="auto"/>
              <w:right w:val="nil"/>
            </w:tcBorders>
            <w:shd w:val="clear" w:color="auto" w:fill="auto"/>
            <w:noWrap/>
            <w:vAlign w:val="center"/>
            <w:hideMark/>
          </w:tcPr>
          <w:p w14:paraId="01FD4BDB" w14:textId="77777777" w:rsidR="00AB1E60" w:rsidRPr="00D91864" w:rsidRDefault="00AB1E60" w:rsidP="000A3810">
            <w:pPr>
              <w:jc w:val="center"/>
              <w:rPr>
                <w:color w:val="000000"/>
                <w:sz w:val="22"/>
                <w:szCs w:val="22"/>
              </w:rPr>
            </w:pPr>
            <w:r w:rsidRPr="00D91864">
              <w:rPr>
                <w:color w:val="000000"/>
                <w:sz w:val="22"/>
                <w:szCs w:val="22"/>
              </w:rPr>
              <w:t>120</w:t>
            </w:r>
          </w:p>
        </w:tc>
        <w:tc>
          <w:tcPr>
            <w:tcW w:w="753" w:type="dxa"/>
            <w:tcBorders>
              <w:top w:val="single" w:sz="4" w:space="0" w:color="auto"/>
              <w:left w:val="nil"/>
              <w:bottom w:val="single" w:sz="4" w:space="0" w:color="auto"/>
              <w:right w:val="nil"/>
            </w:tcBorders>
            <w:shd w:val="clear" w:color="auto" w:fill="auto"/>
            <w:noWrap/>
            <w:vAlign w:val="center"/>
            <w:hideMark/>
          </w:tcPr>
          <w:p w14:paraId="6D53B98B" w14:textId="77777777" w:rsidR="00AB1E60" w:rsidRPr="00D91864" w:rsidRDefault="00AB1E60" w:rsidP="000A3810">
            <w:pPr>
              <w:jc w:val="center"/>
              <w:rPr>
                <w:sz w:val="22"/>
                <w:szCs w:val="22"/>
              </w:rPr>
            </w:pPr>
            <w:r w:rsidRPr="00D91864">
              <w:rPr>
                <w:sz w:val="22"/>
                <w:szCs w:val="22"/>
              </w:rPr>
              <w:t>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4002080C" w14:textId="77777777" w:rsidR="00AB1E60" w:rsidRPr="00D91864" w:rsidRDefault="00AB1E60" w:rsidP="000A3810">
            <w:pPr>
              <w:jc w:val="center"/>
              <w:rPr>
                <w:color w:val="000000"/>
                <w:sz w:val="22"/>
                <w:szCs w:val="22"/>
              </w:rPr>
            </w:pPr>
            <w:r w:rsidRPr="00D91864">
              <w:rPr>
                <w:color w:val="000000"/>
                <w:sz w:val="22"/>
                <w:szCs w:val="22"/>
              </w:rPr>
              <w:t>30</w:t>
            </w:r>
          </w:p>
        </w:tc>
        <w:tc>
          <w:tcPr>
            <w:tcW w:w="702" w:type="dxa"/>
            <w:tcBorders>
              <w:top w:val="single" w:sz="4" w:space="0" w:color="auto"/>
              <w:left w:val="single" w:sz="4" w:space="0" w:color="auto"/>
              <w:bottom w:val="single" w:sz="4" w:space="0" w:color="auto"/>
              <w:right w:val="nil"/>
            </w:tcBorders>
            <w:shd w:val="clear" w:color="auto" w:fill="auto"/>
            <w:noWrap/>
            <w:vAlign w:val="center"/>
            <w:hideMark/>
          </w:tcPr>
          <w:p w14:paraId="28FB7E9D" w14:textId="77777777" w:rsidR="00AB1E60" w:rsidRPr="00D91864" w:rsidRDefault="00AB1E60" w:rsidP="000A3810">
            <w:pPr>
              <w:jc w:val="center"/>
              <w:rPr>
                <w:color w:val="000000"/>
                <w:sz w:val="22"/>
                <w:szCs w:val="22"/>
              </w:rPr>
            </w:pPr>
            <w:r w:rsidRPr="00D91864">
              <w:rPr>
                <w:color w:val="000000"/>
                <w:sz w:val="22"/>
                <w:szCs w:val="22"/>
              </w:rPr>
              <w:t>120</w:t>
            </w:r>
          </w:p>
        </w:tc>
        <w:tc>
          <w:tcPr>
            <w:tcW w:w="1101" w:type="dxa"/>
            <w:tcBorders>
              <w:top w:val="single" w:sz="4" w:space="0" w:color="auto"/>
              <w:left w:val="nil"/>
              <w:bottom w:val="single" w:sz="4" w:space="0" w:color="auto"/>
              <w:right w:val="nil"/>
            </w:tcBorders>
            <w:shd w:val="clear" w:color="auto" w:fill="auto"/>
            <w:vAlign w:val="center"/>
            <w:hideMark/>
          </w:tcPr>
          <w:p w14:paraId="53352719" w14:textId="77777777" w:rsidR="00AB1E60" w:rsidRPr="00D91864" w:rsidRDefault="00AB1E60" w:rsidP="000A3810">
            <w:pPr>
              <w:jc w:val="center"/>
              <w:rPr>
                <w:color w:val="000000"/>
                <w:sz w:val="22"/>
                <w:szCs w:val="22"/>
              </w:rPr>
            </w:pPr>
            <w:r w:rsidRPr="00D91864">
              <w:rPr>
                <w:color w:val="000000"/>
                <w:sz w:val="22"/>
                <w:szCs w:val="22"/>
              </w:rPr>
              <w:t>12</w:t>
            </w:r>
          </w:p>
        </w:tc>
        <w:tc>
          <w:tcPr>
            <w:tcW w:w="1102" w:type="dxa"/>
            <w:tcBorders>
              <w:top w:val="single" w:sz="4" w:space="0" w:color="auto"/>
              <w:left w:val="nil"/>
              <w:bottom w:val="single" w:sz="4" w:space="0" w:color="auto"/>
              <w:right w:val="nil"/>
            </w:tcBorders>
            <w:shd w:val="clear" w:color="auto" w:fill="auto"/>
            <w:vAlign w:val="center"/>
            <w:hideMark/>
          </w:tcPr>
          <w:p w14:paraId="3929D0A9" w14:textId="77777777" w:rsidR="00AB1E60" w:rsidRPr="00D91864" w:rsidRDefault="00AB1E60" w:rsidP="000A3810">
            <w:pPr>
              <w:jc w:val="center"/>
              <w:rPr>
                <w:color w:val="000000"/>
                <w:sz w:val="22"/>
                <w:szCs w:val="22"/>
              </w:rPr>
            </w:pPr>
            <w:r w:rsidRPr="00D91864">
              <w:rPr>
                <w:color w:val="000000"/>
                <w:sz w:val="22"/>
                <w:szCs w:val="22"/>
              </w:rPr>
              <w:t>30</w:t>
            </w:r>
          </w:p>
        </w:tc>
      </w:tr>
      <w:tr w:rsidR="00AB1E60" w:rsidRPr="00D91864" w14:paraId="513FB1AE" w14:textId="77777777" w:rsidTr="000A3810">
        <w:trPr>
          <w:trHeight w:val="328"/>
        </w:trPr>
        <w:tc>
          <w:tcPr>
            <w:tcW w:w="10635" w:type="dxa"/>
            <w:gridSpan w:val="10"/>
            <w:tcBorders>
              <w:top w:val="single" w:sz="4" w:space="0" w:color="auto"/>
              <w:left w:val="nil"/>
              <w:right w:val="nil"/>
            </w:tcBorders>
            <w:shd w:val="clear" w:color="auto" w:fill="auto"/>
            <w:noWrap/>
            <w:vAlign w:val="center"/>
          </w:tcPr>
          <w:p w14:paraId="111AEE96" w14:textId="77777777" w:rsidR="00AB1E60" w:rsidRPr="00D91864" w:rsidRDefault="00AB1E60" w:rsidP="000A3810">
            <w:pPr>
              <w:rPr>
                <w:color w:val="000000"/>
                <w:sz w:val="22"/>
                <w:szCs w:val="22"/>
              </w:rPr>
            </w:pPr>
            <w:r w:rsidRPr="00D91864">
              <w:rPr>
                <w:color w:val="000000"/>
                <w:sz w:val="22"/>
                <w:szCs w:val="22"/>
              </w:rPr>
              <w:t xml:space="preserve">Note: This table reports the proportion per compliance response group and the p-values in parentheses for comparison of proportions statistical test. </w:t>
            </w:r>
            <w:r w:rsidRPr="00D91864">
              <w:rPr>
                <w:sz w:val="22"/>
                <w:szCs w:val="22"/>
              </w:rPr>
              <w:t>Significant coefficients are bolded, and significance level are: *p&lt;0.1; **p&lt;0.05; ***p&lt;0.01.</w:t>
            </w:r>
          </w:p>
        </w:tc>
      </w:tr>
    </w:tbl>
    <w:p w14:paraId="7FFC5BD1" w14:textId="77777777" w:rsidR="009068F6" w:rsidRDefault="009068F6"/>
    <w:sectPr w:rsidR="009068F6" w:rsidSect="0064454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778C7" w14:textId="77777777" w:rsidR="001D730C" w:rsidRDefault="001D730C">
      <w:r>
        <w:separator/>
      </w:r>
    </w:p>
  </w:endnote>
  <w:endnote w:type="continuationSeparator" w:id="0">
    <w:p w14:paraId="1F817F10" w14:textId="77777777" w:rsidR="001D730C" w:rsidRDefault="001D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086076"/>
      <w:docPartObj>
        <w:docPartGallery w:val="Page Numbers (Bottom of Page)"/>
        <w:docPartUnique/>
      </w:docPartObj>
    </w:sdtPr>
    <w:sdtEndPr>
      <w:rPr>
        <w:noProof/>
      </w:rPr>
    </w:sdtEndPr>
    <w:sdtContent>
      <w:p w14:paraId="1F381496" w14:textId="77777777" w:rsidR="00FD38DC" w:rsidRDefault="00AB1E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7A848D" w14:textId="77777777" w:rsidR="00FD38DC" w:rsidRDefault="001D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A2B9" w14:textId="77777777" w:rsidR="001D730C" w:rsidRDefault="001D730C">
      <w:r>
        <w:separator/>
      </w:r>
    </w:p>
  </w:footnote>
  <w:footnote w:type="continuationSeparator" w:id="0">
    <w:p w14:paraId="53DBB99E" w14:textId="77777777" w:rsidR="001D730C" w:rsidRDefault="001D7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60"/>
    <w:rsid w:val="001D730C"/>
    <w:rsid w:val="00644545"/>
    <w:rsid w:val="009068F6"/>
    <w:rsid w:val="00AB1E60"/>
    <w:rsid w:val="00B85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663D"/>
  <w15:chartTrackingRefBased/>
  <w15:docId w15:val="{9B933B43-D00D-C14D-965E-C915333D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1E60"/>
    <w:rPr>
      <w:rFonts w:eastAsiaTheme="minorEastAsia"/>
      <w:sz w:val="22"/>
      <w:szCs w:val="22"/>
      <w:lang w:eastAsia="zh-CN"/>
    </w:rPr>
  </w:style>
  <w:style w:type="paragraph" w:styleId="Footer">
    <w:name w:val="footer"/>
    <w:basedOn w:val="Normal"/>
    <w:link w:val="FooterChar"/>
    <w:uiPriority w:val="99"/>
    <w:unhideWhenUsed/>
    <w:rsid w:val="00AB1E60"/>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AB1E60"/>
    <w:rPr>
      <w:lang w:val="en-US"/>
    </w:rPr>
  </w:style>
  <w:style w:type="character" w:customStyle="1" w:styleId="NoSpacingChar">
    <w:name w:val="No Spacing Char"/>
    <w:basedOn w:val="DefaultParagraphFont"/>
    <w:link w:val="NoSpacing"/>
    <w:uiPriority w:val="1"/>
    <w:rsid w:val="00AB1E60"/>
    <w:rPr>
      <w:rFonts w:eastAsiaTheme="minorEastAsia"/>
      <w:sz w:val="22"/>
      <w:szCs w:val="22"/>
      <w:lang w:eastAsia="zh-CN"/>
    </w:rPr>
  </w:style>
  <w:style w:type="character" w:styleId="LineNumber">
    <w:name w:val="line number"/>
    <w:basedOn w:val="DefaultParagraphFont"/>
    <w:uiPriority w:val="99"/>
    <w:semiHidden/>
    <w:unhideWhenUsed/>
    <w:rsid w:val="00AB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Mackay</dc:creator>
  <cp:keywords/>
  <dc:description/>
  <cp:lastModifiedBy>John Magri</cp:lastModifiedBy>
  <cp:revision>2</cp:revision>
  <dcterms:created xsi:type="dcterms:W3CDTF">2020-07-02T00:06:00Z</dcterms:created>
  <dcterms:modified xsi:type="dcterms:W3CDTF">2020-09-04T15:18:00Z</dcterms:modified>
</cp:coreProperties>
</file>