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1F2F" w14:textId="77777777" w:rsidR="00EF17E8" w:rsidRPr="000F2BD3" w:rsidRDefault="00EF17E8" w:rsidP="00EF17E8">
      <w:r w:rsidRPr="000F2BD3">
        <w:rPr>
          <w:noProof/>
        </w:rPr>
        <w:drawing>
          <wp:inline distT="0" distB="0" distL="0" distR="0" wp14:anchorId="1B688797" wp14:editId="14266062">
            <wp:extent cx="5278120" cy="35560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8120" cy="3556000"/>
                    </a:xfrm>
                    <a:prstGeom prst="rect">
                      <a:avLst/>
                    </a:prstGeom>
                    <a:noFill/>
                    <a:ln>
                      <a:noFill/>
                    </a:ln>
                  </pic:spPr>
                </pic:pic>
              </a:graphicData>
            </a:graphic>
          </wp:inline>
        </w:drawing>
      </w:r>
    </w:p>
    <w:p w14:paraId="7AF03399" w14:textId="77777777" w:rsidR="00EF17E8" w:rsidRPr="000F2BD3" w:rsidRDefault="00EF17E8" w:rsidP="00EF17E8">
      <w:r w:rsidRPr="000F2BD3">
        <w:rPr>
          <w:b/>
          <w:bCs/>
          <w:color w:val="231F20"/>
        </w:rPr>
        <w:t xml:space="preserve">Figure S1. </w:t>
      </w:r>
      <w:r w:rsidRPr="000F2BD3">
        <w:rPr>
          <w:b/>
          <w:bCs/>
          <w:noProof/>
        </w:rPr>
        <w:t xml:space="preserve">(A) </w:t>
      </w:r>
      <w:r w:rsidRPr="000F2BD3">
        <w:rPr>
          <w:color w:val="231F20"/>
        </w:rPr>
        <w:t xml:space="preserve">Surface air </w:t>
      </w:r>
      <w:r w:rsidRPr="000F2BD3">
        <w:t xml:space="preserve">temperature, </w:t>
      </w:r>
      <w:r w:rsidRPr="000F2BD3">
        <w:rPr>
          <w:b/>
          <w:bCs/>
          <w:noProof/>
        </w:rPr>
        <w:t xml:space="preserve">(B) </w:t>
      </w:r>
      <w:r w:rsidRPr="000F2BD3">
        <w:t xml:space="preserve">precipitation, </w:t>
      </w:r>
      <w:r w:rsidRPr="000F2BD3">
        <w:rPr>
          <w:b/>
          <w:bCs/>
          <w:noProof/>
        </w:rPr>
        <w:t>(C)</w:t>
      </w:r>
      <w:r w:rsidRPr="000F2BD3">
        <w:t xml:space="preserve"> SPEI changes across the Yangtze River Basin based on MME during the periods 2030‒2049 (the left column) and 2080‒2099 (the middle column), in comparison with the historical mean (1999–2018), and the differences between the two periods (the right column). The dotted regions represent that there are more than three models showing the same sign.</w:t>
      </w:r>
    </w:p>
    <w:p w14:paraId="6BF87981" w14:textId="77777777" w:rsidR="00EF17E8" w:rsidRPr="000F2BD3" w:rsidRDefault="00EF17E8" w:rsidP="00EF17E8"/>
    <w:p w14:paraId="365A2CB2" w14:textId="77777777" w:rsidR="00EF17E8" w:rsidRPr="000F2BD3" w:rsidRDefault="00EF17E8" w:rsidP="00EF17E8"/>
    <w:p w14:paraId="3C71729E" w14:textId="77777777" w:rsidR="00EF17E8" w:rsidRPr="000F2BD3" w:rsidRDefault="00EF17E8" w:rsidP="00EF17E8">
      <w:r w:rsidRPr="000F2BD3">
        <w:rPr>
          <w:noProof/>
        </w:rPr>
        <w:lastRenderedPageBreak/>
        <w:drawing>
          <wp:inline distT="0" distB="0" distL="0" distR="0" wp14:anchorId="1F4C4FBE" wp14:editId="4D9BF215">
            <wp:extent cx="5278120" cy="57467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8120" cy="5746750"/>
                    </a:xfrm>
                    <a:prstGeom prst="rect">
                      <a:avLst/>
                    </a:prstGeom>
                    <a:noFill/>
                    <a:ln>
                      <a:noFill/>
                    </a:ln>
                  </pic:spPr>
                </pic:pic>
              </a:graphicData>
            </a:graphic>
          </wp:inline>
        </w:drawing>
      </w:r>
    </w:p>
    <w:p w14:paraId="6746FBF3" w14:textId="77777777" w:rsidR="00EF17E8" w:rsidRPr="000F2BD3" w:rsidRDefault="00EF17E8" w:rsidP="00EF17E8">
      <w:r w:rsidRPr="000F2BD3">
        <w:rPr>
          <w:b/>
          <w:bCs/>
          <w:color w:val="231F20"/>
        </w:rPr>
        <w:t xml:space="preserve">Figure S2. </w:t>
      </w:r>
      <w:r w:rsidRPr="000F2BD3">
        <w:t xml:space="preserve">The projection of </w:t>
      </w:r>
      <w:r w:rsidRPr="000F2BD3">
        <w:rPr>
          <w:color w:val="231F20"/>
        </w:rPr>
        <w:t>hydropower</w:t>
      </w:r>
      <w:r w:rsidRPr="000F2BD3">
        <w:t xml:space="preserve"> capacity of each chosen model over the Yangtze River Basin during the periods 2030‒2049 and 2080‒2099 when </w:t>
      </w:r>
      <w:r w:rsidRPr="000F2BD3">
        <w:rPr>
          <w:b/>
          <w:bCs/>
          <w:noProof/>
        </w:rPr>
        <w:t>(A)</w:t>
      </w:r>
      <w:r w:rsidRPr="000F2BD3">
        <w:t xml:space="preserve"> only the meteorological conditions are considered and </w:t>
      </w:r>
      <w:r w:rsidRPr="000F2BD3">
        <w:rPr>
          <w:b/>
          <w:bCs/>
        </w:rPr>
        <w:t>(B)</w:t>
      </w:r>
      <w:r w:rsidRPr="000F2BD3">
        <w:t xml:space="preserve"> the differences between the two periods. </w:t>
      </w:r>
      <w:r w:rsidRPr="000F2BD3">
        <w:rPr>
          <w:b/>
          <w:bCs/>
          <w:noProof/>
        </w:rPr>
        <w:t>(C)</w:t>
      </w:r>
      <w:r w:rsidRPr="000F2BD3">
        <w:t xml:space="preserve"> and </w:t>
      </w:r>
      <w:r w:rsidRPr="000F2BD3">
        <w:rPr>
          <w:b/>
          <w:bCs/>
        </w:rPr>
        <w:t>(D)</w:t>
      </w:r>
      <w:r w:rsidRPr="000F2BD3">
        <w:t xml:space="preserve"> are the same as</w:t>
      </w:r>
      <w:r w:rsidRPr="000F2BD3">
        <w:rPr>
          <w:b/>
          <w:bCs/>
        </w:rPr>
        <w:t xml:space="preserve"> (A) </w:t>
      </w:r>
      <w:r w:rsidRPr="000F2BD3">
        <w:t xml:space="preserve">and </w:t>
      </w:r>
      <w:r w:rsidRPr="000F2BD3">
        <w:rPr>
          <w:b/>
          <w:bCs/>
        </w:rPr>
        <w:t xml:space="preserve">(B), </w:t>
      </w:r>
      <w:r w:rsidRPr="000F2BD3">
        <w:t>but take the joint effect of meteorological conditions and the development of hydropower stations into account</w:t>
      </w:r>
      <w:r w:rsidRPr="000F2BD3">
        <w:rPr>
          <w:b/>
          <w:bCs/>
          <w:noProof/>
        </w:rPr>
        <w:t xml:space="preserve"> (E)</w:t>
      </w:r>
      <w:r w:rsidRPr="000F2BD3">
        <w:t xml:space="preserve"> The prediction of mean hydropower capacity in Zhejiang Province during the periods 2030‒2049 and 2080‒2099 when only the meteorological conditions are considered (blue) and considering the joint effect of meteorological condition and the development of the hydropower stations (pink). </w:t>
      </w:r>
      <w:r w:rsidRPr="000F2BD3">
        <w:rPr>
          <w:b/>
          <w:bCs/>
          <w:noProof/>
        </w:rPr>
        <w:t xml:space="preserve">(F) </w:t>
      </w:r>
      <w:r w:rsidRPr="000F2BD3">
        <w:t xml:space="preserve">The differences between the periods 2080‒2099 and 2030‒2049 (blue) and the effects of considering the development of hydropower stations (pink). The red lines indicate the historical mean (1999‒2018) of hydropower capacity in Zhejiang Province in </w:t>
      </w:r>
      <w:r w:rsidRPr="000F2BD3">
        <w:rPr>
          <w:b/>
          <w:bCs/>
        </w:rPr>
        <w:t>(A, C, E)</w:t>
      </w:r>
      <w:r w:rsidRPr="000F2BD3">
        <w:t xml:space="preserve"> and indicate the zero lines in </w:t>
      </w:r>
      <w:r w:rsidRPr="000F2BD3">
        <w:rPr>
          <w:b/>
          <w:bCs/>
        </w:rPr>
        <w:t>(B, D, F)</w:t>
      </w:r>
      <w:r w:rsidRPr="000F2BD3">
        <w:t>.</w:t>
      </w:r>
    </w:p>
    <w:p w14:paraId="293C9057" w14:textId="77777777" w:rsidR="00EF17E8" w:rsidRPr="000F2BD3" w:rsidRDefault="00EF17E8" w:rsidP="00EF17E8"/>
    <w:p w14:paraId="137A2523" w14:textId="2925F911" w:rsidR="00EF17E8" w:rsidRDefault="00EF17E8" w:rsidP="00EF17E8"/>
    <w:p w14:paraId="3D739749" w14:textId="77777777" w:rsidR="00EA75AC" w:rsidRPr="00010F9D" w:rsidRDefault="00EA75AC" w:rsidP="00EA75AC">
      <w:pPr>
        <w:spacing w:line="360" w:lineRule="auto"/>
        <w:rPr>
          <w:color w:val="0070C0"/>
        </w:rPr>
      </w:pPr>
    </w:p>
    <w:p w14:paraId="167F921B" w14:textId="77777777" w:rsidR="00EA75AC" w:rsidRPr="00CB51EF" w:rsidRDefault="00EA75AC" w:rsidP="00EA75AC">
      <w:pPr>
        <w:spacing w:line="360" w:lineRule="auto"/>
        <w:jc w:val="center"/>
        <w:rPr>
          <w:b/>
          <w:color w:val="0000FF"/>
        </w:rPr>
      </w:pPr>
      <w:r w:rsidRPr="00010F9D">
        <w:rPr>
          <w:noProof/>
        </w:rPr>
        <w:drawing>
          <wp:inline distT="0" distB="0" distL="0" distR="0" wp14:anchorId="2C1A1CFA" wp14:editId="00D6703A">
            <wp:extent cx="5274310" cy="33686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368675"/>
                    </a:xfrm>
                    <a:prstGeom prst="rect">
                      <a:avLst/>
                    </a:prstGeom>
                    <a:noFill/>
                    <a:ln>
                      <a:noFill/>
                    </a:ln>
                  </pic:spPr>
                </pic:pic>
              </a:graphicData>
            </a:graphic>
          </wp:inline>
        </w:drawing>
      </w:r>
    </w:p>
    <w:p w14:paraId="3714CD55" w14:textId="77777777" w:rsidR="00EA75AC" w:rsidRPr="00EA75AC" w:rsidRDefault="00EA75AC" w:rsidP="00EA75AC">
      <w:r w:rsidRPr="00EA75AC">
        <w:rPr>
          <w:b/>
          <w:bCs/>
        </w:rPr>
        <w:t>Figure S3</w:t>
      </w:r>
      <w:r w:rsidRPr="00EA75AC">
        <w:rPr>
          <w:rFonts w:hint="eastAsia"/>
          <w:b/>
          <w:bCs/>
        </w:rPr>
        <w:t>.</w:t>
      </w:r>
      <w:r w:rsidRPr="00EA75AC">
        <w:t xml:space="preserve"> Same as FIGURE S1, but for RCP8.5</w:t>
      </w:r>
    </w:p>
    <w:p w14:paraId="34160035" w14:textId="77777777" w:rsidR="00EA75AC" w:rsidRPr="00CB51EF" w:rsidRDefault="00EA75AC" w:rsidP="00EA75AC">
      <w:pPr>
        <w:spacing w:line="360" w:lineRule="auto"/>
        <w:jc w:val="center"/>
        <w:rPr>
          <w:b/>
          <w:color w:val="0000FF"/>
        </w:rPr>
      </w:pPr>
      <w:r w:rsidRPr="002925AD">
        <w:t xml:space="preserve"> </w:t>
      </w:r>
      <w:r>
        <w:rPr>
          <w:noProof/>
        </w:rPr>
        <w:drawing>
          <wp:inline distT="0" distB="0" distL="0" distR="0" wp14:anchorId="3D9C0689" wp14:editId="25B388B8">
            <wp:extent cx="5274310" cy="21532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53285"/>
                    </a:xfrm>
                    <a:prstGeom prst="rect">
                      <a:avLst/>
                    </a:prstGeom>
                    <a:noFill/>
                    <a:ln>
                      <a:noFill/>
                    </a:ln>
                  </pic:spPr>
                </pic:pic>
              </a:graphicData>
            </a:graphic>
          </wp:inline>
        </w:drawing>
      </w:r>
    </w:p>
    <w:p w14:paraId="4B12D249" w14:textId="77777777" w:rsidR="00EA75AC" w:rsidRPr="00EA75AC" w:rsidRDefault="00EA75AC" w:rsidP="00EA75AC">
      <w:r w:rsidRPr="00EA75AC">
        <w:rPr>
          <w:b/>
          <w:bCs/>
        </w:rPr>
        <w:t>Figure S</w:t>
      </w:r>
      <w:r w:rsidRPr="00EA75AC">
        <w:rPr>
          <w:rFonts w:hint="eastAsia"/>
          <w:b/>
          <w:bCs/>
        </w:rPr>
        <w:t>4</w:t>
      </w:r>
      <w:r w:rsidRPr="00EA75AC">
        <w:rPr>
          <w:b/>
          <w:bCs/>
        </w:rPr>
        <w:t>.</w:t>
      </w:r>
      <w:r w:rsidRPr="00EA75AC">
        <w:t xml:space="preserve"> Same as Figure S2 (E and F), but for RCP8.5</w:t>
      </w:r>
    </w:p>
    <w:p w14:paraId="30D0BC25" w14:textId="77777777" w:rsidR="00EA75AC" w:rsidRPr="00EA75AC" w:rsidRDefault="00EA75AC" w:rsidP="00EF17E8">
      <w:pPr>
        <w:rPr>
          <w:rFonts w:hint="eastAsia"/>
        </w:rPr>
      </w:pPr>
    </w:p>
    <w:p w14:paraId="4FEF66C9" w14:textId="77777777" w:rsidR="00EF17E8" w:rsidRPr="000F2BD3" w:rsidRDefault="00EF17E8" w:rsidP="00EF17E8">
      <w:r w:rsidRPr="000F2BD3">
        <w:rPr>
          <w:b/>
          <w:bCs/>
          <w:color w:val="231F20"/>
        </w:rPr>
        <w:t>Table S1.</w:t>
      </w:r>
      <w:r w:rsidRPr="000F2BD3">
        <w:t xml:space="preserve"> The projection of </w:t>
      </w:r>
      <w:r w:rsidRPr="000F2BD3">
        <w:rPr>
          <w:color w:val="231F20"/>
        </w:rPr>
        <w:t>hydropower</w:t>
      </w:r>
      <w:r w:rsidRPr="000F2BD3">
        <w:t xml:space="preserve"> capacity over 1.5°C and 2°C warming targets when only the meteorological conditions are considered and considering the joint effect of meteorological conditions and the development of hydropower stations , and their differences. Asterisks stand for the joint effect, and “MME-14.92” represents the anomaly).</w:t>
      </w:r>
    </w:p>
    <w:tbl>
      <w:tblPr>
        <w:tblStyle w:val="a3"/>
        <w:tblW w:w="850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066"/>
        <w:gridCol w:w="1065"/>
        <w:gridCol w:w="1065"/>
        <w:gridCol w:w="1065"/>
        <w:gridCol w:w="1065"/>
        <w:gridCol w:w="1065"/>
      </w:tblGrid>
      <w:tr w:rsidR="00EF17E8" w:rsidRPr="000F2BD3" w14:paraId="2BBD948A" w14:textId="77777777" w:rsidTr="00857310">
        <w:tc>
          <w:tcPr>
            <w:tcW w:w="2109" w:type="dxa"/>
            <w:tcBorders>
              <w:top w:val="single" w:sz="12" w:space="0" w:color="auto"/>
              <w:bottom w:val="single" w:sz="6" w:space="0" w:color="auto"/>
            </w:tcBorders>
          </w:tcPr>
          <w:p w14:paraId="2E471A44" w14:textId="77777777" w:rsidR="00EF17E8" w:rsidRPr="000F2BD3" w:rsidRDefault="00EF17E8" w:rsidP="00857310">
            <w:pPr>
              <w:jc w:val="center"/>
            </w:pPr>
          </w:p>
        </w:tc>
        <w:tc>
          <w:tcPr>
            <w:tcW w:w="1066" w:type="dxa"/>
            <w:tcBorders>
              <w:top w:val="single" w:sz="12" w:space="0" w:color="auto"/>
              <w:bottom w:val="single" w:sz="6" w:space="0" w:color="auto"/>
            </w:tcBorders>
          </w:tcPr>
          <w:p w14:paraId="78C77618" w14:textId="77777777" w:rsidR="00EF17E8" w:rsidRPr="000F2BD3" w:rsidRDefault="00EF17E8" w:rsidP="00857310">
            <w:pPr>
              <w:jc w:val="center"/>
            </w:pPr>
            <w:r w:rsidRPr="000F2BD3">
              <w:t>1.5</w:t>
            </w:r>
            <w:r w:rsidRPr="000F2BD3">
              <w:rPr>
                <w:rFonts w:eastAsia="宋体"/>
              </w:rPr>
              <w:t>℃</w:t>
            </w:r>
          </w:p>
        </w:tc>
        <w:tc>
          <w:tcPr>
            <w:tcW w:w="1065" w:type="dxa"/>
            <w:tcBorders>
              <w:top w:val="single" w:sz="12" w:space="0" w:color="auto"/>
              <w:bottom w:val="single" w:sz="6" w:space="0" w:color="auto"/>
            </w:tcBorders>
          </w:tcPr>
          <w:p w14:paraId="170A7D4B" w14:textId="77777777" w:rsidR="00EF17E8" w:rsidRPr="000F2BD3" w:rsidRDefault="00EF17E8" w:rsidP="00857310">
            <w:pPr>
              <w:jc w:val="center"/>
            </w:pPr>
            <w:r w:rsidRPr="000F2BD3">
              <w:t>2.0</w:t>
            </w:r>
            <w:r w:rsidRPr="000F2BD3">
              <w:rPr>
                <w:rFonts w:eastAsia="宋体"/>
              </w:rPr>
              <w:t>℃</w:t>
            </w:r>
          </w:p>
        </w:tc>
        <w:tc>
          <w:tcPr>
            <w:tcW w:w="1065" w:type="dxa"/>
            <w:tcBorders>
              <w:top w:val="single" w:sz="12" w:space="0" w:color="auto"/>
              <w:bottom w:val="single" w:sz="6" w:space="0" w:color="auto"/>
            </w:tcBorders>
          </w:tcPr>
          <w:p w14:paraId="0875626B" w14:textId="77777777" w:rsidR="00EF17E8" w:rsidRPr="000F2BD3" w:rsidRDefault="00EF17E8" w:rsidP="00857310">
            <w:pPr>
              <w:jc w:val="center"/>
            </w:pPr>
            <w:r w:rsidRPr="000F2BD3">
              <w:t>Diff</w:t>
            </w:r>
          </w:p>
        </w:tc>
        <w:tc>
          <w:tcPr>
            <w:tcW w:w="1065" w:type="dxa"/>
            <w:tcBorders>
              <w:top w:val="single" w:sz="12" w:space="0" w:color="auto"/>
              <w:bottom w:val="single" w:sz="6" w:space="0" w:color="auto"/>
            </w:tcBorders>
          </w:tcPr>
          <w:p w14:paraId="1A4D50E1" w14:textId="77777777" w:rsidR="00EF17E8" w:rsidRPr="000F2BD3" w:rsidRDefault="00EF17E8" w:rsidP="00857310">
            <w:pPr>
              <w:jc w:val="center"/>
              <w:rPr>
                <w:b/>
                <w:bCs/>
              </w:rPr>
            </w:pPr>
            <w:r w:rsidRPr="000F2BD3">
              <w:rPr>
                <w:b/>
                <w:bCs/>
              </w:rPr>
              <w:t>1.5</w:t>
            </w:r>
            <w:r w:rsidRPr="000F2BD3">
              <w:rPr>
                <w:rFonts w:eastAsia="宋体"/>
                <w:b/>
                <w:bCs/>
              </w:rPr>
              <w:t>℃</w:t>
            </w:r>
            <w:r w:rsidRPr="000F2BD3">
              <w:rPr>
                <w:b/>
                <w:bCs/>
              </w:rPr>
              <w:t>*</w:t>
            </w:r>
          </w:p>
        </w:tc>
        <w:tc>
          <w:tcPr>
            <w:tcW w:w="1065" w:type="dxa"/>
            <w:tcBorders>
              <w:top w:val="single" w:sz="12" w:space="0" w:color="auto"/>
              <w:bottom w:val="single" w:sz="6" w:space="0" w:color="auto"/>
            </w:tcBorders>
          </w:tcPr>
          <w:p w14:paraId="23248F72" w14:textId="77777777" w:rsidR="00EF17E8" w:rsidRPr="000F2BD3" w:rsidRDefault="00EF17E8" w:rsidP="00857310">
            <w:pPr>
              <w:jc w:val="center"/>
              <w:rPr>
                <w:b/>
                <w:bCs/>
              </w:rPr>
            </w:pPr>
            <w:r w:rsidRPr="000F2BD3">
              <w:rPr>
                <w:b/>
                <w:bCs/>
              </w:rPr>
              <w:t>2.0</w:t>
            </w:r>
            <w:r w:rsidRPr="000F2BD3">
              <w:rPr>
                <w:rFonts w:eastAsia="宋体"/>
                <w:b/>
                <w:bCs/>
              </w:rPr>
              <w:t>℃</w:t>
            </w:r>
            <w:r w:rsidRPr="000F2BD3">
              <w:rPr>
                <w:b/>
                <w:bCs/>
              </w:rPr>
              <w:t>*</w:t>
            </w:r>
          </w:p>
        </w:tc>
        <w:tc>
          <w:tcPr>
            <w:tcW w:w="1065" w:type="dxa"/>
            <w:tcBorders>
              <w:top w:val="single" w:sz="12" w:space="0" w:color="auto"/>
              <w:bottom w:val="single" w:sz="6" w:space="0" w:color="auto"/>
            </w:tcBorders>
          </w:tcPr>
          <w:p w14:paraId="4C9FDBBC" w14:textId="77777777" w:rsidR="00EF17E8" w:rsidRPr="000F2BD3" w:rsidRDefault="00EF17E8" w:rsidP="00857310">
            <w:pPr>
              <w:jc w:val="center"/>
              <w:rPr>
                <w:b/>
                <w:bCs/>
              </w:rPr>
            </w:pPr>
            <w:r w:rsidRPr="000F2BD3">
              <w:rPr>
                <w:b/>
                <w:bCs/>
              </w:rPr>
              <w:t>Diff*</w:t>
            </w:r>
          </w:p>
        </w:tc>
      </w:tr>
      <w:tr w:rsidR="00EF17E8" w:rsidRPr="000F2BD3" w14:paraId="395EE90E" w14:textId="77777777" w:rsidTr="00857310">
        <w:tc>
          <w:tcPr>
            <w:tcW w:w="2109" w:type="dxa"/>
          </w:tcPr>
          <w:p w14:paraId="22F8326C" w14:textId="77777777" w:rsidR="00EF17E8" w:rsidRPr="000F2BD3" w:rsidRDefault="00EF17E8" w:rsidP="00857310">
            <w:pPr>
              <w:jc w:val="center"/>
            </w:pPr>
            <w:r w:rsidRPr="000F2BD3">
              <w:t>bcc-csm1-1</w:t>
            </w:r>
          </w:p>
        </w:tc>
        <w:tc>
          <w:tcPr>
            <w:tcW w:w="1066" w:type="dxa"/>
          </w:tcPr>
          <w:p w14:paraId="26B32D3B" w14:textId="77777777" w:rsidR="00EF17E8" w:rsidRPr="000F2BD3" w:rsidRDefault="00EF17E8" w:rsidP="00857310">
            <w:pPr>
              <w:widowControl/>
              <w:jc w:val="right"/>
            </w:pPr>
            <w:r w:rsidRPr="000F2BD3">
              <w:t xml:space="preserve">17.80 </w:t>
            </w:r>
          </w:p>
        </w:tc>
        <w:tc>
          <w:tcPr>
            <w:tcW w:w="1065" w:type="dxa"/>
          </w:tcPr>
          <w:p w14:paraId="42DAFBA9" w14:textId="77777777" w:rsidR="00EF17E8" w:rsidRPr="000F2BD3" w:rsidRDefault="00EF17E8" w:rsidP="00857310">
            <w:pPr>
              <w:jc w:val="right"/>
            </w:pPr>
            <w:r w:rsidRPr="000F2BD3">
              <w:t xml:space="preserve">12.96 </w:t>
            </w:r>
          </w:p>
        </w:tc>
        <w:tc>
          <w:tcPr>
            <w:tcW w:w="1065" w:type="dxa"/>
          </w:tcPr>
          <w:p w14:paraId="65F56A51" w14:textId="77777777" w:rsidR="00EF17E8" w:rsidRPr="000F2BD3" w:rsidRDefault="00EF17E8" w:rsidP="00857310">
            <w:pPr>
              <w:jc w:val="right"/>
            </w:pPr>
            <w:r w:rsidRPr="000F2BD3">
              <w:t xml:space="preserve">-4.85 </w:t>
            </w:r>
          </w:p>
        </w:tc>
        <w:tc>
          <w:tcPr>
            <w:tcW w:w="1065" w:type="dxa"/>
          </w:tcPr>
          <w:p w14:paraId="12FCA329" w14:textId="77777777" w:rsidR="00EF17E8" w:rsidRPr="000F2BD3" w:rsidRDefault="00EF17E8" w:rsidP="00857310">
            <w:pPr>
              <w:widowControl/>
              <w:jc w:val="right"/>
              <w:rPr>
                <w:b/>
                <w:bCs/>
              </w:rPr>
            </w:pPr>
            <w:r w:rsidRPr="000F2BD3">
              <w:t xml:space="preserve">17.91 </w:t>
            </w:r>
          </w:p>
        </w:tc>
        <w:tc>
          <w:tcPr>
            <w:tcW w:w="1065" w:type="dxa"/>
          </w:tcPr>
          <w:p w14:paraId="010C076F" w14:textId="77777777" w:rsidR="00EF17E8" w:rsidRPr="000F2BD3" w:rsidRDefault="00EF17E8" w:rsidP="00857310">
            <w:pPr>
              <w:jc w:val="right"/>
              <w:rPr>
                <w:b/>
                <w:bCs/>
              </w:rPr>
            </w:pPr>
            <w:r w:rsidRPr="000F2BD3">
              <w:t xml:space="preserve">15.42 </w:t>
            </w:r>
          </w:p>
        </w:tc>
        <w:tc>
          <w:tcPr>
            <w:tcW w:w="1065" w:type="dxa"/>
          </w:tcPr>
          <w:p w14:paraId="4585CEE4" w14:textId="77777777" w:rsidR="00EF17E8" w:rsidRPr="000F2BD3" w:rsidRDefault="00EF17E8" w:rsidP="00857310">
            <w:pPr>
              <w:jc w:val="right"/>
              <w:rPr>
                <w:b/>
                <w:bCs/>
              </w:rPr>
            </w:pPr>
            <w:r w:rsidRPr="000F2BD3">
              <w:t xml:space="preserve">-2.49 </w:t>
            </w:r>
          </w:p>
        </w:tc>
      </w:tr>
      <w:tr w:rsidR="00EF17E8" w:rsidRPr="000F2BD3" w14:paraId="67B60420" w14:textId="77777777" w:rsidTr="00857310">
        <w:tc>
          <w:tcPr>
            <w:tcW w:w="2109" w:type="dxa"/>
          </w:tcPr>
          <w:p w14:paraId="091F966E" w14:textId="77777777" w:rsidR="00EF17E8" w:rsidRPr="000F2BD3" w:rsidRDefault="00EF17E8" w:rsidP="00857310">
            <w:pPr>
              <w:jc w:val="center"/>
            </w:pPr>
            <w:r w:rsidRPr="000F2BD3">
              <w:t>BNU-ESM</w:t>
            </w:r>
          </w:p>
        </w:tc>
        <w:tc>
          <w:tcPr>
            <w:tcW w:w="1066" w:type="dxa"/>
          </w:tcPr>
          <w:p w14:paraId="1BDAB35C" w14:textId="77777777" w:rsidR="00EF17E8" w:rsidRPr="000F2BD3" w:rsidRDefault="00EF17E8" w:rsidP="00857310">
            <w:pPr>
              <w:jc w:val="right"/>
            </w:pPr>
            <w:r w:rsidRPr="000F2BD3">
              <w:t xml:space="preserve">13.49 </w:t>
            </w:r>
          </w:p>
        </w:tc>
        <w:tc>
          <w:tcPr>
            <w:tcW w:w="1065" w:type="dxa"/>
          </w:tcPr>
          <w:p w14:paraId="301F8925" w14:textId="77777777" w:rsidR="00EF17E8" w:rsidRPr="000F2BD3" w:rsidRDefault="00EF17E8" w:rsidP="00857310">
            <w:pPr>
              <w:jc w:val="right"/>
            </w:pPr>
            <w:r w:rsidRPr="000F2BD3">
              <w:t xml:space="preserve">13.43 </w:t>
            </w:r>
          </w:p>
        </w:tc>
        <w:tc>
          <w:tcPr>
            <w:tcW w:w="1065" w:type="dxa"/>
          </w:tcPr>
          <w:p w14:paraId="44DD172C" w14:textId="77777777" w:rsidR="00EF17E8" w:rsidRPr="000F2BD3" w:rsidRDefault="00EF17E8" w:rsidP="00857310">
            <w:pPr>
              <w:jc w:val="right"/>
            </w:pPr>
            <w:r w:rsidRPr="000F2BD3">
              <w:t xml:space="preserve">-0.06 </w:t>
            </w:r>
          </w:p>
        </w:tc>
        <w:tc>
          <w:tcPr>
            <w:tcW w:w="1065" w:type="dxa"/>
          </w:tcPr>
          <w:p w14:paraId="70CEDECE" w14:textId="77777777" w:rsidR="00EF17E8" w:rsidRPr="000F2BD3" w:rsidRDefault="00EF17E8" w:rsidP="00857310">
            <w:pPr>
              <w:jc w:val="right"/>
              <w:rPr>
                <w:b/>
                <w:bCs/>
              </w:rPr>
            </w:pPr>
            <w:r w:rsidRPr="000F2BD3">
              <w:t xml:space="preserve">13.49 </w:t>
            </w:r>
          </w:p>
        </w:tc>
        <w:tc>
          <w:tcPr>
            <w:tcW w:w="1065" w:type="dxa"/>
          </w:tcPr>
          <w:p w14:paraId="4B466D49" w14:textId="77777777" w:rsidR="00EF17E8" w:rsidRPr="000F2BD3" w:rsidRDefault="00EF17E8" w:rsidP="00857310">
            <w:pPr>
              <w:jc w:val="right"/>
              <w:rPr>
                <w:b/>
                <w:bCs/>
              </w:rPr>
            </w:pPr>
            <w:r w:rsidRPr="000F2BD3">
              <w:t xml:space="preserve">13.67 </w:t>
            </w:r>
          </w:p>
        </w:tc>
        <w:tc>
          <w:tcPr>
            <w:tcW w:w="1065" w:type="dxa"/>
          </w:tcPr>
          <w:p w14:paraId="67DB6B73" w14:textId="77777777" w:rsidR="00EF17E8" w:rsidRPr="000F2BD3" w:rsidRDefault="00EF17E8" w:rsidP="00857310">
            <w:pPr>
              <w:jc w:val="right"/>
              <w:rPr>
                <w:b/>
                <w:bCs/>
              </w:rPr>
            </w:pPr>
            <w:r w:rsidRPr="000F2BD3">
              <w:t xml:space="preserve">0.18 </w:t>
            </w:r>
          </w:p>
        </w:tc>
      </w:tr>
      <w:tr w:rsidR="00EF17E8" w:rsidRPr="000F2BD3" w14:paraId="0DEABBF2" w14:textId="77777777" w:rsidTr="00857310">
        <w:tc>
          <w:tcPr>
            <w:tcW w:w="2109" w:type="dxa"/>
          </w:tcPr>
          <w:p w14:paraId="4CC9284D" w14:textId="77777777" w:rsidR="00EF17E8" w:rsidRPr="000F2BD3" w:rsidRDefault="00EF17E8" w:rsidP="00857310">
            <w:pPr>
              <w:jc w:val="center"/>
            </w:pPr>
            <w:r w:rsidRPr="000F2BD3">
              <w:t>MIROC-ESM</w:t>
            </w:r>
          </w:p>
        </w:tc>
        <w:tc>
          <w:tcPr>
            <w:tcW w:w="1066" w:type="dxa"/>
          </w:tcPr>
          <w:p w14:paraId="5C1BE24B" w14:textId="77777777" w:rsidR="00EF17E8" w:rsidRPr="000F2BD3" w:rsidRDefault="00EF17E8" w:rsidP="00857310">
            <w:pPr>
              <w:jc w:val="right"/>
            </w:pPr>
            <w:r w:rsidRPr="000F2BD3">
              <w:t xml:space="preserve">13.06 </w:t>
            </w:r>
          </w:p>
        </w:tc>
        <w:tc>
          <w:tcPr>
            <w:tcW w:w="1065" w:type="dxa"/>
          </w:tcPr>
          <w:p w14:paraId="34C54CA9" w14:textId="77777777" w:rsidR="00EF17E8" w:rsidRPr="000F2BD3" w:rsidRDefault="00EF17E8" w:rsidP="00857310">
            <w:pPr>
              <w:jc w:val="right"/>
            </w:pPr>
            <w:r w:rsidRPr="000F2BD3">
              <w:t xml:space="preserve">12.71 </w:t>
            </w:r>
          </w:p>
        </w:tc>
        <w:tc>
          <w:tcPr>
            <w:tcW w:w="1065" w:type="dxa"/>
          </w:tcPr>
          <w:p w14:paraId="101ABB13" w14:textId="77777777" w:rsidR="00EF17E8" w:rsidRPr="000F2BD3" w:rsidRDefault="00EF17E8" w:rsidP="00857310">
            <w:pPr>
              <w:jc w:val="right"/>
            </w:pPr>
            <w:r w:rsidRPr="000F2BD3">
              <w:t xml:space="preserve">-0.35 </w:t>
            </w:r>
          </w:p>
        </w:tc>
        <w:tc>
          <w:tcPr>
            <w:tcW w:w="1065" w:type="dxa"/>
          </w:tcPr>
          <w:p w14:paraId="6C878CE9" w14:textId="77777777" w:rsidR="00EF17E8" w:rsidRPr="000F2BD3" w:rsidRDefault="00EF17E8" w:rsidP="00857310">
            <w:pPr>
              <w:jc w:val="right"/>
              <w:rPr>
                <w:b/>
                <w:bCs/>
              </w:rPr>
            </w:pPr>
            <w:r w:rsidRPr="000F2BD3">
              <w:t xml:space="preserve">14.41 </w:t>
            </w:r>
          </w:p>
        </w:tc>
        <w:tc>
          <w:tcPr>
            <w:tcW w:w="1065" w:type="dxa"/>
          </w:tcPr>
          <w:p w14:paraId="2735ABA6" w14:textId="77777777" w:rsidR="00EF17E8" w:rsidRPr="000F2BD3" w:rsidRDefault="00EF17E8" w:rsidP="00857310">
            <w:pPr>
              <w:jc w:val="right"/>
              <w:rPr>
                <w:b/>
                <w:bCs/>
              </w:rPr>
            </w:pPr>
            <w:r w:rsidRPr="000F2BD3">
              <w:t xml:space="preserve">13.70 </w:t>
            </w:r>
          </w:p>
        </w:tc>
        <w:tc>
          <w:tcPr>
            <w:tcW w:w="1065" w:type="dxa"/>
          </w:tcPr>
          <w:p w14:paraId="5106D373" w14:textId="77777777" w:rsidR="00EF17E8" w:rsidRPr="000F2BD3" w:rsidRDefault="00EF17E8" w:rsidP="00857310">
            <w:pPr>
              <w:jc w:val="right"/>
              <w:rPr>
                <w:b/>
                <w:bCs/>
              </w:rPr>
            </w:pPr>
            <w:r w:rsidRPr="000F2BD3">
              <w:t xml:space="preserve">-0.71 </w:t>
            </w:r>
          </w:p>
        </w:tc>
      </w:tr>
      <w:tr w:rsidR="00EF17E8" w:rsidRPr="000F2BD3" w14:paraId="1ADD05CF" w14:textId="77777777" w:rsidTr="00857310">
        <w:tc>
          <w:tcPr>
            <w:tcW w:w="2109" w:type="dxa"/>
          </w:tcPr>
          <w:p w14:paraId="0138EC3D" w14:textId="77777777" w:rsidR="00EF17E8" w:rsidRPr="000F2BD3" w:rsidRDefault="00EF17E8" w:rsidP="00857310">
            <w:pPr>
              <w:jc w:val="center"/>
            </w:pPr>
            <w:r w:rsidRPr="000F2BD3">
              <w:lastRenderedPageBreak/>
              <w:t>MIROC-ESM-CHEM</w:t>
            </w:r>
          </w:p>
        </w:tc>
        <w:tc>
          <w:tcPr>
            <w:tcW w:w="1066" w:type="dxa"/>
          </w:tcPr>
          <w:p w14:paraId="7FCB91E9" w14:textId="77777777" w:rsidR="00EF17E8" w:rsidRPr="000F2BD3" w:rsidRDefault="00EF17E8" w:rsidP="00857310">
            <w:pPr>
              <w:jc w:val="right"/>
            </w:pPr>
            <w:r w:rsidRPr="000F2BD3">
              <w:t xml:space="preserve">12.49 </w:t>
            </w:r>
          </w:p>
        </w:tc>
        <w:tc>
          <w:tcPr>
            <w:tcW w:w="1065" w:type="dxa"/>
          </w:tcPr>
          <w:p w14:paraId="3FA988DD" w14:textId="77777777" w:rsidR="00EF17E8" w:rsidRPr="000F2BD3" w:rsidRDefault="00EF17E8" w:rsidP="00857310">
            <w:pPr>
              <w:jc w:val="right"/>
            </w:pPr>
            <w:r w:rsidRPr="000F2BD3">
              <w:t xml:space="preserve">14.74 </w:t>
            </w:r>
          </w:p>
        </w:tc>
        <w:tc>
          <w:tcPr>
            <w:tcW w:w="1065" w:type="dxa"/>
          </w:tcPr>
          <w:p w14:paraId="65F456FB" w14:textId="77777777" w:rsidR="00EF17E8" w:rsidRPr="000F2BD3" w:rsidRDefault="00EF17E8" w:rsidP="00857310">
            <w:pPr>
              <w:jc w:val="right"/>
            </w:pPr>
            <w:r w:rsidRPr="000F2BD3">
              <w:t xml:space="preserve">2.25 </w:t>
            </w:r>
          </w:p>
        </w:tc>
        <w:tc>
          <w:tcPr>
            <w:tcW w:w="1065" w:type="dxa"/>
          </w:tcPr>
          <w:p w14:paraId="69B9CD13" w14:textId="77777777" w:rsidR="00EF17E8" w:rsidRPr="000F2BD3" w:rsidRDefault="00EF17E8" w:rsidP="00857310">
            <w:pPr>
              <w:jc w:val="right"/>
              <w:rPr>
                <w:b/>
                <w:bCs/>
              </w:rPr>
            </w:pPr>
            <w:r w:rsidRPr="000F2BD3">
              <w:t xml:space="preserve">13.82 </w:t>
            </w:r>
          </w:p>
        </w:tc>
        <w:tc>
          <w:tcPr>
            <w:tcW w:w="1065" w:type="dxa"/>
          </w:tcPr>
          <w:p w14:paraId="17FD2F57" w14:textId="77777777" w:rsidR="00EF17E8" w:rsidRPr="000F2BD3" w:rsidRDefault="00EF17E8" w:rsidP="00857310">
            <w:pPr>
              <w:jc w:val="right"/>
              <w:rPr>
                <w:b/>
                <w:bCs/>
              </w:rPr>
            </w:pPr>
            <w:r w:rsidRPr="000F2BD3">
              <w:t xml:space="preserve">18.79 </w:t>
            </w:r>
          </w:p>
        </w:tc>
        <w:tc>
          <w:tcPr>
            <w:tcW w:w="1065" w:type="dxa"/>
          </w:tcPr>
          <w:p w14:paraId="670DE37C" w14:textId="77777777" w:rsidR="00EF17E8" w:rsidRPr="000F2BD3" w:rsidRDefault="00EF17E8" w:rsidP="00857310">
            <w:pPr>
              <w:jc w:val="right"/>
              <w:rPr>
                <w:b/>
                <w:bCs/>
              </w:rPr>
            </w:pPr>
            <w:r w:rsidRPr="000F2BD3">
              <w:t xml:space="preserve">4.97 </w:t>
            </w:r>
          </w:p>
        </w:tc>
      </w:tr>
      <w:tr w:rsidR="00EF17E8" w:rsidRPr="000F2BD3" w14:paraId="123EC895" w14:textId="77777777" w:rsidTr="00857310">
        <w:tc>
          <w:tcPr>
            <w:tcW w:w="2109" w:type="dxa"/>
          </w:tcPr>
          <w:p w14:paraId="2C34900C" w14:textId="77777777" w:rsidR="00EF17E8" w:rsidRPr="000F2BD3" w:rsidRDefault="00EF17E8" w:rsidP="00857310">
            <w:pPr>
              <w:jc w:val="center"/>
            </w:pPr>
            <w:r w:rsidRPr="000F2BD3">
              <w:t>NorESM1-M</w:t>
            </w:r>
          </w:p>
        </w:tc>
        <w:tc>
          <w:tcPr>
            <w:tcW w:w="1066" w:type="dxa"/>
          </w:tcPr>
          <w:p w14:paraId="7786D886" w14:textId="77777777" w:rsidR="00EF17E8" w:rsidRPr="000F2BD3" w:rsidRDefault="00EF17E8" w:rsidP="00857310">
            <w:pPr>
              <w:jc w:val="right"/>
            </w:pPr>
            <w:r w:rsidRPr="000F2BD3">
              <w:t xml:space="preserve">15.72 </w:t>
            </w:r>
          </w:p>
        </w:tc>
        <w:tc>
          <w:tcPr>
            <w:tcW w:w="1065" w:type="dxa"/>
          </w:tcPr>
          <w:p w14:paraId="0B2D876A" w14:textId="77777777" w:rsidR="00EF17E8" w:rsidRPr="000F2BD3" w:rsidRDefault="00EF17E8" w:rsidP="00857310">
            <w:pPr>
              <w:jc w:val="right"/>
            </w:pPr>
            <w:r w:rsidRPr="000F2BD3">
              <w:t xml:space="preserve">13.72 </w:t>
            </w:r>
          </w:p>
        </w:tc>
        <w:tc>
          <w:tcPr>
            <w:tcW w:w="1065" w:type="dxa"/>
          </w:tcPr>
          <w:p w14:paraId="6CB0B55D" w14:textId="77777777" w:rsidR="00EF17E8" w:rsidRPr="000F2BD3" w:rsidRDefault="00EF17E8" w:rsidP="00857310">
            <w:pPr>
              <w:jc w:val="right"/>
            </w:pPr>
            <w:r w:rsidRPr="000F2BD3">
              <w:t xml:space="preserve">-2.00 </w:t>
            </w:r>
          </w:p>
        </w:tc>
        <w:tc>
          <w:tcPr>
            <w:tcW w:w="1065" w:type="dxa"/>
          </w:tcPr>
          <w:p w14:paraId="522A920B" w14:textId="77777777" w:rsidR="00EF17E8" w:rsidRPr="000F2BD3" w:rsidRDefault="00EF17E8" w:rsidP="00857310">
            <w:pPr>
              <w:jc w:val="right"/>
              <w:rPr>
                <w:b/>
                <w:bCs/>
              </w:rPr>
            </w:pPr>
            <w:r w:rsidRPr="000F2BD3">
              <w:t xml:space="preserve">19.83 </w:t>
            </w:r>
          </w:p>
        </w:tc>
        <w:tc>
          <w:tcPr>
            <w:tcW w:w="1065" w:type="dxa"/>
          </w:tcPr>
          <w:p w14:paraId="46318125" w14:textId="77777777" w:rsidR="00EF17E8" w:rsidRPr="000F2BD3" w:rsidRDefault="00EF17E8" w:rsidP="00857310">
            <w:pPr>
              <w:jc w:val="right"/>
              <w:rPr>
                <w:b/>
                <w:bCs/>
              </w:rPr>
            </w:pPr>
            <w:r w:rsidRPr="000F2BD3">
              <w:t xml:space="preserve">21.49 </w:t>
            </w:r>
          </w:p>
        </w:tc>
        <w:tc>
          <w:tcPr>
            <w:tcW w:w="1065" w:type="dxa"/>
          </w:tcPr>
          <w:p w14:paraId="7434376A" w14:textId="77777777" w:rsidR="00EF17E8" w:rsidRPr="000F2BD3" w:rsidRDefault="00EF17E8" w:rsidP="00857310">
            <w:pPr>
              <w:jc w:val="right"/>
              <w:rPr>
                <w:b/>
                <w:bCs/>
              </w:rPr>
            </w:pPr>
            <w:r w:rsidRPr="000F2BD3">
              <w:t xml:space="preserve">1.66 </w:t>
            </w:r>
          </w:p>
        </w:tc>
      </w:tr>
      <w:tr w:rsidR="00EF17E8" w:rsidRPr="000F2BD3" w14:paraId="05A64DE6" w14:textId="77777777" w:rsidTr="00857310">
        <w:tc>
          <w:tcPr>
            <w:tcW w:w="2109" w:type="dxa"/>
          </w:tcPr>
          <w:p w14:paraId="0DA1C556" w14:textId="77777777" w:rsidR="00EF17E8" w:rsidRPr="000F2BD3" w:rsidRDefault="00EF17E8" w:rsidP="00857310">
            <w:pPr>
              <w:jc w:val="center"/>
            </w:pPr>
            <w:r w:rsidRPr="000F2BD3">
              <w:t>MME</w:t>
            </w:r>
          </w:p>
        </w:tc>
        <w:tc>
          <w:tcPr>
            <w:tcW w:w="1066" w:type="dxa"/>
          </w:tcPr>
          <w:p w14:paraId="121C397B" w14:textId="77777777" w:rsidR="00EF17E8" w:rsidRPr="000F2BD3" w:rsidRDefault="00EF17E8" w:rsidP="00857310">
            <w:pPr>
              <w:jc w:val="right"/>
            </w:pPr>
            <w:r w:rsidRPr="000F2BD3">
              <w:t xml:space="preserve">14.58 </w:t>
            </w:r>
          </w:p>
        </w:tc>
        <w:tc>
          <w:tcPr>
            <w:tcW w:w="1065" w:type="dxa"/>
          </w:tcPr>
          <w:p w14:paraId="5FD5D0DD" w14:textId="77777777" w:rsidR="00EF17E8" w:rsidRPr="000F2BD3" w:rsidRDefault="00EF17E8" w:rsidP="00857310">
            <w:pPr>
              <w:jc w:val="right"/>
            </w:pPr>
            <w:r w:rsidRPr="000F2BD3">
              <w:t xml:space="preserve">13.69 </w:t>
            </w:r>
          </w:p>
        </w:tc>
        <w:tc>
          <w:tcPr>
            <w:tcW w:w="1065" w:type="dxa"/>
          </w:tcPr>
          <w:p w14:paraId="28BA9C6E" w14:textId="77777777" w:rsidR="00EF17E8" w:rsidRPr="000F2BD3" w:rsidRDefault="00EF17E8" w:rsidP="00857310">
            <w:pPr>
              <w:jc w:val="right"/>
            </w:pPr>
            <w:r w:rsidRPr="000F2BD3">
              <w:t xml:space="preserve">-0.90 </w:t>
            </w:r>
          </w:p>
        </w:tc>
        <w:tc>
          <w:tcPr>
            <w:tcW w:w="1065" w:type="dxa"/>
          </w:tcPr>
          <w:p w14:paraId="1A100241" w14:textId="77777777" w:rsidR="00EF17E8" w:rsidRPr="000F2BD3" w:rsidRDefault="00EF17E8" w:rsidP="00857310">
            <w:pPr>
              <w:jc w:val="right"/>
              <w:rPr>
                <w:b/>
                <w:bCs/>
              </w:rPr>
            </w:pPr>
            <w:r w:rsidRPr="000F2BD3">
              <w:t xml:space="preserve">14.64 </w:t>
            </w:r>
          </w:p>
        </w:tc>
        <w:tc>
          <w:tcPr>
            <w:tcW w:w="1065" w:type="dxa"/>
          </w:tcPr>
          <w:p w14:paraId="7333265E" w14:textId="77777777" w:rsidR="00EF17E8" w:rsidRPr="000F2BD3" w:rsidRDefault="00EF17E8" w:rsidP="00857310">
            <w:pPr>
              <w:jc w:val="right"/>
              <w:rPr>
                <w:b/>
                <w:bCs/>
              </w:rPr>
            </w:pPr>
            <w:r w:rsidRPr="000F2BD3">
              <w:t xml:space="preserve">16.03 </w:t>
            </w:r>
          </w:p>
        </w:tc>
        <w:tc>
          <w:tcPr>
            <w:tcW w:w="1065" w:type="dxa"/>
          </w:tcPr>
          <w:p w14:paraId="0C53CB2E" w14:textId="77777777" w:rsidR="00EF17E8" w:rsidRPr="000F2BD3" w:rsidRDefault="00EF17E8" w:rsidP="00857310">
            <w:pPr>
              <w:jc w:val="right"/>
              <w:rPr>
                <w:b/>
                <w:bCs/>
              </w:rPr>
            </w:pPr>
            <w:r w:rsidRPr="000F2BD3">
              <w:t xml:space="preserve">1.40 </w:t>
            </w:r>
          </w:p>
        </w:tc>
      </w:tr>
      <w:tr w:rsidR="00EF17E8" w:rsidRPr="000F2BD3" w14:paraId="04759E77" w14:textId="77777777" w:rsidTr="00857310">
        <w:tc>
          <w:tcPr>
            <w:tcW w:w="2109" w:type="dxa"/>
          </w:tcPr>
          <w:p w14:paraId="58072E25" w14:textId="77777777" w:rsidR="00EF17E8" w:rsidRPr="000F2BD3" w:rsidRDefault="00EF17E8" w:rsidP="00857310">
            <w:pPr>
              <w:jc w:val="center"/>
            </w:pPr>
            <w:r w:rsidRPr="000F2BD3">
              <w:t>MME-14.92</w:t>
            </w:r>
          </w:p>
        </w:tc>
        <w:tc>
          <w:tcPr>
            <w:tcW w:w="1066" w:type="dxa"/>
          </w:tcPr>
          <w:p w14:paraId="2682271F" w14:textId="77777777" w:rsidR="00EF17E8" w:rsidRPr="000F2BD3" w:rsidRDefault="00EF17E8" w:rsidP="00857310">
            <w:pPr>
              <w:jc w:val="right"/>
            </w:pPr>
            <w:r w:rsidRPr="000F2BD3">
              <w:t xml:space="preserve">-0.34 </w:t>
            </w:r>
          </w:p>
        </w:tc>
        <w:tc>
          <w:tcPr>
            <w:tcW w:w="1065" w:type="dxa"/>
          </w:tcPr>
          <w:p w14:paraId="6A239664" w14:textId="77777777" w:rsidR="00EF17E8" w:rsidRPr="000F2BD3" w:rsidRDefault="00EF17E8" w:rsidP="00857310">
            <w:pPr>
              <w:jc w:val="right"/>
              <w:rPr>
                <w:highlight w:val="yellow"/>
              </w:rPr>
            </w:pPr>
            <w:r w:rsidRPr="000F2BD3">
              <w:t xml:space="preserve">-1.23 </w:t>
            </w:r>
          </w:p>
        </w:tc>
        <w:tc>
          <w:tcPr>
            <w:tcW w:w="1065" w:type="dxa"/>
          </w:tcPr>
          <w:p w14:paraId="724D7B21" w14:textId="77777777" w:rsidR="00EF17E8" w:rsidRPr="000F2BD3" w:rsidRDefault="00EF17E8" w:rsidP="00857310">
            <w:pPr>
              <w:jc w:val="right"/>
            </w:pPr>
          </w:p>
        </w:tc>
        <w:tc>
          <w:tcPr>
            <w:tcW w:w="1065" w:type="dxa"/>
          </w:tcPr>
          <w:p w14:paraId="2179840C" w14:textId="77777777" w:rsidR="00EF17E8" w:rsidRPr="000F2BD3" w:rsidRDefault="00EF17E8" w:rsidP="00857310">
            <w:pPr>
              <w:jc w:val="right"/>
              <w:rPr>
                <w:b/>
                <w:bCs/>
              </w:rPr>
            </w:pPr>
            <w:r w:rsidRPr="000F2BD3">
              <w:t xml:space="preserve">-0.28 </w:t>
            </w:r>
          </w:p>
        </w:tc>
        <w:tc>
          <w:tcPr>
            <w:tcW w:w="1065" w:type="dxa"/>
          </w:tcPr>
          <w:p w14:paraId="4DCB78EE" w14:textId="77777777" w:rsidR="00EF17E8" w:rsidRPr="000F2BD3" w:rsidRDefault="00EF17E8" w:rsidP="00857310">
            <w:pPr>
              <w:jc w:val="right"/>
              <w:rPr>
                <w:b/>
                <w:bCs/>
              </w:rPr>
            </w:pPr>
            <w:r w:rsidRPr="000F2BD3">
              <w:t xml:space="preserve">1.11 </w:t>
            </w:r>
          </w:p>
        </w:tc>
        <w:tc>
          <w:tcPr>
            <w:tcW w:w="1065" w:type="dxa"/>
          </w:tcPr>
          <w:p w14:paraId="11EB219F" w14:textId="77777777" w:rsidR="00EF17E8" w:rsidRPr="000F2BD3" w:rsidRDefault="00EF17E8" w:rsidP="00857310">
            <w:pPr>
              <w:jc w:val="right"/>
              <w:rPr>
                <w:b/>
                <w:bCs/>
              </w:rPr>
            </w:pPr>
          </w:p>
        </w:tc>
      </w:tr>
    </w:tbl>
    <w:p w14:paraId="2F4CFC92" w14:textId="77777777" w:rsidR="00EF17E8" w:rsidRPr="000F2BD3" w:rsidRDefault="00EF17E8" w:rsidP="00EF17E8"/>
    <w:p w14:paraId="37822F80" w14:textId="77777777" w:rsidR="00EF17E8" w:rsidRPr="000F2BD3" w:rsidRDefault="00EF17E8" w:rsidP="00EF17E8">
      <w:r w:rsidRPr="000F2BD3">
        <w:rPr>
          <w:b/>
          <w:bCs/>
          <w:color w:val="231F20"/>
        </w:rPr>
        <w:t>Table S2.</w:t>
      </w:r>
      <w:r w:rsidRPr="000F2BD3">
        <w:t xml:space="preserve"> The intensity of SPEI over 1.5°C and 2°C warming targets and their differences.</w:t>
      </w:r>
    </w:p>
    <w:tbl>
      <w:tblPr>
        <w:tblStyle w:val="a3"/>
        <w:tblW w:w="6974"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9"/>
        <w:gridCol w:w="1625"/>
        <w:gridCol w:w="1625"/>
        <w:gridCol w:w="1625"/>
      </w:tblGrid>
      <w:tr w:rsidR="00EF17E8" w:rsidRPr="000F2BD3" w14:paraId="7E51447E" w14:textId="77777777" w:rsidTr="00857310">
        <w:trPr>
          <w:jc w:val="center"/>
        </w:trPr>
        <w:tc>
          <w:tcPr>
            <w:tcW w:w="2099" w:type="dxa"/>
            <w:tcBorders>
              <w:top w:val="single" w:sz="12" w:space="0" w:color="auto"/>
              <w:bottom w:val="single" w:sz="6" w:space="0" w:color="auto"/>
            </w:tcBorders>
          </w:tcPr>
          <w:p w14:paraId="18651FC3" w14:textId="77777777" w:rsidR="00EF17E8" w:rsidRPr="000F2BD3" w:rsidRDefault="00EF17E8" w:rsidP="00857310">
            <w:pPr>
              <w:jc w:val="center"/>
            </w:pPr>
          </w:p>
        </w:tc>
        <w:tc>
          <w:tcPr>
            <w:tcW w:w="1625" w:type="dxa"/>
            <w:tcBorders>
              <w:top w:val="single" w:sz="12" w:space="0" w:color="auto"/>
              <w:bottom w:val="single" w:sz="6" w:space="0" w:color="auto"/>
            </w:tcBorders>
          </w:tcPr>
          <w:p w14:paraId="7A8042A5" w14:textId="77777777" w:rsidR="00EF17E8" w:rsidRPr="000F2BD3" w:rsidRDefault="00EF17E8" w:rsidP="00857310">
            <w:pPr>
              <w:jc w:val="center"/>
            </w:pPr>
            <w:r w:rsidRPr="000F2BD3">
              <w:t>1.5</w:t>
            </w:r>
            <w:r w:rsidRPr="000F2BD3">
              <w:rPr>
                <w:rFonts w:eastAsia="宋体"/>
              </w:rPr>
              <w:t>℃</w:t>
            </w:r>
          </w:p>
        </w:tc>
        <w:tc>
          <w:tcPr>
            <w:tcW w:w="1625" w:type="dxa"/>
            <w:tcBorders>
              <w:top w:val="single" w:sz="12" w:space="0" w:color="auto"/>
              <w:bottom w:val="single" w:sz="6" w:space="0" w:color="auto"/>
            </w:tcBorders>
          </w:tcPr>
          <w:p w14:paraId="2589A6BC" w14:textId="77777777" w:rsidR="00EF17E8" w:rsidRPr="000F2BD3" w:rsidRDefault="00EF17E8" w:rsidP="00857310">
            <w:pPr>
              <w:jc w:val="center"/>
            </w:pPr>
            <w:r w:rsidRPr="000F2BD3">
              <w:t>2.0</w:t>
            </w:r>
            <w:r w:rsidRPr="000F2BD3">
              <w:rPr>
                <w:rFonts w:eastAsia="宋体"/>
              </w:rPr>
              <w:t>℃</w:t>
            </w:r>
          </w:p>
        </w:tc>
        <w:tc>
          <w:tcPr>
            <w:tcW w:w="1625" w:type="dxa"/>
            <w:tcBorders>
              <w:top w:val="single" w:sz="12" w:space="0" w:color="auto"/>
              <w:bottom w:val="single" w:sz="6" w:space="0" w:color="auto"/>
            </w:tcBorders>
          </w:tcPr>
          <w:p w14:paraId="2CCE3844" w14:textId="77777777" w:rsidR="00EF17E8" w:rsidRPr="000F2BD3" w:rsidRDefault="00EF17E8" w:rsidP="00857310">
            <w:pPr>
              <w:jc w:val="center"/>
            </w:pPr>
            <w:r w:rsidRPr="000F2BD3">
              <w:t>Diff</w:t>
            </w:r>
          </w:p>
        </w:tc>
      </w:tr>
      <w:tr w:rsidR="00EF17E8" w:rsidRPr="000F2BD3" w14:paraId="73A9C67B" w14:textId="77777777" w:rsidTr="00857310">
        <w:trPr>
          <w:jc w:val="center"/>
        </w:trPr>
        <w:tc>
          <w:tcPr>
            <w:tcW w:w="2099" w:type="dxa"/>
          </w:tcPr>
          <w:p w14:paraId="0EBD9408" w14:textId="77777777" w:rsidR="00EF17E8" w:rsidRPr="000F2BD3" w:rsidRDefault="00EF17E8" w:rsidP="00857310">
            <w:pPr>
              <w:jc w:val="center"/>
            </w:pPr>
            <w:r w:rsidRPr="000F2BD3">
              <w:t>bcc-csm1-1</w:t>
            </w:r>
          </w:p>
        </w:tc>
        <w:tc>
          <w:tcPr>
            <w:tcW w:w="1625" w:type="dxa"/>
          </w:tcPr>
          <w:p w14:paraId="19E4ACEF" w14:textId="77777777" w:rsidR="00EF17E8" w:rsidRPr="000F2BD3" w:rsidRDefault="00EF17E8" w:rsidP="00857310">
            <w:pPr>
              <w:jc w:val="center"/>
            </w:pPr>
            <w:r w:rsidRPr="000F2BD3">
              <w:t>0.01</w:t>
            </w:r>
          </w:p>
        </w:tc>
        <w:tc>
          <w:tcPr>
            <w:tcW w:w="1625" w:type="dxa"/>
          </w:tcPr>
          <w:p w14:paraId="74CAFEE0" w14:textId="77777777" w:rsidR="00EF17E8" w:rsidRPr="000F2BD3" w:rsidRDefault="00EF17E8" w:rsidP="00857310">
            <w:pPr>
              <w:jc w:val="center"/>
            </w:pPr>
            <w:r w:rsidRPr="000F2BD3">
              <w:t>-0.35</w:t>
            </w:r>
          </w:p>
        </w:tc>
        <w:tc>
          <w:tcPr>
            <w:tcW w:w="1625" w:type="dxa"/>
          </w:tcPr>
          <w:p w14:paraId="2AA0BE1A" w14:textId="77777777" w:rsidR="00EF17E8" w:rsidRPr="000F2BD3" w:rsidRDefault="00EF17E8" w:rsidP="00857310">
            <w:pPr>
              <w:jc w:val="center"/>
            </w:pPr>
            <w:r w:rsidRPr="000F2BD3">
              <w:t>-0.36</w:t>
            </w:r>
          </w:p>
        </w:tc>
      </w:tr>
      <w:tr w:rsidR="00EF17E8" w:rsidRPr="000F2BD3" w14:paraId="4C09C450" w14:textId="77777777" w:rsidTr="00857310">
        <w:trPr>
          <w:jc w:val="center"/>
        </w:trPr>
        <w:tc>
          <w:tcPr>
            <w:tcW w:w="2099" w:type="dxa"/>
          </w:tcPr>
          <w:p w14:paraId="5330511F" w14:textId="77777777" w:rsidR="00EF17E8" w:rsidRPr="000F2BD3" w:rsidRDefault="00EF17E8" w:rsidP="00857310">
            <w:pPr>
              <w:jc w:val="center"/>
            </w:pPr>
            <w:r w:rsidRPr="000F2BD3">
              <w:t>BNU-ESM</w:t>
            </w:r>
          </w:p>
        </w:tc>
        <w:tc>
          <w:tcPr>
            <w:tcW w:w="1625" w:type="dxa"/>
          </w:tcPr>
          <w:p w14:paraId="7FA4F696" w14:textId="77777777" w:rsidR="00EF17E8" w:rsidRPr="000F2BD3" w:rsidRDefault="00EF17E8" w:rsidP="00857310">
            <w:pPr>
              <w:jc w:val="center"/>
            </w:pPr>
            <w:r w:rsidRPr="000F2BD3">
              <w:t>-0.44</w:t>
            </w:r>
          </w:p>
        </w:tc>
        <w:tc>
          <w:tcPr>
            <w:tcW w:w="1625" w:type="dxa"/>
          </w:tcPr>
          <w:p w14:paraId="7694E102" w14:textId="77777777" w:rsidR="00EF17E8" w:rsidRPr="000F2BD3" w:rsidRDefault="00EF17E8" w:rsidP="00857310">
            <w:pPr>
              <w:jc w:val="center"/>
            </w:pPr>
            <w:r w:rsidRPr="000F2BD3">
              <w:t>-0.27</w:t>
            </w:r>
          </w:p>
        </w:tc>
        <w:tc>
          <w:tcPr>
            <w:tcW w:w="1625" w:type="dxa"/>
          </w:tcPr>
          <w:p w14:paraId="48890821" w14:textId="77777777" w:rsidR="00EF17E8" w:rsidRPr="000F2BD3" w:rsidRDefault="00EF17E8" w:rsidP="00857310">
            <w:pPr>
              <w:jc w:val="center"/>
            </w:pPr>
            <w:r w:rsidRPr="000F2BD3">
              <w:t>0.18</w:t>
            </w:r>
          </w:p>
        </w:tc>
      </w:tr>
      <w:tr w:rsidR="00EF17E8" w:rsidRPr="000F2BD3" w14:paraId="28609FB0" w14:textId="77777777" w:rsidTr="00857310">
        <w:trPr>
          <w:jc w:val="center"/>
        </w:trPr>
        <w:tc>
          <w:tcPr>
            <w:tcW w:w="2099" w:type="dxa"/>
          </w:tcPr>
          <w:p w14:paraId="2DBD013D" w14:textId="77777777" w:rsidR="00EF17E8" w:rsidRPr="000F2BD3" w:rsidRDefault="00EF17E8" w:rsidP="00857310">
            <w:pPr>
              <w:jc w:val="center"/>
            </w:pPr>
            <w:r w:rsidRPr="000F2BD3">
              <w:t>MIROC-ESM</w:t>
            </w:r>
          </w:p>
        </w:tc>
        <w:tc>
          <w:tcPr>
            <w:tcW w:w="1625" w:type="dxa"/>
          </w:tcPr>
          <w:p w14:paraId="46E54246" w14:textId="77777777" w:rsidR="00EF17E8" w:rsidRPr="000F2BD3" w:rsidRDefault="00EF17E8" w:rsidP="00857310">
            <w:pPr>
              <w:jc w:val="center"/>
            </w:pPr>
            <w:r w:rsidRPr="000F2BD3">
              <w:t>-0.33</w:t>
            </w:r>
          </w:p>
        </w:tc>
        <w:tc>
          <w:tcPr>
            <w:tcW w:w="1625" w:type="dxa"/>
          </w:tcPr>
          <w:p w14:paraId="642C4B59" w14:textId="77777777" w:rsidR="00EF17E8" w:rsidRPr="000F2BD3" w:rsidRDefault="00EF17E8" w:rsidP="00857310">
            <w:pPr>
              <w:jc w:val="center"/>
            </w:pPr>
            <w:r w:rsidRPr="000F2BD3">
              <w:t>-0.39</w:t>
            </w:r>
          </w:p>
        </w:tc>
        <w:tc>
          <w:tcPr>
            <w:tcW w:w="1625" w:type="dxa"/>
          </w:tcPr>
          <w:p w14:paraId="12537FF5" w14:textId="77777777" w:rsidR="00EF17E8" w:rsidRPr="000F2BD3" w:rsidRDefault="00EF17E8" w:rsidP="00857310">
            <w:pPr>
              <w:jc w:val="center"/>
            </w:pPr>
            <w:r w:rsidRPr="000F2BD3">
              <w:t>-0.06</w:t>
            </w:r>
          </w:p>
        </w:tc>
      </w:tr>
      <w:tr w:rsidR="00EF17E8" w:rsidRPr="000F2BD3" w14:paraId="4453A603" w14:textId="77777777" w:rsidTr="00857310">
        <w:trPr>
          <w:jc w:val="center"/>
        </w:trPr>
        <w:tc>
          <w:tcPr>
            <w:tcW w:w="2099" w:type="dxa"/>
          </w:tcPr>
          <w:p w14:paraId="1DDAF9EF" w14:textId="77777777" w:rsidR="00EF17E8" w:rsidRPr="000F2BD3" w:rsidRDefault="00EF17E8" w:rsidP="00857310">
            <w:pPr>
              <w:jc w:val="center"/>
            </w:pPr>
            <w:r w:rsidRPr="000F2BD3">
              <w:t>MIROC-ESM-CHEM</w:t>
            </w:r>
          </w:p>
        </w:tc>
        <w:tc>
          <w:tcPr>
            <w:tcW w:w="1625" w:type="dxa"/>
          </w:tcPr>
          <w:p w14:paraId="74B2F4E0" w14:textId="77777777" w:rsidR="00EF17E8" w:rsidRPr="000F2BD3" w:rsidRDefault="00EF17E8" w:rsidP="00857310">
            <w:pPr>
              <w:jc w:val="center"/>
            </w:pPr>
            <w:r w:rsidRPr="000F2BD3">
              <w:t>-0.79</w:t>
            </w:r>
          </w:p>
        </w:tc>
        <w:tc>
          <w:tcPr>
            <w:tcW w:w="1625" w:type="dxa"/>
          </w:tcPr>
          <w:p w14:paraId="10693847" w14:textId="77777777" w:rsidR="00EF17E8" w:rsidRPr="000F2BD3" w:rsidRDefault="00EF17E8" w:rsidP="00857310">
            <w:pPr>
              <w:jc w:val="center"/>
            </w:pPr>
            <w:r w:rsidRPr="000F2BD3">
              <w:t>-0.03</w:t>
            </w:r>
          </w:p>
        </w:tc>
        <w:tc>
          <w:tcPr>
            <w:tcW w:w="1625" w:type="dxa"/>
          </w:tcPr>
          <w:p w14:paraId="2FA0BBDC" w14:textId="77777777" w:rsidR="00EF17E8" w:rsidRPr="000F2BD3" w:rsidRDefault="00EF17E8" w:rsidP="00857310">
            <w:pPr>
              <w:jc w:val="center"/>
            </w:pPr>
            <w:r w:rsidRPr="000F2BD3">
              <w:t>0.76</w:t>
            </w:r>
          </w:p>
        </w:tc>
      </w:tr>
      <w:tr w:rsidR="00EF17E8" w:rsidRPr="000F2BD3" w14:paraId="31634FEF" w14:textId="77777777" w:rsidTr="00857310">
        <w:trPr>
          <w:jc w:val="center"/>
        </w:trPr>
        <w:tc>
          <w:tcPr>
            <w:tcW w:w="2099" w:type="dxa"/>
          </w:tcPr>
          <w:p w14:paraId="581498AE" w14:textId="77777777" w:rsidR="00EF17E8" w:rsidRPr="000F2BD3" w:rsidRDefault="00EF17E8" w:rsidP="00857310">
            <w:pPr>
              <w:jc w:val="center"/>
            </w:pPr>
            <w:r w:rsidRPr="000F2BD3">
              <w:t>NorESM1-M</w:t>
            </w:r>
          </w:p>
        </w:tc>
        <w:tc>
          <w:tcPr>
            <w:tcW w:w="1625" w:type="dxa"/>
          </w:tcPr>
          <w:p w14:paraId="29323204" w14:textId="77777777" w:rsidR="00EF17E8" w:rsidRPr="000F2BD3" w:rsidRDefault="00EF17E8" w:rsidP="00857310">
            <w:pPr>
              <w:jc w:val="center"/>
            </w:pPr>
            <w:r w:rsidRPr="000F2BD3">
              <w:t>0.14</w:t>
            </w:r>
          </w:p>
        </w:tc>
        <w:tc>
          <w:tcPr>
            <w:tcW w:w="1625" w:type="dxa"/>
          </w:tcPr>
          <w:p w14:paraId="05B57F06" w14:textId="77777777" w:rsidR="00EF17E8" w:rsidRPr="000F2BD3" w:rsidRDefault="00EF17E8" w:rsidP="00857310">
            <w:pPr>
              <w:jc w:val="center"/>
            </w:pPr>
            <w:r w:rsidRPr="000F2BD3">
              <w:t>-0.22</w:t>
            </w:r>
          </w:p>
        </w:tc>
        <w:tc>
          <w:tcPr>
            <w:tcW w:w="1625" w:type="dxa"/>
          </w:tcPr>
          <w:p w14:paraId="1ED6CC2B" w14:textId="77777777" w:rsidR="00EF17E8" w:rsidRPr="000F2BD3" w:rsidRDefault="00EF17E8" w:rsidP="00857310">
            <w:pPr>
              <w:jc w:val="center"/>
            </w:pPr>
            <w:r w:rsidRPr="000F2BD3">
              <w:t>-0.36</w:t>
            </w:r>
          </w:p>
        </w:tc>
      </w:tr>
      <w:tr w:rsidR="00EF17E8" w:rsidRPr="000F2BD3" w14:paraId="112354A1" w14:textId="77777777" w:rsidTr="00857310">
        <w:trPr>
          <w:jc w:val="center"/>
        </w:trPr>
        <w:tc>
          <w:tcPr>
            <w:tcW w:w="2099" w:type="dxa"/>
          </w:tcPr>
          <w:p w14:paraId="49FE5426" w14:textId="77777777" w:rsidR="00EF17E8" w:rsidRPr="000F2BD3" w:rsidRDefault="00EF17E8" w:rsidP="00857310">
            <w:pPr>
              <w:jc w:val="center"/>
            </w:pPr>
            <w:r w:rsidRPr="000F2BD3">
              <w:t>MME</w:t>
            </w:r>
          </w:p>
        </w:tc>
        <w:tc>
          <w:tcPr>
            <w:tcW w:w="1625" w:type="dxa"/>
          </w:tcPr>
          <w:p w14:paraId="3CEF04DB" w14:textId="77777777" w:rsidR="00EF17E8" w:rsidRPr="000F2BD3" w:rsidRDefault="00EF17E8" w:rsidP="00857310">
            <w:pPr>
              <w:jc w:val="center"/>
            </w:pPr>
            <w:r w:rsidRPr="000F2BD3">
              <w:t>-0.35</w:t>
            </w:r>
          </w:p>
        </w:tc>
        <w:tc>
          <w:tcPr>
            <w:tcW w:w="1625" w:type="dxa"/>
          </w:tcPr>
          <w:p w14:paraId="389A113D" w14:textId="77777777" w:rsidR="00EF17E8" w:rsidRPr="000F2BD3" w:rsidRDefault="00EF17E8" w:rsidP="00857310">
            <w:pPr>
              <w:jc w:val="center"/>
            </w:pPr>
            <w:r w:rsidRPr="000F2BD3">
              <w:t>-0.43</w:t>
            </w:r>
          </w:p>
        </w:tc>
        <w:tc>
          <w:tcPr>
            <w:tcW w:w="1625" w:type="dxa"/>
          </w:tcPr>
          <w:p w14:paraId="0994162C" w14:textId="77777777" w:rsidR="00EF17E8" w:rsidRPr="000F2BD3" w:rsidRDefault="00EF17E8" w:rsidP="00857310">
            <w:pPr>
              <w:jc w:val="center"/>
            </w:pPr>
            <w:r w:rsidRPr="000F2BD3">
              <w:t>-0.09</w:t>
            </w:r>
          </w:p>
        </w:tc>
      </w:tr>
    </w:tbl>
    <w:p w14:paraId="13725246" w14:textId="77777777" w:rsidR="00EF17E8" w:rsidRPr="000F2BD3" w:rsidRDefault="00EF17E8" w:rsidP="00EF17E8"/>
    <w:p w14:paraId="23CAFA3C" w14:textId="77777777" w:rsidR="00EF17E8" w:rsidRPr="000F2BD3" w:rsidRDefault="00EF17E8" w:rsidP="00EF17E8">
      <w:r w:rsidRPr="000F2BD3">
        <w:rPr>
          <w:b/>
          <w:bCs/>
          <w:color w:val="231F20"/>
        </w:rPr>
        <w:t>Table S3.</w:t>
      </w:r>
      <w:r w:rsidRPr="000F2BD3">
        <w:t xml:space="preserve"> Same as Table S1, but during the periods 2030‒2049 and 2080‒2099. “MME-14.92” represents the anomaly.</w:t>
      </w:r>
      <w:r w:rsidRPr="00FC6600">
        <w:t xml:space="preserve"> </w:t>
      </w:r>
      <w:r w:rsidRPr="000F2BD3">
        <w:t>Asterisks stand for the joint effect</w:t>
      </w:r>
      <w:r>
        <w:rPr>
          <w:rFonts w:hint="eastAsia"/>
        </w:rPr>
        <w:t>。</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1221"/>
        <w:gridCol w:w="1221"/>
        <w:gridCol w:w="913"/>
        <w:gridCol w:w="1221"/>
        <w:gridCol w:w="1221"/>
        <w:gridCol w:w="1046"/>
      </w:tblGrid>
      <w:tr w:rsidR="00EF17E8" w:rsidRPr="000F2BD3" w14:paraId="2BCA3C3A" w14:textId="77777777" w:rsidTr="00857310">
        <w:tc>
          <w:tcPr>
            <w:tcW w:w="1463" w:type="dxa"/>
            <w:tcBorders>
              <w:top w:val="single" w:sz="12" w:space="0" w:color="auto"/>
              <w:bottom w:val="single" w:sz="8" w:space="0" w:color="auto"/>
            </w:tcBorders>
          </w:tcPr>
          <w:p w14:paraId="3CEE891E" w14:textId="77777777" w:rsidR="00EF17E8" w:rsidRPr="000F2BD3" w:rsidRDefault="00EF17E8" w:rsidP="00857310"/>
        </w:tc>
        <w:tc>
          <w:tcPr>
            <w:tcW w:w="1222" w:type="dxa"/>
            <w:tcBorders>
              <w:top w:val="single" w:sz="12" w:space="0" w:color="auto"/>
              <w:bottom w:val="single" w:sz="8" w:space="0" w:color="auto"/>
            </w:tcBorders>
            <w:vAlign w:val="center"/>
          </w:tcPr>
          <w:p w14:paraId="260F1C04" w14:textId="77777777" w:rsidR="00EF17E8" w:rsidRPr="000F2BD3" w:rsidRDefault="00EF17E8" w:rsidP="00857310">
            <w:pPr>
              <w:rPr>
                <w:rFonts w:eastAsia="等线"/>
                <w:color w:val="000000"/>
              </w:rPr>
            </w:pPr>
            <w:r w:rsidRPr="000F2BD3">
              <w:rPr>
                <w:rFonts w:eastAsia="等线"/>
                <w:color w:val="000000"/>
              </w:rPr>
              <w:t>2030‒2049</w:t>
            </w:r>
          </w:p>
        </w:tc>
        <w:tc>
          <w:tcPr>
            <w:tcW w:w="1222" w:type="dxa"/>
            <w:tcBorders>
              <w:top w:val="single" w:sz="12" w:space="0" w:color="auto"/>
              <w:bottom w:val="single" w:sz="8" w:space="0" w:color="auto"/>
            </w:tcBorders>
            <w:vAlign w:val="center"/>
          </w:tcPr>
          <w:p w14:paraId="2CB2904F" w14:textId="77777777" w:rsidR="00EF17E8" w:rsidRPr="000F2BD3" w:rsidRDefault="00EF17E8" w:rsidP="00857310">
            <w:pPr>
              <w:rPr>
                <w:rFonts w:eastAsia="等线"/>
                <w:color w:val="000000"/>
              </w:rPr>
            </w:pPr>
            <w:r w:rsidRPr="000F2BD3">
              <w:rPr>
                <w:rFonts w:eastAsia="等线"/>
                <w:color w:val="000000"/>
              </w:rPr>
              <w:t>2080‒2099</w:t>
            </w:r>
          </w:p>
        </w:tc>
        <w:tc>
          <w:tcPr>
            <w:tcW w:w="914" w:type="dxa"/>
            <w:tcBorders>
              <w:top w:val="single" w:sz="12" w:space="0" w:color="auto"/>
              <w:bottom w:val="single" w:sz="8" w:space="0" w:color="auto"/>
            </w:tcBorders>
          </w:tcPr>
          <w:p w14:paraId="5956EBC8" w14:textId="77777777" w:rsidR="00EF17E8" w:rsidRPr="000F2BD3" w:rsidRDefault="00EF17E8" w:rsidP="00857310">
            <w:pPr>
              <w:rPr>
                <w:rFonts w:eastAsia="等线"/>
                <w:color w:val="000000"/>
              </w:rPr>
            </w:pPr>
            <w:r w:rsidRPr="000F2BD3">
              <w:rPr>
                <w:rFonts w:eastAsia="等线"/>
                <w:color w:val="000000"/>
              </w:rPr>
              <w:t>Diff</w:t>
            </w:r>
          </w:p>
        </w:tc>
        <w:tc>
          <w:tcPr>
            <w:tcW w:w="1222" w:type="dxa"/>
            <w:tcBorders>
              <w:top w:val="single" w:sz="12" w:space="0" w:color="auto"/>
              <w:bottom w:val="single" w:sz="8" w:space="0" w:color="auto"/>
            </w:tcBorders>
            <w:vAlign w:val="center"/>
          </w:tcPr>
          <w:p w14:paraId="76A043A0" w14:textId="77777777" w:rsidR="00EF17E8" w:rsidRPr="000F2BD3" w:rsidRDefault="00EF17E8" w:rsidP="00857310">
            <w:pPr>
              <w:rPr>
                <w:rFonts w:eastAsia="等线"/>
                <w:b/>
                <w:bCs/>
                <w:color w:val="000000"/>
              </w:rPr>
            </w:pPr>
            <w:r w:rsidRPr="000F2BD3">
              <w:rPr>
                <w:rFonts w:eastAsia="等线"/>
                <w:b/>
                <w:bCs/>
                <w:color w:val="000000"/>
              </w:rPr>
              <w:t>2030‒2049</w:t>
            </w:r>
            <w:r>
              <w:rPr>
                <w:rFonts w:eastAsia="等线" w:hint="eastAsia"/>
                <w:b/>
                <w:bCs/>
                <w:color w:val="000000"/>
              </w:rPr>
              <w:t>*</w:t>
            </w:r>
          </w:p>
        </w:tc>
        <w:tc>
          <w:tcPr>
            <w:tcW w:w="1222" w:type="dxa"/>
            <w:tcBorders>
              <w:top w:val="single" w:sz="12" w:space="0" w:color="auto"/>
              <w:bottom w:val="single" w:sz="8" w:space="0" w:color="auto"/>
            </w:tcBorders>
            <w:vAlign w:val="center"/>
          </w:tcPr>
          <w:p w14:paraId="7D4F4782" w14:textId="77777777" w:rsidR="00EF17E8" w:rsidRPr="000F2BD3" w:rsidRDefault="00EF17E8" w:rsidP="00857310">
            <w:pPr>
              <w:rPr>
                <w:rFonts w:eastAsia="等线"/>
                <w:b/>
                <w:bCs/>
                <w:color w:val="000000"/>
              </w:rPr>
            </w:pPr>
            <w:r w:rsidRPr="000F2BD3">
              <w:rPr>
                <w:rFonts w:eastAsia="等线"/>
                <w:b/>
                <w:bCs/>
                <w:color w:val="000000"/>
              </w:rPr>
              <w:t>2080‒2099</w:t>
            </w:r>
            <w:r>
              <w:rPr>
                <w:rFonts w:eastAsia="等线" w:hint="eastAsia"/>
                <w:b/>
                <w:bCs/>
                <w:color w:val="000000"/>
              </w:rPr>
              <w:t>*</w:t>
            </w:r>
          </w:p>
        </w:tc>
        <w:tc>
          <w:tcPr>
            <w:tcW w:w="1047" w:type="dxa"/>
            <w:tcBorders>
              <w:top w:val="single" w:sz="12" w:space="0" w:color="auto"/>
              <w:bottom w:val="single" w:sz="8" w:space="0" w:color="auto"/>
            </w:tcBorders>
          </w:tcPr>
          <w:p w14:paraId="65774621" w14:textId="77777777" w:rsidR="00EF17E8" w:rsidRPr="000F2BD3" w:rsidRDefault="00EF17E8" w:rsidP="00857310">
            <w:pPr>
              <w:rPr>
                <w:rFonts w:eastAsia="等线"/>
                <w:b/>
                <w:bCs/>
                <w:color w:val="000000"/>
              </w:rPr>
            </w:pPr>
            <w:r w:rsidRPr="000F2BD3">
              <w:rPr>
                <w:rFonts w:eastAsia="等线"/>
                <w:b/>
                <w:bCs/>
                <w:color w:val="000000"/>
              </w:rPr>
              <w:t>Diff</w:t>
            </w:r>
            <w:r>
              <w:rPr>
                <w:rFonts w:eastAsia="等线" w:hint="eastAsia"/>
                <w:b/>
                <w:bCs/>
                <w:color w:val="000000"/>
              </w:rPr>
              <w:t>*</w:t>
            </w:r>
          </w:p>
        </w:tc>
      </w:tr>
      <w:tr w:rsidR="00EF17E8" w:rsidRPr="000F2BD3" w14:paraId="6B54BC48" w14:textId="77777777" w:rsidTr="00857310">
        <w:tc>
          <w:tcPr>
            <w:tcW w:w="1463" w:type="dxa"/>
            <w:tcBorders>
              <w:top w:val="single" w:sz="8" w:space="0" w:color="auto"/>
            </w:tcBorders>
          </w:tcPr>
          <w:p w14:paraId="0875478E" w14:textId="77777777" w:rsidR="00EF17E8" w:rsidRPr="000F2BD3" w:rsidRDefault="00EF17E8" w:rsidP="00857310">
            <w:r w:rsidRPr="000F2BD3">
              <w:t>bcc-csm1-1</w:t>
            </w:r>
          </w:p>
        </w:tc>
        <w:tc>
          <w:tcPr>
            <w:tcW w:w="1222" w:type="dxa"/>
            <w:tcBorders>
              <w:top w:val="single" w:sz="8" w:space="0" w:color="auto"/>
            </w:tcBorders>
          </w:tcPr>
          <w:p w14:paraId="1646B4D5" w14:textId="77777777" w:rsidR="00EF17E8" w:rsidRPr="000F2BD3" w:rsidRDefault="00EF17E8" w:rsidP="00857310">
            <w:r w:rsidRPr="000F2BD3">
              <w:t xml:space="preserve">13.72 </w:t>
            </w:r>
          </w:p>
        </w:tc>
        <w:tc>
          <w:tcPr>
            <w:tcW w:w="1222" w:type="dxa"/>
            <w:tcBorders>
              <w:top w:val="single" w:sz="8" w:space="0" w:color="auto"/>
            </w:tcBorders>
          </w:tcPr>
          <w:p w14:paraId="3194033B" w14:textId="77777777" w:rsidR="00EF17E8" w:rsidRPr="000F2BD3" w:rsidRDefault="00EF17E8" w:rsidP="00857310">
            <w:r w:rsidRPr="000F2BD3">
              <w:t xml:space="preserve">11.79 </w:t>
            </w:r>
          </w:p>
        </w:tc>
        <w:tc>
          <w:tcPr>
            <w:tcW w:w="914" w:type="dxa"/>
            <w:tcBorders>
              <w:top w:val="single" w:sz="8" w:space="0" w:color="auto"/>
            </w:tcBorders>
          </w:tcPr>
          <w:p w14:paraId="164CBC96" w14:textId="77777777" w:rsidR="00EF17E8" w:rsidRPr="000F2BD3" w:rsidRDefault="00EF17E8" w:rsidP="00857310">
            <w:pPr>
              <w:rPr>
                <w:rFonts w:eastAsia="等线"/>
                <w:color w:val="000000"/>
              </w:rPr>
            </w:pPr>
            <w:r w:rsidRPr="000F2BD3">
              <w:t xml:space="preserve">-1.93 </w:t>
            </w:r>
          </w:p>
        </w:tc>
        <w:tc>
          <w:tcPr>
            <w:tcW w:w="1222" w:type="dxa"/>
            <w:tcBorders>
              <w:top w:val="single" w:sz="8" w:space="0" w:color="auto"/>
            </w:tcBorders>
          </w:tcPr>
          <w:p w14:paraId="18EB8B47" w14:textId="77777777" w:rsidR="00EF17E8" w:rsidRPr="000F2BD3" w:rsidRDefault="00EF17E8" w:rsidP="00857310">
            <w:r w:rsidRPr="000F2BD3">
              <w:t xml:space="preserve">15.34 </w:t>
            </w:r>
          </w:p>
        </w:tc>
        <w:tc>
          <w:tcPr>
            <w:tcW w:w="1222" w:type="dxa"/>
            <w:tcBorders>
              <w:top w:val="single" w:sz="8" w:space="0" w:color="auto"/>
            </w:tcBorders>
          </w:tcPr>
          <w:p w14:paraId="1F4AF2E5" w14:textId="77777777" w:rsidR="00EF17E8" w:rsidRPr="000F2BD3" w:rsidRDefault="00EF17E8" w:rsidP="00857310">
            <w:r w:rsidRPr="000F2BD3">
              <w:t xml:space="preserve">19.12 </w:t>
            </w:r>
          </w:p>
        </w:tc>
        <w:tc>
          <w:tcPr>
            <w:tcW w:w="1047" w:type="dxa"/>
            <w:tcBorders>
              <w:top w:val="single" w:sz="8" w:space="0" w:color="auto"/>
            </w:tcBorders>
          </w:tcPr>
          <w:p w14:paraId="1954F557" w14:textId="77777777" w:rsidR="00EF17E8" w:rsidRPr="000F2BD3" w:rsidRDefault="00EF17E8" w:rsidP="00857310">
            <w:pPr>
              <w:rPr>
                <w:rFonts w:eastAsia="等线"/>
                <w:color w:val="000000"/>
              </w:rPr>
            </w:pPr>
            <w:r w:rsidRPr="000F2BD3">
              <w:t xml:space="preserve">3.77 </w:t>
            </w:r>
          </w:p>
        </w:tc>
      </w:tr>
      <w:tr w:rsidR="00EF17E8" w:rsidRPr="000F2BD3" w14:paraId="3FC54CFF" w14:textId="77777777" w:rsidTr="00857310">
        <w:tc>
          <w:tcPr>
            <w:tcW w:w="1463" w:type="dxa"/>
          </w:tcPr>
          <w:p w14:paraId="2CC80068" w14:textId="77777777" w:rsidR="00EF17E8" w:rsidRPr="000F2BD3" w:rsidRDefault="00EF17E8" w:rsidP="00857310">
            <w:r w:rsidRPr="000F2BD3">
              <w:t>BNU-ESM</w:t>
            </w:r>
          </w:p>
        </w:tc>
        <w:tc>
          <w:tcPr>
            <w:tcW w:w="1222" w:type="dxa"/>
          </w:tcPr>
          <w:p w14:paraId="0FC45F24" w14:textId="77777777" w:rsidR="00EF17E8" w:rsidRPr="000F2BD3" w:rsidRDefault="00EF17E8" w:rsidP="00857310">
            <w:r w:rsidRPr="000F2BD3">
              <w:t xml:space="preserve">10.71 </w:t>
            </w:r>
          </w:p>
        </w:tc>
        <w:tc>
          <w:tcPr>
            <w:tcW w:w="1222" w:type="dxa"/>
          </w:tcPr>
          <w:p w14:paraId="7B8294E2" w14:textId="77777777" w:rsidR="00EF17E8" w:rsidRPr="000F2BD3" w:rsidRDefault="00EF17E8" w:rsidP="00857310">
            <w:r w:rsidRPr="000F2BD3">
              <w:t xml:space="preserve">12.04 </w:t>
            </w:r>
          </w:p>
        </w:tc>
        <w:tc>
          <w:tcPr>
            <w:tcW w:w="914" w:type="dxa"/>
          </w:tcPr>
          <w:p w14:paraId="5B9693C4" w14:textId="77777777" w:rsidR="00EF17E8" w:rsidRPr="000F2BD3" w:rsidRDefault="00EF17E8" w:rsidP="00857310">
            <w:pPr>
              <w:rPr>
                <w:rFonts w:eastAsia="等线"/>
                <w:color w:val="000000"/>
              </w:rPr>
            </w:pPr>
            <w:r w:rsidRPr="000F2BD3">
              <w:t xml:space="preserve">1.33 </w:t>
            </w:r>
          </w:p>
        </w:tc>
        <w:tc>
          <w:tcPr>
            <w:tcW w:w="1222" w:type="dxa"/>
          </w:tcPr>
          <w:p w14:paraId="3AAFB52C" w14:textId="77777777" w:rsidR="00EF17E8" w:rsidRPr="000F2BD3" w:rsidRDefault="00EF17E8" w:rsidP="00857310">
            <w:r w:rsidRPr="000F2BD3">
              <w:t xml:space="preserve">10.78 </w:t>
            </w:r>
          </w:p>
        </w:tc>
        <w:tc>
          <w:tcPr>
            <w:tcW w:w="1222" w:type="dxa"/>
          </w:tcPr>
          <w:p w14:paraId="01C63334" w14:textId="77777777" w:rsidR="00EF17E8" w:rsidRPr="000F2BD3" w:rsidRDefault="00EF17E8" w:rsidP="00857310">
            <w:r w:rsidRPr="000F2BD3">
              <w:t xml:space="preserve">20.74 </w:t>
            </w:r>
          </w:p>
        </w:tc>
        <w:tc>
          <w:tcPr>
            <w:tcW w:w="1047" w:type="dxa"/>
          </w:tcPr>
          <w:p w14:paraId="2BA6F9AE" w14:textId="77777777" w:rsidR="00EF17E8" w:rsidRPr="000F2BD3" w:rsidRDefault="00EF17E8" w:rsidP="00857310">
            <w:pPr>
              <w:rPr>
                <w:rFonts w:eastAsia="等线"/>
                <w:color w:val="000000"/>
              </w:rPr>
            </w:pPr>
            <w:r w:rsidRPr="000F2BD3">
              <w:t xml:space="preserve">9.96 </w:t>
            </w:r>
          </w:p>
        </w:tc>
      </w:tr>
      <w:tr w:rsidR="00EF17E8" w:rsidRPr="000F2BD3" w14:paraId="77C5B70D" w14:textId="77777777" w:rsidTr="00857310">
        <w:tc>
          <w:tcPr>
            <w:tcW w:w="1463" w:type="dxa"/>
          </w:tcPr>
          <w:p w14:paraId="0F27B9BE" w14:textId="77777777" w:rsidR="00EF17E8" w:rsidRPr="000F2BD3" w:rsidRDefault="00EF17E8" w:rsidP="00857310">
            <w:r w:rsidRPr="000F2BD3">
              <w:t>MIROC-ESM</w:t>
            </w:r>
          </w:p>
        </w:tc>
        <w:tc>
          <w:tcPr>
            <w:tcW w:w="1222" w:type="dxa"/>
          </w:tcPr>
          <w:p w14:paraId="020D5F1B" w14:textId="77777777" w:rsidR="00EF17E8" w:rsidRPr="000F2BD3" w:rsidRDefault="00EF17E8" w:rsidP="00857310">
            <w:r w:rsidRPr="000F2BD3">
              <w:t xml:space="preserve">11.49 </w:t>
            </w:r>
          </w:p>
        </w:tc>
        <w:tc>
          <w:tcPr>
            <w:tcW w:w="1222" w:type="dxa"/>
          </w:tcPr>
          <w:p w14:paraId="5606414F" w14:textId="77777777" w:rsidR="00EF17E8" w:rsidRPr="000F2BD3" w:rsidRDefault="00EF17E8" w:rsidP="00857310">
            <w:r w:rsidRPr="000F2BD3">
              <w:t xml:space="preserve">10.41 </w:t>
            </w:r>
          </w:p>
        </w:tc>
        <w:tc>
          <w:tcPr>
            <w:tcW w:w="914" w:type="dxa"/>
          </w:tcPr>
          <w:p w14:paraId="49045DE0" w14:textId="77777777" w:rsidR="00EF17E8" w:rsidRPr="000F2BD3" w:rsidRDefault="00EF17E8" w:rsidP="00857310">
            <w:pPr>
              <w:rPr>
                <w:rFonts w:eastAsia="等线"/>
                <w:color w:val="000000"/>
              </w:rPr>
            </w:pPr>
            <w:r w:rsidRPr="000F2BD3">
              <w:t xml:space="preserve">-1.08 </w:t>
            </w:r>
          </w:p>
        </w:tc>
        <w:tc>
          <w:tcPr>
            <w:tcW w:w="1222" w:type="dxa"/>
          </w:tcPr>
          <w:p w14:paraId="4792339D" w14:textId="77777777" w:rsidR="00EF17E8" w:rsidRPr="000F2BD3" w:rsidRDefault="00EF17E8" w:rsidP="00857310">
            <w:r w:rsidRPr="000F2BD3">
              <w:t xml:space="preserve">12.12 </w:t>
            </w:r>
          </w:p>
        </w:tc>
        <w:tc>
          <w:tcPr>
            <w:tcW w:w="1222" w:type="dxa"/>
          </w:tcPr>
          <w:p w14:paraId="4ED2F4B0" w14:textId="77777777" w:rsidR="00EF17E8" w:rsidRPr="000F2BD3" w:rsidRDefault="00EF17E8" w:rsidP="00857310">
            <w:r w:rsidRPr="000F2BD3">
              <w:t xml:space="preserve">17.70 </w:t>
            </w:r>
          </w:p>
        </w:tc>
        <w:tc>
          <w:tcPr>
            <w:tcW w:w="1047" w:type="dxa"/>
          </w:tcPr>
          <w:p w14:paraId="0E01D7EF" w14:textId="77777777" w:rsidR="00EF17E8" w:rsidRPr="000F2BD3" w:rsidRDefault="00EF17E8" w:rsidP="00857310">
            <w:pPr>
              <w:rPr>
                <w:rFonts w:eastAsia="等线"/>
                <w:color w:val="000000"/>
              </w:rPr>
            </w:pPr>
            <w:r w:rsidRPr="000F2BD3">
              <w:t xml:space="preserve">5.58 </w:t>
            </w:r>
          </w:p>
        </w:tc>
      </w:tr>
      <w:tr w:rsidR="00EF17E8" w:rsidRPr="000F2BD3" w14:paraId="23057CD3" w14:textId="77777777" w:rsidTr="00857310">
        <w:tc>
          <w:tcPr>
            <w:tcW w:w="1463" w:type="dxa"/>
          </w:tcPr>
          <w:p w14:paraId="770C55A5" w14:textId="77777777" w:rsidR="00EF17E8" w:rsidRPr="000F2BD3" w:rsidRDefault="00EF17E8" w:rsidP="00857310">
            <w:r w:rsidRPr="000F2BD3">
              <w:t>MIROC-ESM-CHEM</w:t>
            </w:r>
          </w:p>
        </w:tc>
        <w:tc>
          <w:tcPr>
            <w:tcW w:w="1222" w:type="dxa"/>
          </w:tcPr>
          <w:p w14:paraId="2F3E98BF" w14:textId="77777777" w:rsidR="00EF17E8" w:rsidRPr="000F2BD3" w:rsidRDefault="00EF17E8" w:rsidP="00857310">
            <w:r w:rsidRPr="000F2BD3">
              <w:t xml:space="preserve">13.61 </w:t>
            </w:r>
          </w:p>
        </w:tc>
        <w:tc>
          <w:tcPr>
            <w:tcW w:w="1222" w:type="dxa"/>
          </w:tcPr>
          <w:p w14:paraId="0F76B054" w14:textId="77777777" w:rsidR="00EF17E8" w:rsidRPr="000F2BD3" w:rsidRDefault="00EF17E8" w:rsidP="00857310">
            <w:r w:rsidRPr="000F2BD3">
              <w:t xml:space="preserve">10.35 </w:t>
            </w:r>
          </w:p>
        </w:tc>
        <w:tc>
          <w:tcPr>
            <w:tcW w:w="914" w:type="dxa"/>
          </w:tcPr>
          <w:p w14:paraId="5757514B" w14:textId="77777777" w:rsidR="00EF17E8" w:rsidRPr="000F2BD3" w:rsidRDefault="00EF17E8" w:rsidP="00857310">
            <w:pPr>
              <w:rPr>
                <w:rFonts w:eastAsia="等线"/>
                <w:color w:val="000000"/>
              </w:rPr>
            </w:pPr>
            <w:r w:rsidRPr="000F2BD3">
              <w:t xml:space="preserve">-3.26 </w:t>
            </w:r>
          </w:p>
        </w:tc>
        <w:tc>
          <w:tcPr>
            <w:tcW w:w="1222" w:type="dxa"/>
          </w:tcPr>
          <w:p w14:paraId="4BD68EB9" w14:textId="77777777" w:rsidR="00EF17E8" w:rsidRPr="000F2BD3" w:rsidRDefault="00EF17E8" w:rsidP="00857310">
            <w:r w:rsidRPr="000F2BD3">
              <w:t xml:space="preserve">16.65 </w:t>
            </w:r>
          </w:p>
        </w:tc>
        <w:tc>
          <w:tcPr>
            <w:tcW w:w="1222" w:type="dxa"/>
          </w:tcPr>
          <w:p w14:paraId="012E3F4E" w14:textId="77777777" w:rsidR="00EF17E8" w:rsidRPr="000F2BD3" w:rsidRDefault="00EF17E8" w:rsidP="00857310">
            <w:r w:rsidRPr="000F2BD3">
              <w:t xml:space="preserve">17.78 </w:t>
            </w:r>
          </w:p>
        </w:tc>
        <w:tc>
          <w:tcPr>
            <w:tcW w:w="1047" w:type="dxa"/>
          </w:tcPr>
          <w:p w14:paraId="663F3C9F" w14:textId="77777777" w:rsidR="00EF17E8" w:rsidRPr="000F2BD3" w:rsidRDefault="00EF17E8" w:rsidP="00857310">
            <w:pPr>
              <w:rPr>
                <w:rFonts w:eastAsia="等线"/>
                <w:color w:val="000000"/>
              </w:rPr>
            </w:pPr>
            <w:r w:rsidRPr="000F2BD3">
              <w:t xml:space="preserve">1.13 </w:t>
            </w:r>
          </w:p>
        </w:tc>
      </w:tr>
      <w:tr w:rsidR="00EF17E8" w:rsidRPr="000F2BD3" w14:paraId="5025F499" w14:textId="77777777" w:rsidTr="00857310">
        <w:tc>
          <w:tcPr>
            <w:tcW w:w="1463" w:type="dxa"/>
          </w:tcPr>
          <w:p w14:paraId="24928086" w14:textId="77777777" w:rsidR="00EF17E8" w:rsidRPr="000F2BD3" w:rsidRDefault="00EF17E8" w:rsidP="00857310">
            <w:r w:rsidRPr="000F2BD3">
              <w:t>NorESM1-M</w:t>
            </w:r>
          </w:p>
        </w:tc>
        <w:tc>
          <w:tcPr>
            <w:tcW w:w="1222" w:type="dxa"/>
          </w:tcPr>
          <w:p w14:paraId="23594E4D" w14:textId="77777777" w:rsidR="00EF17E8" w:rsidRPr="000F2BD3" w:rsidRDefault="00EF17E8" w:rsidP="00857310">
            <w:r w:rsidRPr="000F2BD3">
              <w:t xml:space="preserve">13.59 </w:t>
            </w:r>
          </w:p>
        </w:tc>
        <w:tc>
          <w:tcPr>
            <w:tcW w:w="1222" w:type="dxa"/>
          </w:tcPr>
          <w:p w14:paraId="341DAD99" w14:textId="77777777" w:rsidR="00EF17E8" w:rsidRPr="000F2BD3" w:rsidRDefault="00EF17E8" w:rsidP="00857310">
            <w:r w:rsidRPr="000F2BD3">
              <w:t xml:space="preserve">13.87 </w:t>
            </w:r>
          </w:p>
        </w:tc>
        <w:tc>
          <w:tcPr>
            <w:tcW w:w="914" w:type="dxa"/>
          </w:tcPr>
          <w:p w14:paraId="7199A750" w14:textId="77777777" w:rsidR="00EF17E8" w:rsidRPr="000F2BD3" w:rsidRDefault="00EF17E8" w:rsidP="00857310">
            <w:pPr>
              <w:rPr>
                <w:rFonts w:eastAsia="等线"/>
                <w:color w:val="000000"/>
              </w:rPr>
            </w:pPr>
            <w:r w:rsidRPr="000F2BD3">
              <w:t xml:space="preserve">0.28 </w:t>
            </w:r>
          </w:p>
        </w:tc>
        <w:tc>
          <w:tcPr>
            <w:tcW w:w="1222" w:type="dxa"/>
          </w:tcPr>
          <w:p w14:paraId="2EB49502" w14:textId="77777777" w:rsidR="00EF17E8" w:rsidRPr="000F2BD3" w:rsidRDefault="00EF17E8" w:rsidP="00857310">
            <w:r w:rsidRPr="000F2BD3">
              <w:t xml:space="preserve">16.05 </w:t>
            </w:r>
          </w:p>
        </w:tc>
        <w:tc>
          <w:tcPr>
            <w:tcW w:w="1222" w:type="dxa"/>
          </w:tcPr>
          <w:p w14:paraId="60C54BC3" w14:textId="77777777" w:rsidR="00EF17E8" w:rsidRPr="000F2BD3" w:rsidRDefault="00EF17E8" w:rsidP="00857310">
            <w:r w:rsidRPr="000F2BD3">
              <w:t xml:space="preserve">23.85 </w:t>
            </w:r>
          </w:p>
        </w:tc>
        <w:tc>
          <w:tcPr>
            <w:tcW w:w="1047" w:type="dxa"/>
          </w:tcPr>
          <w:p w14:paraId="0BF8501C" w14:textId="77777777" w:rsidR="00EF17E8" w:rsidRPr="000F2BD3" w:rsidRDefault="00EF17E8" w:rsidP="00857310">
            <w:pPr>
              <w:rPr>
                <w:rFonts w:eastAsia="等线"/>
                <w:color w:val="000000"/>
              </w:rPr>
            </w:pPr>
            <w:r w:rsidRPr="000F2BD3">
              <w:t xml:space="preserve">7.80 </w:t>
            </w:r>
          </w:p>
        </w:tc>
      </w:tr>
      <w:tr w:rsidR="00EF17E8" w:rsidRPr="000F2BD3" w14:paraId="08CFC0A9" w14:textId="77777777" w:rsidTr="00857310">
        <w:tc>
          <w:tcPr>
            <w:tcW w:w="1463" w:type="dxa"/>
          </w:tcPr>
          <w:p w14:paraId="5B2574C9" w14:textId="77777777" w:rsidR="00EF17E8" w:rsidRPr="000F2BD3" w:rsidRDefault="00EF17E8" w:rsidP="00857310">
            <w:r w:rsidRPr="000F2BD3">
              <w:t>MME</w:t>
            </w:r>
          </w:p>
        </w:tc>
        <w:tc>
          <w:tcPr>
            <w:tcW w:w="1222" w:type="dxa"/>
          </w:tcPr>
          <w:p w14:paraId="46FE2FBE" w14:textId="77777777" w:rsidR="00EF17E8" w:rsidRPr="000F2BD3" w:rsidRDefault="00EF17E8" w:rsidP="00857310">
            <w:r w:rsidRPr="000F2BD3">
              <w:t xml:space="preserve">12.63 </w:t>
            </w:r>
          </w:p>
        </w:tc>
        <w:tc>
          <w:tcPr>
            <w:tcW w:w="1222" w:type="dxa"/>
          </w:tcPr>
          <w:p w14:paraId="207A5501" w14:textId="77777777" w:rsidR="00EF17E8" w:rsidRPr="000F2BD3" w:rsidRDefault="00EF17E8" w:rsidP="00857310">
            <w:r w:rsidRPr="000F2BD3">
              <w:t xml:space="preserve">11.69 </w:t>
            </w:r>
          </w:p>
        </w:tc>
        <w:tc>
          <w:tcPr>
            <w:tcW w:w="914" w:type="dxa"/>
          </w:tcPr>
          <w:p w14:paraId="101BDE0F" w14:textId="77777777" w:rsidR="00EF17E8" w:rsidRPr="000F2BD3" w:rsidRDefault="00EF17E8" w:rsidP="00857310">
            <w:pPr>
              <w:rPr>
                <w:rFonts w:eastAsia="等线"/>
                <w:color w:val="000000"/>
              </w:rPr>
            </w:pPr>
            <w:r w:rsidRPr="000F2BD3">
              <w:t xml:space="preserve">-0.93 </w:t>
            </w:r>
          </w:p>
        </w:tc>
        <w:tc>
          <w:tcPr>
            <w:tcW w:w="1222" w:type="dxa"/>
          </w:tcPr>
          <w:p w14:paraId="18229EFF" w14:textId="77777777" w:rsidR="00EF17E8" w:rsidRPr="000F2BD3" w:rsidRDefault="00EF17E8" w:rsidP="00857310">
            <w:r w:rsidRPr="000F2BD3">
              <w:t xml:space="preserve">14.19 </w:t>
            </w:r>
          </w:p>
        </w:tc>
        <w:tc>
          <w:tcPr>
            <w:tcW w:w="1222" w:type="dxa"/>
          </w:tcPr>
          <w:p w14:paraId="033A634C" w14:textId="77777777" w:rsidR="00EF17E8" w:rsidRPr="000F2BD3" w:rsidRDefault="00EF17E8" w:rsidP="00857310">
            <w:r w:rsidRPr="000F2BD3">
              <w:t xml:space="preserve">19.84 </w:t>
            </w:r>
          </w:p>
        </w:tc>
        <w:tc>
          <w:tcPr>
            <w:tcW w:w="1047" w:type="dxa"/>
          </w:tcPr>
          <w:p w14:paraId="72001919" w14:textId="77777777" w:rsidR="00EF17E8" w:rsidRPr="000F2BD3" w:rsidRDefault="00EF17E8" w:rsidP="00857310">
            <w:pPr>
              <w:rPr>
                <w:rFonts w:eastAsia="等线"/>
                <w:color w:val="000000"/>
              </w:rPr>
            </w:pPr>
            <w:r w:rsidRPr="000F2BD3">
              <w:t xml:space="preserve">5.65 </w:t>
            </w:r>
          </w:p>
        </w:tc>
      </w:tr>
      <w:tr w:rsidR="00EF17E8" w:rsidRPr="000F2BD3" w14:paraId="0CF70EB3" w14:textId="77777777" w:rsidTr="00857310">
        <w:tc>
          <w:tcPr>
            <w:tcW w:w="1463" w:type="dxa"/>
          </w:tcPr>
          <w:p w14:paraId="251EBF14" w14:textId="77777777" w:rsidR="00EF17E8" w:rsidRPr="000F2BD3" w:rsidRDefault="00EF17E8" w:rsidP="00857310">
            <w:r w:rsidRPr="000F2BD3">
              <w:t>MME-14.92</w:t>
            </w:r>
          </w:p>
        </w:tc>
        <w:tc>
          <w:tcPr>
            <w:tcW w:w="1222" w:type="dxa"/>
          </w:tcPr>
          <w:p w14:paraId="27953823" w14:textId="77777777" w:rsidR="00EF17E8" w:rsidRPr="000F2BD3" w:rsidRDefault="00EF17E8" w:rsidP="00857310">
            <w:pPr>
              <w:rPr>
                <w:rFonts w:eastAsia="等线"/>
                <w:color w:val="000000"/>
              </w:rPr>
            </w:pPr>
            <w:r w:rsidRPr="000F2BD3">
              <w:t xml:space="preserve">-2.29 </w:t>
            </w:r>
          </w:p>
        </w:tc>
        <w:tc>
          <w:tcPr>
            <w:tcW w:w="1222" w:type="dxa"/>
          </w:tcPr>
          <w:p w14:paraId="22975056" w14:textId="77777777" w:rsidR="00EF17E8" w:rsidRPr="000F2BD3" w:rsidRDefault="00EF17E8" w:rsidP="00857310">
            <w:pPr>
              <w:rPr>
                <w:rFonts w:eastAsia="等线"/>
                <w:color w:val="000000"/>
              </w:rPr>
            </w:pPr>
            <w:r w:rsidRPr="000F2BD3">
              <w:t xml:space="preserve">-3.23 </w:t>
            </w:r>
          </w:p>
        </w:tc>
        <w:tc>
          <w:tcPr>
            <w:tcW w:w="914" w:type="dxa"/>
          </w:tcPr>
          <w:p w14:paraId="21F1C0DF" w14:textId="77777777" w:rsidR="00EF17E8" w:rsidRPr="000F2BD3" w:rsidRDefault="00EF17E8" w:rsidP="00857310">
            <w:pPr>
              <w:rPr>
                <w:rFonts w:eastAsia="等线"/>
                <w:color w:val="000000"/>
              </w:rPr>
            </w:pPr>
          </w:p>
        </w:tc>
        <w:tc>
          <w:tcPr>
            <w:tcW w:w="1222" w:type="dxa"/>
          </w:tcPr>
          <w:p w14:paraId="5280E561" w14:textId="77777777" w:rsidR="00EF17E8" w:rsidRPr="000F2BD3" w:rsidRDefault="00EF17E8" w:rsidP="00857310">
            <w:pPr>
              <w:rPr>
                <w:rFonts w:eastAsia="等线"/>
                <w:color w:val="000000"/>
              </w:rPr>
            </w:pPr>
            <w:r w:rsidRPr="000F2BD3">
              <w:t xml:space="preserve">-0.73 </w:t>
            </w:r>
          </w:p>
        </w:tc>
        <w:tc>
          <w:tcPr>
            <w:tcW w:w="1222" w:type="dxa"/>
          </w:tcPr>
          <w:p w14:paraId="35ECA72F" w14:textId="77777777" w:rsidR="00EF17E8" w:rsidRPr="000F2BD3" w:rsidRDefault="00EF17E8" w:rsidP="00857310">
            <w:pPr>
              <w:rPr>
                <w:rFonts w:eastAsia="等线"/>
                <w:color w:val="000000"/>
              </w:rPr>
            </w:pPr>
            <w:r w:rsidRPr="000F2BD3">
              <w:t xml:space="preserve">4.92 </w:t>
            </w:r>
          </w:p>
        </w:tc>
        <w:tc>
          <w:tcPr>
            <w:tcW w:w="1047" w:type="dxa"/>
          </w:tcPr>
          <w:p w14:paraId="52D693F5" w14:textId="77777777" w:rsidR="00EF17E8" w:rsidRPr="000F2BD3" w:rsidRDefault="00EF17E8" w:rsidP="00857310">
            <w:pPr>
              <w:rPr>
                <w:rFonts w:eastAsia="等线"/>
                <w:color w:val="000000"/>
              </w:rPr>
            </w:pPr>
          </w:p>
        </w:tc>
      </w:tr>
    </w:tbl>
    <w:p w14:paraId="7CFBA3B1" w14:textId="77777777" w:rsidR="00EF17E8" w:rsidRPr="000F2BD3" w:rsidRDefault="00EF17E8" w:rsidP="00EF17E8"/>
    <w:p w14:paraId="5CC3C61E" w14:textId="77777777" w:rsidR="00EF17E8" w:rsidRPr="000F2BD3" w:rsidRDefault="00EF17E8" w:rsidP="00EF17E8"/>
    <w:p w14:paraId="5D9460D0" w14:textId="77777777" w:rsidR="00EF17E8" w:rsidRPr="000F2BD3" w:rsidRDefault="00EF17E8" w:rsidP="00EF17E8"/>
    <w:p w14:paraId="2052E554" w14:textId="77777777" w:rsidR="00EF17E8" w:rsidRPr="000F2BD3" w:rsidRDefault="00EF17E8" w:rsidP="00EF17E8">
      <w:r w:rsidRPr="000F2BD3">
        <w:rPr>
          <w:b/>
          <w:bCs/>
          <w:color w:val="231F20"/>
        </w:rPr>
        <w:t xml:space="preserve">Table S4. </w:t>
      </w:r>
      <w:r w:rsidRPr="000F2BD3">
        <w:t xml:space="preserve">The frequency of drought </w:t>
      </w:r>
      <w:r w:rsidRPr="000F2BD3">
        <w:rPr>
          <w:color w:val="231F20"/>
        </w:rPr>
        <w:t>events</w:t>
      </w:r>
      <w:r w:rsidRPr="000F2BD3">
        <w:t xml:space="preserve"> during the periods 2030‒2049 and 2080‒2099.</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gridCol w:w="1660"/>
      </w:tblGrid>
      <w:tr w:rsidR="00EF17E8" w:rsidRPr="000F2BD3" w14:paraId="752DB673" w14:textId="77777777" w:rsidTr="00857310">
        <w:trPr>
          <w:trHeight w:val="176"/>
        </w:trPr>
        <w:tc>
          <w:tcPr>
            <w:tcW w:w="1659" w:type="dxa"/>
            <w:vMerge w:val="restart"/>
            <w:tcBorders>
              <w:top w:val="single" w:sz="12" w:space="0" w:color="auto"/>
              <w:bottom w:val="nil"/>
            </w:tcBorders>
          </w:tcPr>
          <w:p w14:paraId="27349239" w14:textId="77777777" w:rsidR="00EF17E8" w:rsidRPr="000F2BD3" w:rsidRDefault="00EF17E8" w:rsidP="00857310"/>
        </w:tc>
        <w:tc>
          <w:tcPr>
            <w:tcW w:w="1659" w:type="dxa"/>
            <w:vMerge w:val="restart"/>
            <w:tcBorders>
              <w:top w:val="single" w:sz="12" w:space="0" w:color="auto"/>
              <w:bottom w:val="nil"/>
            </w:tcBorders>
            <w:vAlign w:val="center"/>
          </w:tcPr>
          <w:p w14:paraId="26DA4BDB" w14:textId="77777777" w:rsidR="00EF17E8" w:rsidRPr="000F2BD3" w:rsidRDefault="00EF17E8" w:rsidP="00857310">
            <w:pPr>
              <w:rPr>
                <w:rFonts w:eastAsia="等线"/>
                <w:b/>
                <w:bCs/>
                <w:color w:val="000000"/>
              </w:rPr>
            </w:pPr>
            <w:r w:rsidRPr="000F2BD3">
              <w:rPr>
                <w:rFonts w:eastAsia="等线"/>
                <w:b/>
                <w:bCs/>
                <w:color w:val="000000"/>
              </w:rPr>
              <w:t>2030-2049</w:t>
            </w:r>
          </w:p>
        </w:tc>
        <w:tc>
          <w:tcPr>
            <w:tcW w:w="1659" w:type="dxa"/>
            <w:vMerge w:val="restart"/>
            <w:tcBorders>
              <w:top w:val="single" w:sz="12" w:space="0" w:color="auto"/>
              <w:bottom w:val="nil"/>
            </w:tcBorders>
            <w:vAlign w:val="center"/>
          </w:tcPr>
          <w:p w14:paraId="1F9CDE69" w14:textId="77777777" w:rsidR="00EF17E8" w:rsidRPr="000F2BD3" w:rsidRDefault="00EF17E8" w:rsidP="00857310">
            <w:pPr>
              <w:rPr>
                <w:rFonts w:eastAsia="等线"/>
                <w:b/>
                <w:bCs/>
                <w:color w:val="000000"/>
              </w:rPr>
            </w:pPr>
            <w:r w:rsidRPr="000F2BD3">
              <w:rPr>
                <w:rFonts w:eastAsia="等线"/>
                <w:b/>
                <w:bCs/>
                <w:color w:val="000000"/>
              </w:rPr>
              <w:t>2080-299</w:t>
            </w:r>
          </w:p>
        </w:tc>
        <w:tc>
          <w:tcPr>
            <w:tcW w:w="3319" w:type="dxa"/>
            <w:gridSpan w:val="2"/>
            <w:tcBorders>
              <w:top w:val="single" w:sz="12" w:space="0" w:color="auto"/>
              <w:bottom w:val="single" w:sz="12" w:space="0" w:color="auto"/>
            </w:tcBorders>
            <w:vAlign w:val="center"/>
          </w:tcPr>
          <w:p w14:paraId="600D316B" w14:textId="77777777" w:rsidR="00EF17E8" w:rsidRPr="000F2BD3" w:rsidRDefault="00EF17E8" w:rsidP="00857310">
            <w:pPr>
              <w:rPr>
                <w:rFonts w:eastAsia="等线"/>
                <w:b/>
                <w:bCs/>
                <w:color w:val="000000"/>
              </w:rPr>
            </w:pPr>
            <w:r w:rsidRPr="000F2BD3">
              <w:rPr>
                <w:rFonts w:eastAsia="等线"/>
                <w:b/>
                <w:bCs/>
                <w:color w:val="000000"/>
              </w:rPr>
              <w:t>Once every () year</w:t>
            </w:r>
          </w:p>
        </w:tc>
      </w:tr>
      <w:tr w:rsidR="00EF17E8" w:rsidRPr="000F2BD3" w14:paraId="44795903" w14:textId="77777777" w:rsidTr="00857310">
        <w:trPr>
          <w:trHeight w:val="176"/>
        </w:trPr>
        <w:tc>
          <w:tcPr>
            <w:tcW w:w="1659" w:type="dxa"/>
            <w:vMerge/>
            <w:tcBorders>
              <w:top w:val="nil"/>
              <w:bottom w:val="single" w:sz="12" w:space="0" w:color="auto"/>
            </w:tcBorders>
          </w:tcPr>
          <w:p w14:paraId="75BD5F26" w14:textId="77777777" w:rsidR="00EF17E8" w:rsidRPr="000F2BD3" w:rsidRDefault="00EF17E8" w:rsidP="00857310"/>
        </w:tc>
        <w:tc>
          <w:tcPr>
            <w:tcW w:w="1659" w:type="dxa"/>
            <w:vMerge/>
            <w:tcBorders>
              <w:top w:val="nil"/>
              <w:bottom w:val="single" w:sz="12" w:space="0" w:color="auto"/>
            </w:tcBorders>
            <w:vAlign w:val="center"/>
          </w:tcPr>
          <w:p w14:paraId="7CF81AEE" w14:textId="77777777" w:rsidR="00EF17E8" w:rsidRPr="000F2BD3" w:rsidRDefault="00EF17E8" w:rsidP="00857310">
            <w:pPr>
              <w:rPr>
                <w:rFonts w:eastAsia="等线"/>
                <w:b/>
                <w:bCs/>
                <w:color w:val="000000"/>
              </w:rPr>
            </w:pPr>
          </w:p>
        </w:tc>
        <w:tc>
          <w:tcPr>
            <w:tcW w:w="1659" w:type="dxa"/>
            <w:vMerge/>
            <w:tcBorders>
              <w:top w:val="nil"/>
              <w:bottom w:val="single" w:sz="12" w:space="0" w:color="auto"/>
            </w:tcBorders>
            <w:vAlign w:val="center"/>
          </w:tcPr>
          <w:p w14:paraId="552E0C7A" w14:textId="77777777" w:rsidR="00EF17E8" w:rsidRPr="000F2BD3" w:rsidRDefault="00EF17E8" w:rsidP="00857310">
            <w:pPr>
              <w:rPr>
                <w:rFonts w:eastAsia="等线"/>
                <w:b/>
                <w:bCs/>
                <w:color w:val="000000"/>
              </w:rPr>
            </w:pPr>
          </w:p>
        </w:tc>
        <w:tc>
          <w:tcPr>
            <w:tcW w:w="1659" w:type="dxa"/>
            <w:tcBorders>
              <w:top w:val="single" w:sz="12" w:space="0" w:color="auto"/>
              <w:bottom w:val="single" w:sz="12" w:space="0" w:color="auto"/>
            </w:tcBorders>
            <w:vAlign w:val="center"/>
          </w:tcPr>
          <w:p w14:paraId="62A19370" w14:textId="77777777" w:rsidR="00EF17E8" w:rsidRPr="000F2BD3" w:rsidRDefault="00EF17E8" w:rsidP="00857310">
            <w:pPr>
              <w:rPr>
                <w:rFonts w:eastAsia="等线"/>
                <w:b/>
                <w:bCs/>
                <w:color w:val="000000"/>
              </w:rPr>
            </w:pPr>
            <w:r w:rsidRPr="000F2BD3">
              <w:rPr>
                <w:rFonts w:eastAsia="等线"/>
                <w:b/>
                <w:bCs/>
                <w:color w:val="000000"/>
              </w:rPr>
              <w:t>2030-2049</w:t>
            </w:r>
          </w:p>
        </w:tc>
        <w:tc>
          <w:tcPr>
            <w:tcW w:w="1660" w:type="dxa"/>
            <w:tcBorders>
              <w:top w:val="single" w:sz="12" w:space="0" w:color="auto"/>
              <w:bottom w:val="single" w:sz="12" w:space="0" w:color="auto"/>
            </w:tcBorders>
            <w:vAlign w:val="center"/>
          </w:tcPr>
          <w:p w14:paraId="6BA217D6" w14:textId="77777777" w:rsidR="00EF17E8" w:rsidRPr="000F2BD3" w:rsidRDefault="00EF17E8" w:rsidP="00857310">
            <w:pPr>
              <w:rPr>
                <w:rFonts w:eastAsia="等线"/>
                <w:b/>
                <w:bCs/>
                <w:color w:val="000000"/>
              </w:rPr>
            </w:pPr>
            <w:r w:rsidRPr="000F2BD3">
              <w:rPr>
                <w:rFonts w:eastAsia="等线"/>
                <w:b/>
                <w:bCs/>
                <w:color w:val="000000"/>
              </w:rPr>
              <w:t>2080-2099</w:t>
            </w:r>
          </w:p>
        </w:tc>
      </w:tr>
      <w:tr w:rsidR="00EF17E8" w:rsidRPr="000F2BD3" w14:paraId="5AC3E5B3" w14:textId="77777777" w:rsidTr="00857310">
        <w:tc>
          <w:tcPr>
            <w:tcW w:w="1659" w:type="dxa"/>
            <w:tcBorders>
              <w:top w:val="single" w:sz="12" w:space="0" w:color="auto"/>
            </w:tcBorders>
          </w:tcPr>
          <w:p w14:paraId="7E58B40F" w14:textId="77777777" w:rsidR="00EF17E8" w:rsidRPr="000F2BD3" w:rsidRDefault="00EF17E8" w:rsidP="00857310">
            <w:r w:rsidRPr="000F2BD3">
              <w:t>SPEI&lt;-0.5</w:t>
            </w:r>
          </w:p>
        </w:tc>
        <w:tc>
          <w:tcPr>
            <w:tcW w:w="1659" w:type="dxa"/>
            <w:tcBorders>
              <w:top w:val="single" w:sz="12" w:space="0" w:color="auto"/>
            </w:tcBorders>
            <w:vAlign w:val="center"/>
          </w:tcPr>
          <w:p w14:paraId="2C0099D6" w14:textId="77777777" w:rsidR="00EF17E8" w:rsidRPr="000F2BD3" w:rsidRDefault="00EF17E8" w:rsidP="00857310">
            <w:r w:rsidRPr="000F2BD3">
              <w:rPr>
                <w:rFonts w:eastAsia="等线"/>
                <w:color w:val="000000"/>
              </w:rPr>
              <w:t>13</w:t>
            </w:r>
          </w:p>
        </w:tc>
        <w:tc>
          <w:tcPr>
            <w:tcW w:w="1659" w:type="dxa"/>
            <w:tcBorders>
              <w:top w:val="single" w:sz="12" w:space="0" w:color="auto"/>
            </w:tcBorders>
            <w:vAlign w:val="center"/>
          </w:tcPr>
          <w:p w14:paraId="2E1A8048" w14:textId="77777777" w:rsidR="00EF17E8" w:rsidRPr="000F2BD3" w:rsidRDefault="00EF17E8" w:rsidP="00857310">
            <w:r w:rsidRPr="000F2BD3">
              <w:rPr>
                <w:rFonts w:eastAsia="等线"/>
                <w:color w:val="000000"/>
              </w:rPr>
              <w:t>19</w:t>
            </w:r>
          </w:p>
        </w:tc>
        <w:tc>
          <w:tcPr>
            <w:tcW w:w="1659" w:type="dxa"/>
            <w:tcBorders>
              <w:top w:val="single" w:sz="12" w:space="0" w:color="auto"/>
            </w:tcBorders>
          </w:tcPr>
          <w:p w14:paraId="49B82651" w14:textId="77777777" w:rsidR="00EF17E8" w:rsidRPr="000F2BD3" w:rsidRDefault="00EF17E8" w:rsidP="00857310">
            <w:r w:rsidRPr="000F2BD3">
              <w:t xml:space="preserve">1.54 </w:t>
            </w:r>
          </w:p>
        </w:tc>
        <w:tc>
          <w:tcPr>
            <w:tcW w:w="1660" w:type="dxa"/>
            <w:tcBorders>
              <w:top w:val="single" w:sz="12" w:space="0" w:color="auto"/>
            </w:tcBorders>
          </w:tcPr>
          <w:p w14:paraId="38A2DB4D" w14:textId="77777777" w:rsidR="00EF17E8" w:rsidRPr="000F2BD3" w:rsidRDefault="00EF17E8" w:rsidP="00857310">
            <w:r w:rsidRPr="000F2BD3">
              <w:t xml:space="preserve">1.05 </w:t>
            </w:r>
          </w:p>
        </w:tc>
      </w:tr>
      <w:tr w:rsidR="00EF17E8" w:rsidRPr="000F2BD3" w14:paraId="011F6388" w14:textId="77777777" w:rsidTr="00857310">
        <w:tc>
          <w:tcPr>
            <w:tcW w:w="1659" w:type="dxa"/>
          </w:tcPr>
          <w:p w14:paraId="284FDDDE" w14:textId="77777777" w:rsidR="00EF17E8" w:rsidRPr="000F2BD3" w:rsidRDefault="00EF17E8" w:rsidP="00857310">
            <w:r w:rsidRPr="000F2BD3">
              <w:t>SPEI&lt;-1.0</w:t>
            </w:r>
          </w:p>
        </w:tc>
        <w:tc>
          <w:tcPr>
            <w:tcW w:w="1659" w:type="dxa"/>
            <w:vAlign w:val="center"/>
          </w:tcPr>
          <w:p w14:paraId="1AFF5F53" w14:textId="77777777" w:rsidR="00EF17E8" w:rsidRPr="000F2BD3" w:rsidRDefault="00EF17E8" w:rsidP="00857310">
            <w:r w:rsidRPr="000F2BD3">
              <w:rPr>
                <w:rFonts w:eastAsia="等线"/>
                <w:color w:val="000000"/>
              </w:rPr>
              <w:t>6</w:t>
            </w:r>
          </w:p>
        </w:tc>
        <w:tc>
          <w:tcPr>
            <w:tcW w:w="1659" w:type="dxa"/>
            <w:vAlign w:val="center"/>
          </w:tcPr>
          <w:p w14:paraId="51F8A62E" w14:textId="77777777" w:rsidR="00EF17E8" w:rsidRPr="000F2BD3" w:rsidRDefault="00EF17E8" w:rsidP="00857310">
            <w:r w:rsidRPr="000F2BD3">
              <w:rPr>
                <w:rFonts w:eastAsia="等线"/>
                <w:color w:val="000000"/>
              </w:rPr>
              <w:t>12</w:t>
            </w:r>
          </w:p>
        </w:tc>
        <w:tc>
          <w:tcPr>
            <w:tcW w:w="1659" w:type="dxa"/>
          </w:tcPr>
          <w:p w14:paraId="4B0C00F0" w14:textId="77777777" w:rsidR="00EF17E8" w:rsidRPr="000F2BD3" w:rsidRDefault="00EF17E8" w:rsidP="00857310">
            <w:r w:rsidRPr="000F2BD3">
              <w:t xml:space="preserve">3.33 </w:t>
            </w:r>
          </w:p>
        </w:tc>
        <w:tc>
          <w:tcPr>
            <w:tcW w:w="1660" w:type="dxa"/>
          </w:tcPr>
          <w:p w14:paraId="268CC2F1" w14:textId="77777777" w:rsidR="00EF17E8" w:rsidRPr="000F2BD3" w:rsidRDefault="00EF17E8" w:rsidP="00857310">
            <w:r w:rsidRPr="000F2BD3">
              <w:t xml:space="preserve">1.67 </w:t>
            </w:r>
          </w:p>
        </w:tc>
      </w:tr>
      <w:tr w:rsidR="00EF17E8" w:rsidRPr="000F2BD3" w14:paraId="6C60CA81" w14:textId="77777777" w:rsidTr="00857310">
        <w:tc>
          <w:tcPr>
            <w:tcW w:w="1659" w:type="dxa"/>
          </w:tcPr>
          <w:p w14:paraId="2C3A12ED" w14:textId="77777777" w:rsidR="00EF17E8" w:rsidRPr="000F2BD3" w:rsidRDefault="00EF17E8" w:rsidP="00857310">
            <w:r w:rsidRPr="000F2BD3">
              <w:t>SPEI&lt;-1.5</w:t>
            </w:r>
          </w:p>
        </w:tc>
        <w:tc>
          <w:tcPr>
            <w:tcW w:w="1659" w:type="dxa"/>
            <w:vAlign w:val="center"/>
          </w:tcPr>
          <w:p w14:paraId="4AF4E29E" w14:textId="77777777" w:rsidR="00EF17E8" w:rsidRPr="000F2BD3" w:rsidRDefault="00EF17E8" w:rsidP="00857310">
            <w:r w:rsidRPr="000F2BD3">
              <w:rPr>
                <w:rFonts w:eastAsia="等线"/>
                <w:color w:val="000000"/>
              </w:rPr>
              <w:t>2</w:t>
            </w:r>
          </w:p>
        </w:tc>
        <w:tc>
          <w:tcPr>
            <w:tcW w:w="1659" w:type="dxa"/>
            <w:vAlign w:val="center"/>
          </w:tcPr>
          <w:p w14:paraId="2FA6A88B" w14:textId="77777777" w:rsidR="00EF17E8" w:rsidRPr="000F2BD3" w:rsidRDefault="00EF17E8" w:rsidP="00857310">
            <w:r w:rsidRPr="000F2BD3">
              <w:rPr>
                <w:rFonts w:eastAsia="等线"/>
                <w:color w:val="000000"/>
              </w:rPr>
              <w:t>3</w:t>
            </w:r>
          </w:p>
        </w:tc>
        <w:tc>
          <w:tcPr>
            <w:tcW w:w="1659" w:type="dxa"/>
          </w:tcPr>
          <w:p w14:paraId="279CB643" w14:textId="77777777" w:rsidR="00EF17E8" w:rsidRPr="000F2BD3" w:rsidRDefault="00EF17E8" w:rsidP="00857310">
            <w:r w:rsidRPr="000F2BD3">
              <w:t xml:space="preserve">10 </w:t>
            </w:r>
          </w:p>
        </w:tc>
        <w:tc>
          <w:tcPr>
            <w:tcW w:w="1660" w:type="dxa"/>
          </w:tcPr>
          <w:p w14:paraId="4208F30B" w14:textId="77777777" w:rsidR="00EF17E8" w:rsidRPr="000F2BD3" w:rsidRDefault="00EF17E8" w:rsidP="00857310">
            <w:r w:rsidRPr="000F2BD3">
              <w:t xml:space="preserve">6.67 </w:t>
            </w:r>
          </w:p>
        </w:tc>
      </w:tr>
    </w:tbl>
    <w:p w14:paraId="5845AB13" w14:textId="77777777" w:rsidR="00EF17E8" w:rsidRPr="000F2BD3" w:rsidRDefault="00EF17E8" w:rsidP="00EF17E8"/>
    <w:p w14:paraId="03C0ED9E" w14:textId="77777777" w:rsidR="00000CFB" w:rsidRDefault="00000CFB"/>
    <w:sectPr w:rsidR="00000C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E8"/>
    <w:rsid w:val="00000CFB"/>
    <w:rsid w:val="00EA75AC"/>
    <w:rsid w:val="00EF1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1D41"/>
  <w15:chartTrackingRefBased/>
  <w15:docId w15:val="{CF331ADF-15F4-4256-AD43-0B39A72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楷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7E8"/>
    <w:pPr>
      <w:widowControl w:val="0"/>
      <w:jc w:val="both"/>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三线表"/>
    <w:basedOn w:val="a1"/>
    <w:uiPriority w:val="59"/>
    <w:rsid w:val="00EF17E8"/>
    <w:rPr>
      <w:rFonts w:eastAsiaTheme="minorEastAs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75AC"/>
    <w:rPr>
      <w:sz w:val="18"/>
      <w:szCs w:val="18"/>
    </w:rPr>
  </w:style>
  <w:style w:type="character" w:customStyle="1" w:styleId="a5">
    <w:name w:val="批注框文本 字符"/>
    <w:basedOn w:val="a0"/>
    <w:link w:val="a4"/>
    <w:uiPriority w:val="99"/>
    <w:semiHidden/>
    <w:rsid w:val="00EA75AC"/>
    <w:rPr>
      <w:rFonts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予</dc:creator>
  <cp:keywords/>
  <dc:description/>
  <cp:lastModifiedBy>王 予</cp:lastModifiedBy>
  <cp:revision>2</cp:revision>
  <dcterms:created xsi:type="dcterms:W3CDTF">2020-06-24T05:36:00Z</dcterms:created>
  <dcterms:modified xsi:type="dcterms:W3CDTF">2020-08-23T06:01:00Z</dcterms:modified>
</cp:coreProperties>
</file>