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31ECC" w14:textId="0BCCC661" w:rsidR="005F7ED6" w:rsidRPr="009B479A" w:rsidRDefault="00FB35F6">
      <w:pPr>
        <w:rPr>
          <w:rStyle w:val="fontstyle01"/>
          <w:rFonts w:hint="eastAsia"/>
          <w:color w:val="auto"/>
        </w:rPr>
      </w:pPr>
      <w:r w:rsidRPr="009B479A">
        <w:rPr>
          <w:rStyle w:val="fontstyle01"/>
          <w:color w:val="auto"/>
        </w:rPr>
        <w:t>Supplementary Material</w:t>
      </w:r>
    </w:p>
    <w:p w14:paraId="49E329BD" w14:textId="1FE15581" w:rsidR="00FB35F6" w:rsidRPr="009B479A" w:rsidRDefault="00FB35F6"/>
    <w:p w14:paraId="2299F002" w14:textId="00FC1AFF" w:rsidR="00BD2244" w:rsidRPr="009B479A" w:rsidRDefault="00B11488">
      <w:r w:rsidRPr="009B479A">
        <w:rPr>
          <w:noProof/>
        </w:rPr>
        <w:drawing>
          <wp:inline distT="0" distB="0" distL="0" distR="0" wp14:anchorId="209E42D3" wp14:editId="774C03CF">
            <wp:extent cx="5274310" cy="419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CD74" w14:textId="0A176CBD" w:rsidR="00BD2244" w:rsidRPr="009B479A" w:rsidRDefault="00BD2244">
      <w:r w:rsidRPr="009B479A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9B479A">
        <w:rPr>
          <w:rFonts w:ascii="Times New Roman" w:hAnsi="Times New Roman" w:cs="Times New Roman"/>
        </w:rPr>
        <w:t xml:space="preserve"> </w:t>
      </w:r>
      <w:r w:rsidR="00540714" w:rsidRPr="009B479A">
        <w:rPr>
          <w:rFonts w:ascii="Times New Roman" w:hAnsi="Times New Roman" w:cs="Times New Roman"/>
        </w:rPr>
        <w:t>The</w:t>
      </w:r>
      <w:r w:rsidR="00FD26AD" w:rsidRPr="009B479A">
        <w:rPr>
          <w:rFonts w:ascii="Times New Roman" w:hAnsi="Times New Roman" w:cs="Times New Roman"/>
        </w:rPr>
        <w:t xml:space="preserve"> b</w:t>
      </w:r>
      <w:r w:rsidR="00FD26AD" w:rsidRPr="009B479A">
        <w:rPr>
          <w:rFonts w:ascii="Times New Roman" w:hAnsi="Times New Roman" w:cs="Times New Roman" w:hint="eastAsia"/>
        </w:rPr>
        <w:t>ox</w:t>
      </w:r>
      <w:r w:rsidR="00FD26AD" w:rsidRPr="009B479A">
        <w:rPr>
          <w:rFonts w:ascii="Times New Roman" w:hAnsi="Times New Roman" w:cs="Times New Roman"/>
        </w:rPr>
        <w:t xml:space="preserve"> plot of</w:t>
      </w:r>
      <w:r w:rsidR="00540714" w:rsidRPr="009B479A">
        <w:rPr>
          <w:rFonts w:ascii="Times New Roman" w:hAnsi="Times New Roman" w:cs="Times New Roman"/>
        </w:rPr>
        <w:t xml:space="preserve"> expression of metabolic </w:t>
      </w:r>
      <w:proofErr w:type="spellStart"/>
      <w:r w:rsidR="00540714" w:rsidRPr="009B479A">
        <w:rPr>
          <w:rFonts w:ascii="Times New Roman" w:hAnsi="Times New Roman" w:cs="Times New Roman"/>
        </w:rPr>
        <w:t>subpathways</w:t>
      </w:r>
      <w:proofErr w:type="spellEnd"/>
      <w:r w:rsidR="00540714" w:rsidRPr="009B479A">
        <w:rPr>
          <w:rFonts w:ascii="Times New Roman" w:hAnsi="Times New Roman" w:cs="Times New Roman"/>
        </w:rPr>
        <w:t xml:space="preserve"> in TCGA GBM, GSE4290 and GSE16011 data set.</w:t>
      </w:r>
      <w:r w:rsidR="004D51BF" w:rsidRPr="009B479A">
        <w:rPr>
          <w:rFonts w:ascii="Times New Roman" w:hAnsi="Times New Roman" w:cs="Times New Roman"/>
        </w:rPr>
        <w:t xml:space="preserve"> (A) The expression distribution of each metabolic </w:t>
      </w:r>
      <w:proofErr w:type="spellStart"/>
      <w:r w:rsidR="004D51BF" w:rsidRPr="009B479A">
        <w:rPr>
          <w:rFonts w:ascii="Times New Roman" w:hAnsi="Times New Roman" w:cs="Times New Roman"/>
        </w:rPr>
        <w:t>subpathway</w:t>
      </w:r>
      <w:proofErr w:type="spellEnd"/>
      <w:r w:rsidR="004D51BF" w:rsidRPr="009B479A">
        <w:rPr>
          <w:rFonts w:ascii="Times New Roman" w:hAnsi="Times New Roman" w:cs="Times New Roman"/>
        </w:rPr>
        <w:t xml:space="preserve"> in all samples of three data sets</w:t>
      </w:r>
      <w:r w:rsidR="002A77DA" w:rsidRPr="009B479A">
        <w:rPr>
          <w:rFonts w:ascii="Times New Roman" w:hAnsi="Times New Roman" w:cs="Times New Roman"/>
        </w:rPr>
        <w:t xml:space="preserve">. (B-C) </w:t>
      </w:r>
      <w:r w:rsidR="001812B6" w:rsidRPr="009B479A">
        <w:rPr>
          <w:rFonts w:ascii="Times New Roman" w:hAnsi="Times New Roman" w:cs="Times New Roman"/>
        </w:rPr>
        <w:t xml:space="preserve">Two randomly selected metabolic </w:t>
      </w:r>
      <w:proofErr w:type="spellStart"/>
      <w:r w:rsidR="001812B6" w:rsidRPr="009B479A">
        <w:rPr>
          <w:rFonts w:ascii="Times New Roman" w:hAnsi="Times New Roman" w:cs="Times New Roman"/>
        </w:rPr>
        <w:t>subpathways</w:t>
      </w:r>
      <w:proofErr w:type="spellEnd"/>
      <w:r w:rsidR="001812B6" w:rsidRPr="009B479A">
        <w:rPr>
          <w:rFonts w:ascii="Times New Roman" w:hAnsi="Times New Roman" w:cs="Times New Roman"/>
        </w:rPr>
        <w:t xml:space="preserve"> are displayed.</w:t>
      </w:r>
    </w:p>
    <w:p w14:paraId="1928AF92" w14:textId="48E42138" w:rsidR="00BD2244" w:rsidRPr="009B479A" w:rsidRDefault="00BD2244"/>
    <w:p w14:paraId="72DB4F7C" w14:textId="77777777" w:rsidR="00BD2244" w:rsidRPr="009B479A" w:rsidRDefault="00BD2244"/>
    <w:p w14:paraId="5C9C40D1" w14:textId="6F5B8B39" w:rsidR="00FB35F6" w:rsidRPr="009B479A" w:rsidRDefault="00FF7BAE">
      <w:r w:rsidRPr="009B479A">
        <w:rPr>
          <w:noProof/>
        </w:rPr>
        <w:lastRenderedPageBreak/>
        <w:drawing>
          <wp:inline distT="0" distB="0" distL="0" distR="0" wp14:anchorId="47F94C74" wp14:editId="70BA718E">
            <wp:extent cx="5274310" cy="49263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9F2C" w14:textId="0093A89C" w:rsidR="00775C81" w:rsidRPr="009B479A" w:rsidRDefault="001D168E" w:rsidP="00775C81">
      <w:pPr>
        <w:jc w:val="left"/>
        <w:rPr>
          <w:rFonts w:ascii="Times New Roman" w:hAnsi="Times New Roman" w:cs="Times New Roman"/>
          <w:sz w:val="24"/>
          <w:szCs w:val="24"/>
        </w:rPr>
      </w:pPr>
      <w:r w:rsidRPr="009B479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BD2244" w:rsidRPr="009B479A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9B479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B479A">
        <w:rPr>
          <w:rFonts w:ascii="Times New Roman" w:hAnsi="Times New Roman" w:cs="Times New Roman"/>
        </w:rPr>
        <w:t xml:space="preserve"> </w:t>
      </w:r>
      <w:r w:rsidR="00775C81" w:rsidRPr="009B479A">
        <w:rPr>
          <w:rFonts w:ascii="Times New Roman" w:hAnsi="Times New Roman" w:cs="Times New Roman"/>
          <w:sz w:val="24"/>
          <w:szCs w:val="24"/>
        </w:rPr>
        <w:t>Evaluate the number of clusters in the cluster</w:t>
      </w:r>
      <w:r w:rsidR="00775C81" w:rsidRPr="009B479A">
        <w:rPr>
          <w:rFonts w:ascii="Times New Roman" w:hAnsi="Times New Roman" w:cs="Times New Roman" w:hint="eastAsia"/>
          <w:sz w:val="24"/>
          <w:szCs w:val="24"/>
        </w:rPr>
        <w:t>.</w:t>
      </w:r>
      <w:r w:rsidR="00775C81" w:rsidRPr="009B479A">
        <w:rPr>
          <w:rFonts w:ascii="Times New Roman" w:hAnsi="Times New Roman" w:cs="Times New Roman"/>
          <w:sz w:val="24"/>
          <w:szCs w:val="24"/>
        </w:rPr>
        <w:t xml:space="preserve"> </w:t>
      </w:r>
      <w:r w:rsidR="00D17611" w:rsidRPr="009B479A">
        <w:rPr>
          <w:rFonts w:ascii="Times New Roman" w:hAnsi="Times New Roman" w:cs="Times New Roman"/>
          <w:sz w:val="24"/>
          <w:szCs w:val="24"/>
        </w:rPr>
        <w:t>(</w:t>
      </w:r>
      <w:r w:rsidR="00775C81" w:rsidRPr="009B479A">
        <w:rPr>
          <w:rFonts w:ascii="Times New Roman" w:hAnsi="Times New Roman" w:cs="Times New Roman"/>
          <w:sz w:val="24"/>
          <w:szCs w:val="24"/>
        </w:rPr>
        <w:t>A</w:t>
      </w:r>
      <w:r w:rsidR="00717E70" w:rsidRPr="009B479A">
        <w:rPr>
          <w:rFonts w:ascii="Times New Roman" w:hAnsi="Times New Roman" w:cs="Times New Roman"/>
          <w:sz w:val="24"/>
          <w:szCs w:val="24"/>
        </w:rPr>
        <w:t xml:space="preserve">) </w:t>
      </w:r>
      <w:r w:rsidR="00047804" w:rsidRPr="009B479A">
        <w:rPr>
          <w:rFonts w:ascii="Times New Roman" w:hAnsi="Times New Roman" w:cs="Times New Roman"/>
          <w:sz w:val="24"/>
          <w:szCs w:val="24"/>
        </w:rPr>
        <w:t xml:space="preserve">The total within sum of square </w:t>
      </w:r>
      <w:r w:rsidR="00265C4C" w:rsidRPr="009B479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65C4C" w:rsidRPr="009B479A">
        <w:rPr>
          <w:rFonts w:ascii="Times New Roman" w:hAnsi="Times New Roman" w:cs="Times New Roman"/>
          <w:sz w:val="24"/>
          <w:szCs w:val="24"/>
        </w:rPr>
        <w:t>wss</w:t>
      </w:r>
      <w:proofErr w:type="spellEnd"/>
      <w:r w:rsidR="00265C4C" w:rsidRPr="009B479A">
        <w:rPr>
          <w:rFonts w:ascii="Times New Roman" w:hAnsi="Times New Roman" w:cs="Times New Roman"/>
          <w:sz w:val="24"/>
          <w:szCs w:val="24"/>
        </w:rPr>
        <w:t>)</w:t>
      </w:r>
      <w:r w:rsidR="00717E70" w:rsidRPr="009B479A">
        <w:rPr>
          <w:rFonts w:ascii="Times New Roman" w:hAnsi="Times New Roman" w:cs="Times New Roman" w:hint="eastAsia"/>
          <w:sz w:val="24"/>
          <w:szCs w:val="24"/>
        </w:rPr>
        <w:t>,</w:t>
      </w:r>
      <w:r w:rsidR="00717E70" w:rsidRPr="009B479A">
        <w:rPr>
          <w:rFonts w:ascii="Times New Roman" w:hAnsi="Times New Roman" w:cs="Times New Roman"/>
          <w:sz w:val="24"/>
          <w:szCs w:val="24"/>
        </w:rPr>
        <w:t xml:space="preserve"> </w:t>
      </w:r>
      <w:r w:rsidR="006A5622" w:rsidRPr="009B479A">
        <w:rPr>
          <w:rFonts w:ascii="Times New Roman" w:hAnsi="Times New Roman" w:cs="Times New Roman"/>
          <w:sz w:val="24"/>
          <w:szCs w:val="24"/>
        </w:rPr>
        <w:t xml:space="preserve">(B) </w:t>
      </w:r>
      <w:r w:rsidR="00717E70" w:rsidRPr="009B479A">
        <w:rPr>
          <w:rFonts w:ascii="Times New Roman" w:hAnsi="Times New Roman" w:cs="Times New Roman"/>
          <w:sz w:val="24"/>
          <w:szCs w:val="24"/>
        </w:rPr>
        <w:t xml:space="preserve">average silhouette width and </w:t>
      </w:r>
      <w:r w:rsidR="006A5622" w:rsidRPr="009B479A">
        <w:rPr>
          <w:rFonts w:ascii="Times New Roman" w:hAnsi="Times New Roman" w:cs="Times New Roman"/>
          <w:sz w:val="24"/>
          <w:szCs w:val="24"/>
        </w:rPr>
        <w:t xml:space="preserve">(C) </w:t>
      </w:r>
      <w:r w:rsidR="00717E70" w:rsidRPr="009B479A">
        <w:rPr>
          <w:rFonts w:ascii="Times New Roman" w:hAnsi="Times New Roman" w:cs="Times New Roman"/>
          <w:sz w:val="24"/>
          <w:szCs w:val="24"/>
        </w:rPr>
        <w:t>gap statistics</w:t>
      </w:r>
      <w:r w:rsidR="00265C4C" w:rsidRPr="009B479A">
        <w:rPr>
          <w:rFonts w:ascii="Times New Roman" w:hAnsi="Times New Roman" w:cs="Times New Roman"/>
          <w:sz w:val="24"/>
          <w:szCs w:val="24"/>
        </w:rPr>
        <w:t xml:space="preserve"> </w:t>
      </w:r>
      <w:r w:rsidR="00047804" w:rsidRPr="009B479A">
        <w:rPr>
          <w:rFonts w:ascii="Times New Roman" w:hAnsi="Times New Roman" w:cs="Times New Roman"/>
          <w:sz w:val="24"/>
          <w:szCs w:val="24"/>
        </w:rPr>
        <w:t xml:space="preserve">method evaluates the </w:t>
      </w:r>
      <w:r w:rsidR="00CC0AF7" w:rsidRPr="009B479A">
        <w:rPr>
          <w:rFonts w:ascii="Times New Roman" w:hAnsi="Times New Roman" w:cs="Times New Roman"/>
          <w:sz w:val="24"/>
          <w:szCs w:val="24"/>
        </w:rPr>
        <w:t xml:space="preserve">optimal </w:t>
      </w:r>
      <w:r w:rsidR="00047804" w:rsidRPr="009B479A">
        <w:rPr>
          <w:rFonts w:ascii="Times New Roman" w:hAnsi="Times New Roman" w:cs="Times New Roman"/>
          <w:sz w:val="24"/>
          <w:szCs w:val="24"/>
        </w:rPr>
        <w:t xml:space="preserve">number of clusters of K-means clustering. </w:t>
      </w:r>
      <w:r w:rsidR="00212EAE" w:rsidRPr="009B479A">
        <w:rPr>
          <w:rFonts w:ascii="Times New Roman" w:hAnsi="Times New Roman" w:cs="Times New Roman"/>
          <w:sz w:val="24"/>
          <w:szCs w:val="24"/>
        </w:rPr>
        <w:t>(</w:t>
      </w:r>
      <w:r w:rsidR="00FF7BAE" w:rsidRPr="009B479A">
        <w:rPr>
          <w:rFonts w:ascii="Times New Roman" w:hAnsi="Times New Roman" w:cs="Times New Roman"/>
          <w:sz w:val="24"/>
          <w:szCs w:val="24"/>
        </w:rPr>
        <w:t>D)</w:t>
      </w:r>
      <w:r w:rsidR="00970B5C" w:rsidRPr="009B479A">
        <w:rPr>
          <w:rFonts w:ascii="Times New Roman" w:hAnsi="Times New Roman" w:cs="Times New Roman"/>
          <w:sz w:val="24"/>
          <w:szCs w:val="24"/>
        </w:rPr>
        <w:t xml:space="preserve"> The area under </w:t>
      </w:r>
      <w:r w:rsidR="00A472A4" w:rsidRPr="009B479A">
        <w:rPr>
          <w:rFonts w:ascii="Times New Roman" w:hAnsi="Times New Roman" w:cs="Times New Roman"/>
          <w:sz w:val="24"/>
          <w:szCs w:val="24"/>
        </w:rPr>
        <w:t>c</w:t>
      </w:r>
      <w:r w:rsidR="00970B5C" w:rsidRPr="009B479A">
        <w:rPr>
          <w:rFonts w:ascii="Times New Roman" w:hAnsi="Times New Roman" w:cs="Times New Roman"/>
          <w:sz w:val="24"/>
          <w:szCs w:val="24"/>
        </w:rPr>
        <w:t xml:space="preserve">umulative </w:t>
      </w:r>
      <w:r w:rsidR="00A472A4" w:rsidRPr="009B479A">
        <w:rPr>
          <w:rFonts w:ascii="Times New Roman" w:hAnsi="Times New Roman" w:cs="Times New Roman"/>
          <w:sz w:val="24"/>
          <w:szCs w:val="24"/>
        </w:rPr>
        <w:t>d</w:t>
      </w:r>
      <w:r w:rsidR="00970B5C" w:rsidRPr="009B479A">
        <w:rPr>
          <w:rFonts w:ascii="Times New Roman" w:hAnsi="Times New Roman" w:cs="Times New Roman"/>
          <w:sz w:val="24"/>
          <w:szCs w:val="24"/>
        </w:rPr>
        <w:t xml:space="preserve">istribution </w:t>
      </w:r>
      <w:r w:rsidR="00A472A4" w:rsidRPr="009B479A">
        <w:rPr>
          <w:rFonts w:ascii="Times New Roman" w:hAnsi="Times New Roman" w:cs="Times New Roman"/>
          <w:sz w:val="24"/>
          <w:szCs w:val="24"/>
        </w:rPr>
        <w:t>f</w:t>
      </w:r>
      <w:r w:rsidR="00970B5C" w:rsidRPr="009B479A">
        <w:rPr>
          <w:rFonts w:ascii="Times New Roman" w:hAnsi="Times New Roman" w:cs="Times New Roman"/>
          <w:sz w:val="24"/>
          <w:szCs w:val="24"/>
        </w:rPr>
        <w:t xml:space="preserve">unction (CDF) curve to evaluate the </w:t>
      </w:r>
      <w:r w:rsidR="00CC0AF7" w:rsidRPr="009B479A">
        <w:rPr>
          <w:rFonts w:ascii="Times New Roman" w:hAnsi="Times New Roman" w:cs="Times New Roman"/>
          <w:sz w:val="24"/>
          <w:szCs w:val="24"/>
        </w:rPr>
        <w:t xml:space="preserve">optimal </w:t>
      </w:r>
      <w:r w:rsidR="00970B5C" w:rsidRPr="009B479A">
        <w:rPr>
          <w:rFonts w:ascii="Times New Roman" w:hAnsi="Times New Roman" w:cs="Times New Roman"/>
          <w:sz w:val="24"/>
          <w:szCs w:val="24"/>
        </w:rPr>
        <w:t>number of clusters for consistent clustering</w:t>
      </w:r>
      <w:r w:rsidR="00653390" w:rsidRPr="009B479A">
        <w:rPr>
          <w:rFonts w:ascii="Times New Roman" w:hAnsi="Times New Roman" w:cs="Times New Roman"/>
          <w:sz w:val="24"/>
          <w:szCs w:val="24"/>
        </w:rPr>
        <w:t>.</w:t>
      </w:r>
    </w:p>
    <w:p w14:paraId="14EC5146" w14:textId="1BB60E05" w:rsidR="0024789B" w:rsidRPr="009B479A" w:rsidRDefault="0024789B" w:rsidP="00775C81">
      <w:pPr>
        <w:jc w:val="left"/>
      </w:pPr>
      <w:r w:rsidRPr="009B479A">
        <w:rPr>
          <w:noProof/>
        </w:rPr>
        <w:lastRenderedPageBreak/>
        <w:drawing>
          <wp:inline distT="0" distB="0" distL="0" distR="0" wp14:anchorId="01999949" wp14:editId="42895F0F">
            <wp:extent cx="5185568" cy="65017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68" cy="6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C150" w14:textId="52E51CC3" w:rsidR="0024789B" w:rsidRPr="009B479A" w:rsidRDefault="0024789B" w:rsidP="0024789B">
      <w:pPr>
        <w:rPr>
          <w:rFonts w:ascii="Times New Roman" w:eastAsia="DengXian" w:hAnsi="Times New Roman" w:cs="Times New Roman"/>
          <w:sz w:val="24"/>
          <w:szCs w:val="24"/>
        </w:rPr>
      </w:pPr>
      <w:r w:rsidRPr="009B479A">
        <w:rPr>
          <w:rFonts w:ascii="Times New Roman" w:eastAsia="DengXian" w:hAnsi="Times New Roman" w:cs="Times New Roman"/>
          <w:b/>
          <w:bCs/>
          <w:sz w:val="24"/>
          <w:szCs w:val="24"/>
        </w:rPr>
        <w:t>Figure S</w:t>
      </w:r>
      <w:r w:rsidR="00BD2244" w:rsidRPr="009B479A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3</w:t>
      </w:r>
      <w:r w:rsidRPr="009B479A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. </w:t>
      </w:r>
      <w:r w:rsidRPr="009B479A">
        <w:rPr>
          <w:rFonts w:ascii="Times New Roman" w:eastAsia="DengXian" w:hAnsi="Times New Roman" w:cs="Times New Roman"/>
          <w:sz w:val="24"/>
          <w:szCs w:val="24"/>
        </w:rPr>
        <w:t>The ‘Steroid biosynthesis’ pathway</w:t>
      </w:r>
      <w:r w:rsidRPr="009B479A">
        <w:rPr>
          <w:rFonts w:ascii="Times New Roman" w:eastAsia="DengXian" w:hAnsi="Times New Roman" w:cs="Times New Roman" w:hint="eastAsia"/>
          <w:sz w:val="24"/>
          <w:szCs w:val="24"/>
        </w:rPr>
        <w:t>.</w:t>
      </w:r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The nodes of the red matrix belong to the </w:t>
      </w:r>
      <w:proofErr w:type="spellStart"/>
      <w:r w:rsidR="00CE78D5" w:rsidRPr="009B479A">
        <w:rPr>
          <w:rFonts w:ascii="Times New Roman" w:eastAsia="DengXian" w:hAnsi="Times New Roman" w:cs="Times New Roman"/>
          <w:sz w:val="24"/>
          <w:szCs w:val="24"/>
        </w:rPr>
        <w:t>subpathway</w:t>
      </w:r>
      <w:proofErr w:type="spellEnd"/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00100_6 region. The node in the red circle is (S)-2,3-Epoxysqualene in the key position of the </w:t>
      </w:r>
      <w:proofErr w:type="spellStart"/>
      <w:r w:rsidR="00CE78D5" w:rsidRPr="009B479A">
        <w:rPr>
          <w:rFonts w:ascii="Times New Roman" w:eastAsia="DengXian" w:hAnsi="Times New Roman" w:cs="Times New Roman"/>
          <w:sz w:val="24"/>
          <w:szCs w:val="24"/>
        </w:rPr>
        <w:t>subpathway</w:t>
      </w:r>
      <w:proofErr w:type="spellEnd"/>
      <w:r w:rsidRPr="009B479A"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47368B2E" w14:textId="06301720" w:rsidR="0024789B" w:rsidRPr="009B479A" w:rsidRDefault="0024789B" w:rsidP="0024789B">
      <w:pPr>
        <w:jc w:val="left"/>
        <w:rPr>
          <w:sz w:val="24"/>
          <w:szCs w:val="24"/>
        </w:rPr>
      </w:pPr>
    </w:p>
    <w:p w14:paraId="1141CF41" w14:textId="77777777" w:rsidR="009B5801" w:rsidRPr="009B479A" w:rsidRDefault="009B5801" w:rsidP="009B5801">
      <w:pPr>
        <w:rPr>
          <w:rFonts w:ascii="Times New Roman" w:hAnsi="Times New Roman" w:cs="Times New Roman"/>
          <w:sz w:val="24"/>
          <w:szCs w:val="24"/>
        </w:rPr>
      </w:pPr>
      <w:r w:rsidRPr="009B479A">
        <w:rPr>
          <w:b/>
          <w:bCs/>
          <w:noProof/>
        </w:rPr>
        <w:lastRenderedPageBreak/>
        <w:drawing>
          <wp:inline distT="0" distB="0" distL="0" distR="0" wp14:anchorId="5D673667" wp14:editId="5B9EE981">
            <wp:extent cx="5255260" cy="4029075"/>
            <wp:effectExtent l="0" t="0" r="2540" b="952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B793" w14:textId="16908898" w:rsidR="009B5801" w:rsidRPr="009B479A" w:rsidRDefault="009B5801" w:rsidP="009B5801">
      <w:pPr>
        <w:rPr>
          <w:rFonts w:ascii="Times New Roman" w:hAnsi="Times New Roman" w:cs="Times New Roman"/>
          <w:sz w:val="24"/>
          <w:szCs w:val="24"/>
        </w:rPr>
      </w:pPr>
      <w:bookmarkStart w:id="0" w:name="OLE_LINK5"/>
      <w:r w:rsidRPr="009B479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bookmarkEnd w:id="0"/>
      <w:r w:rsidR="003C03D0" w:rsidRPr="009B479A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9B479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479A">
        <w:rPr>
          <w:rFonts w:ascii="Times New Roman" w:hAnsi="Times New Roman" w:cs="Times New Roman"/>
          <w:sz w:val="24"/>
          <w:szCs w:val="24"/>
        </w:rPr>
        <w:t>U87-MG cells were treated with 5-30 nmol/L of (S)-2,3-Epoxysqualene for 2-8 h. The cell viability was measured by CCK8 assay.</w:t>
      </w:r>
    </w:p>
    <w:p w14:paraId="2D82A8FF" w14:textId="77777777" w:rsidR="00E33354" w:rsidRPr="009B479A" w:rsidRDefault="00E33354" w:rsidP="0024789B">
      <w:pPr>
        <w:jc w:val="left"/>
      </w:pPr>
    </w:p>
    <w:p w14:paraId="5149C2C2" w14:textId="23DD695B" w:rsidR="00E33354" w:rsidRPr="009B479A" w:rsidRDefault="00E33354" w:rsidP="00E33354">
      <w:pPr>
        <w:jc w:val="center"/>
      </w:pPr>
      <w:r w:rsidRPr="009B479A">
        <w:rPr>
          <w:noProof/>
        </w:rPr>
        <w:lastRenderedPageBreak/>
        <w:drawing>
          <wp:inline distT="0" distB="0" distL="0" distR="0" wp14:anchorId="7D5C8015" wp14:editId="1EF11802">
            <wp:extent cx="4866005" cy="7899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DE9D" w14:textId="72A3E4E9" w:rsidR="00E33354" w:rsidRPr="009B479A" w:rsidRDefault="00E33354" w:rsidP="00E33354">
      <w:pPr>
        <w:rPr>
          <w:rFonts w:ascii="Times New Roman" w:eastAsia="DengXian" w:hAnsi="Times New Roman" w:cs="Times New Roman"/>
          <w:sz w:val="24"/>
          <w:szCs w:val="24"/>
        </w:rPr>
      </w:pPr>
      <w:r w:rsidRPr="009B479A">
        <w:rPr>
          <w:rFonts w:ascii="Times New Roman" w:eastAsia="DengXian" w:hAnsi="Times New Roman" w:cs="Times New Roman"/>
          <w:b/>
          <w:bCs/>
          <w:sz w:val="24"/>
          <w:szCs w:val="24"/>
        </w:rPr>
        <w:t>Figure S</w:t>
      </w:r>
      <w:r w:rsidR="003C03D0" w:rsidRPr="009B479A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5</w:t>
      </w:r>
      <w:r w:rsidRPr="009B479A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. </w:t>
      </w:r>
      <w:r w:rsidRPr="009B479A">
        <w:rPr>
          <w:rFonts w:ascii="Times New Roman" w:eastAsia="DengXian" w:hAnsi="Times New Roman" w:cs="Times New Roman"/>
          <w:sz w:val="24"/>
          <w:szCs w:val="24"/>
        </w:rPr>
        <w:t>The ‘</w:t>
      </w:r>
      <w:r w:rsidRPr="009B479A">
        <w:rPr>
          <w:rFonts w:ascii="Times New Roman" w:hAnsi="Times New Roman" w:cs="Times New Roman"/>
          <w:sz w:val="24"/>
          <w:szCs w:val="24"/>
        </w:rPr>
        <w:t>Primary bile acid biosynthesis</w:t>
      </w:r>
      <w:r w:rsidRPr="009B479A">
        <w:rPr>
          <w:rFonts w:ascii="Times New Roman" w:eastAsia="DengXian" w:hAnsi="Times New Roman" w:cs="Times New Roman"/>
          <w:sz w:val="24"/>
          <w:szCs w:val="24"/>
        </w:rPr>
        <w:t>’ pathway</w:t>
      </w:r>
      <w:r w:rsidRPr="009B479A">
        <w:rPr>
          <w:rFonts w:ascii="Times New Roman" w:eastAsia="DengXian" w:hAnsi="Times New Roman" w:cs="Times New Roman" w:hint="eastAsia"/>
          <w:sz w:val="24"/>
          <w:szCs w:val="24"/>
        </w:rPr>
        <w:t>.</w:t>
      </w:r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The nodes of the red matrix belong to the </w:t>
      </w:r>
      <w:proofErr w:type="spellStart"/>
      <w:r w:rsidRPr="009B479A">
        <w:rPr>
          <w:rFonts w:ascii="Times New Roman" w:eastAsia="DengXian" w:hAnsi="Times New Roman" w:cs="Times New Roman"/>
          <w:sz w:val="24"/>
          <w:szCs w:val="24"/>
        </w:rPr>
        <w:t>subpathway</w:t>
      </w:r>
      <w:proofErr w:type="spellEnd"/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9B479A">
        <w:rPr>
          <w:rFonts w:ascii="Times New Roman" w:hAnsi="Times New Roman" w:cs="Times New Roman"/>
          <w:sz w:val="24"/>
          <w:szCs w:val="24"/>
        </w:rPr>
        <w:t>00120_11</w:t>
      </w:r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region.</w:t>
      </w:r>
    </w:p>
    <w:p w14:paraId="001F892D" w14:textId="3ACF92F3" w:rsidR="00E33354" w:rsidRPr="009B479A" w:rsidRDefault="00E33354" w:rsidP="0024789B">
      <w:pPr>
        <w:jc w:val="left"/>
      </w:pPr>
    </w:p>
    <w:p w14:paraId="48454E61" w14:textId="55006704" w:rsidR="001F230C" w:rsidRPr="009B479A" w:rsidRDefault="001F230C" w:rsidP="0024789B">
      <w:pPr>
        <w:jc w:val="left"/>
      </w:pPr>
      <w:r w:rsidRPr="009B479A">
        <w:rPr>
          <w:noProof/>
        </w:rPr>
        <w:lastRenderedPageBreak/>
        <w:drawing>
          <wp:inline distT="0" distB="0" distL="0" distR="0" wp14:anchorId="7EF04114" wp14:editId="2FE3E622">
            <wp:extent cx="5274310" cy="4822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DA56" w14:textId="088E523B" w:rsidR="001F230C" w:rsidRPr="009B479A" w:rsidRDefault="001F230C" w:rsidP="001F230C">
      <w:pPr>
        <w:rPr>
          <w:rFonts w:ascii="Times New Roman" w:eastAsia="DengXian" w:hAnsi="Times New Roman" w:cs="Times New Roman"/>
          <w:sz w:val="24"/>
          <w:szCs w:val="24"/>
        </w:rPr>
      </w:pPr>
      <w:r w:rsidRPr="009B479A">
        <w:rPr>
          <w:rFonts w:ascii="Times New Roman" w:eastAsia="DengXian" w:hAnsi="Times New Roman" w:cs="Times New Roman"/>
          <w:b/>
          <w:bCs/>
          <w:sz w:val="24"/>
          <w:szCs w:val="24"/>
        </w:rPr>
        <w:t>Figure S</w:t>
      </w:r>
      <w:r w:rsidR="003C03D0" w:rsidRPr="009B479A">
        <w:rPr>
          <w:rFonts w:ascii="Times New Roman" w:eastAsia="DengXian" w:hAnsi="Times New Roman" w:cs="Times New Roman" w:hint="eastAsia"/>
          <w:b/>
          <w:bCs/>
          <w:sz w:val="24"/>
          <w:szCs w:val="24"/>
        </w:rPr>
        <w:t>6</w:t>
      </w:r>
      <w:r w:rsidRPr="009B479A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. </w:t>
      </w:r>
      <w:r w:rsidRPr="009B479A">
        <w:rPr>
          <w:rFonts w:ascii="Times New Roman" w:eastAsia="DengXian" w:hAnsi="Times New Roman" w:cs="Times New Roman"/>
          <w:sz w:val="24"/>
          <w:szCs w:val="24"/>
        </w:rPr>
        <w:t>The ‘</w:t>
      </w:r>
      <w:r w:rsidRPr="009B479A">
        <w:rPr>
          <w:rFonts w:ascii="Times New Roman" w:hAnsi="Times New Roman" w:cs="Times New Roman"/>
          <w:sz w:val="24"/>
          <w:szCs w:val="24"/>
        </w:rPr>
        <w:t>Glycine, serine and threonine metabolism</w:t>
      </w:r>
      <w:r w:rsidRPr="009B479A">
        <w:rPr>
          <w:rFonts w:ascii="Times New Roman" w:eastAsia="DengXian" w:hAnsi="Times New Roman" w:cs="Times New Roman"/>
          <w:sz w:val="24"/>
          <w:szCs w:val="24"/>
        </w:rPr>
        <w:t>’ pathway</w:t>
      </w:r>
      <w:r w:rsidRPr="009B479A">
        <w:rPr>
          <w:rFonts w:ascii="Times New Roman" w:eastAsia="DengXian" w:hAnsi="Times New Roman" w:cs="Times New Roman" w:hint="eastAsia"/>
          <w:sz w:val="24"/>
          <w:szCs w:val="24"/>
        </w:rPr>
        <w:t>.</w:t>
      </w:r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The nodes of the red matrix belong to the </w:t>
      </w:r>
      <w:proofErr w:type="spellStart"/>
      <w:r w:rsidRPr="009B479A">
        <w:rPr>
          <w:rFonts w:ascii="Times New Roman" w:eastAsia="DengXian" w:hAnsi="Times New Roman" w:cs="Times New Roman"/>
          <w:sz w:val="24"/>
          <w:szCs w:val="24"/>
        </w:rPr>
        <w:t>subpathway</w:t>
      </w:r>
      <w:proofErr w:type="spellEnd"/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9B479A">
        <w:rPr>
          <w:rFonts w:ascii="Times New Roman" w:hAnsi="Times New Roman" w:cs="Times New Roman"/>
          <w:sz w:val="24"/>
          <w:szCs w:val="24"/>
        </w:rPr>
        <w:t>00260_1</w:t>
      </w:r>
      <w:r w:rsidRPr="009B479A">
        <w:rPr>
          <w:rFonts w:ascii="Times New Roman" w:eastAsia="DengXian" w:hAnsi="Times New Roman" w:cs="Times New Roman"/>
          <w:sz w:val="24"/>
          <w:szCs w:val="24"/>
        </w:rPr>
        <w:t xml:space="preserve"> region.</w:t>
      </w:r>
    </w:p>
    <w:p w14:paraId="0B7CD4EE" w14:textId="77777777" w:rsidR="001F230C" w:rsidRPr="009B479A" w:rsidRDefault="001F230C" w:rsidP="0024789B">
      <w:pPr>
        <w:jc w:val="left"/>
      </w:pPr>
    </w:p>
    <w:sectPr w:rsidR="001F230C" w:rsidRPr="009B47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4AD51" w14:textId="77777777" w:rsidR="002D1419" w:rsidRDefault="002D1419" w:rsidP="00FB35F6">
      <w:r>
        <w:separator/>
      </w:r>
    </w:p>
  </w:endnote>
  <w:endnote w:type="continuationSeparator" w:id="0">
    <w:p w14:paraId="11378A69" w14:textId="77777777" w:rsidR="002D1419" w:rsidRDefault="002D1419" w:rsidP="00FB3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SanL-BoldItal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05320B" w14:textId="77777777" w:rsidR="002D1419" w:rsidRDefault="002D1419" w:rsidP="00FB35F6">
      <w:r>
        <w:separator/>
      </w:r>
    </w:p>
  </w:footnote>
  <w:footnote w:type="continuationSeparator" w:id="0">
    <w:p w14:paraId="34C590E5" w14:textId="77777777" w:rsidR="002D1419" w:rsidRDefault="002D1419" w:rsidP="00FB3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QyNDY0MzYytzQ1t7BU0lEKTi0uzszPAykwNKgFAI1zvtktAAAA"/>
  </w:docVars>
  <w:rsids>
    <w:rsidRoot w:val="00700860"/>
    <w:rsid w:val="000449FB"/>
    <w:rsid w:val="00047804"/>
    <w:rsid w:val="00062B51"/>
    <w:rsid w:val="000827FD"/>
    <w:rsid w:val="000847C8"/>
    <w:rsid w:val="000D4183"/>
    <w:rsid w:val="001812B6"/>
    <w:rsid w:val="0018407B"/>
    <w:rsid w:val="001D168E"/>
    <w:rsid w:val="001F230C"/>
    <w:rsid w:val="00212EAE"/>
    <w:rsid w:val="0024789B"/>
    <w:rsid w:val="00265C4C"/>
    <w:rsid w:val="002A77DA"/>
    <w:rsid w:val="002D1419"/>
    <w:rsid w:val="00386B86"/>
    <w:rsid w:val="003C03D0"/>
    <w:rsid w:val="004703D9"/>
    <w:rsid w:val="004902E8"/>
    <w:rsid w:val="004D51BF"/>
    <w:rsid w:val="00540714"/>
    <w:rsid w:val="00567D0A"/>
    <w:rsid w:val="005B517F"/>
    <w:rsid w:val="005E754B"/>
    <w:rsid w:val="005F47BF"/>
    <w:rsid w:val="005F7ED6"/>
    <w:rsid w:val="00653390"/>
    <w:rsid w:val="006A5622"/>
    <w:rsid w:val="00700860"/>
    <w:rsid w:val="00717E70"/>
    <w:rsid w:val="00775C81"/>
    <w:rsid w:val="00876F55"/>
    <w:rsid w:val="008F5DF0"/>
    <w:rsid w:val="00970B5C"/>
    <w:rsid w:val="009A4149"/>
    <w:rsid w:val="009B479A"/>
    <w:rsid w:val="009B5801"/>
    <w:rsid w:val="00A16A27"/>
    <w:rsid w:val="00A472A4"/>
    <w:rsid w:val="00AA2849"/>
    <w:rsid w:val="00AC0CA4"/>
    <w:rsid w:val="00B11488"/>
    <w:rsid w:val="00BD2244"/>
    <w:rsid w:val="00C22E5D"/>
    <w:rsid w:val="00CC0AF7"/>
    <w:rsid w:val="00CE78D5"/>
    <w:rsid w:val="00CF7EF3"/>
    <w:rsid w:val="00D17611"/>
    <w:rsid w:val="00D760D9"/>
    <w:rsid w:val="00D866C3"/>
    <w:rsid w:val="00E33354"/>
    <w:rsid w:val="00E64555"/>
    <w:rsid w:val="00EC067E"/>
    <w:rsid w:val="00FB35F6"/>
    <w:rsid w:val="00FD26AD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2FDBC"/>
  <w15:chartTrackingRefBased/>
  <w15:docId w15:val="{7ED5D017-5EF4-4446-8958-966A7AB1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5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B35F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B35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B35F6"/>
    <w:rPr>
      <w:sz w:val="18"/>
      <w:szCs w:val="18"/>
    </w:rPr>
  </w:style>
  <w:style w:type="character" w:customStyle="1" w:styleId="fontstyle01">
    <w:name w:val="fontstyle01"/>
    <w:basedOn w:val="DefaultParagraphFont"/>
    <w:rsid w:val="00FB35F6"/>
    <w:rPr>
      <w:rFonts w:ascii="NimbusSanL-BoldItal" w:hAnsi="NimbusSanL-BoldItal" w:hint="default"/>
      <w:b/>
      <w:bCs/>
      <w:i/>
      <w:iCs/>
      <w:color w:val="24202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2245F-BFF0-4474-BB39-40EA65C05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xudong han</dc:creator>
  <cp:keywords/>
  <dc:description/>
  <cp:lastModifiedBy>Frontiers</cp:lastModifiedBy>
  <cp:revision>39</cp:revision>
  <dcterms:created xsi:type="dcterms:W3CDTF">2019-12-19T07:12:00Z</dcterms:created>
  <dcterms:modified xsi:type="dcterms:W3CDTF">2020-07-20T10:26:00Z</dcterms:modified>
</cp:coreProperties>
</file>