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763"/>
        <w:gridCol w:w="765"/>
        <w:gridCol w:w="185"/>
        <w:gridCol w:w="591"/>
        <w:gridCol w:w="878"/>
        <w:gridCol w:w="364"/>
        <w:gridCol w:w="768"/>
        <w:gridCol w:w="974"/>
        <w:gridCol w:w="977"/>
        <w:gridCol w:w="977"/>
        <w:gridCol w:w="977"/>
        <w:gridCol w:w="977"/>
        <w:gridCol w:w="977"/>
        <w:gridCol w:w="971"/>
      </w:tblGrid>
      <w:tr w:rsidR="003B513C" w:rsidRPr="003B513C" w:rsidTr="003B513C">
        <w:trPr>
          <w:trHeight w:val="27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3C" w:rsidRDefault="003B513C" w:rsidP="003B513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ADDITIONAL FILE 2 |</w:t>
            </w:r>
            <w:r w:rsidRPr="003B51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Sources of information vs. students’ knowledge.</w:t>
            </w:r>
          </w:p>
          <w:p w:rsidR="003B513C" w:rsidRPr="003B513C" w:rsidRDefault="003B513C" w:rsidP="003B51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3B513C" w:rsidRPr="003B513C" w:rsidTr="003B513C">
        <w:trPr>
          <w:trHeight w:val="345"/>
        </w:trPr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3374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Sources of information (percentage of participants who indicated the source)</w:t>
            </w:r>
          </w:p>
        </w:tc>
      </w:tr>
      <w:tr w:rsidR="003B513C" w:rsidRPr="003B513C" w:rsidTr="003B513C">
        <w:trPr>
          <w:trHeight w:val="765"/>
        </w:trPr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Mean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Health professionals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Middle or high school classes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Peers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Parents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Media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Other sources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A number of sources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No source indicated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3B513C" w:rsidRPr="003B513C" w:rsidTr="003B513C">
        <w:trPr>
          <w:trHeight w:val="270"/>
        </w:trPr>
        <w:tc>
          <w:tcPr>
            <w:tcW w:w="162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Knowledge* of: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n=456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(5.0%)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(28.3%)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(1.5%)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(1.8%)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(5.3%)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(8.3%)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(47.1%)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 w:eastAsia="pl-PL"/>
              </w:rPr>
              <w:t>(2.6%)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b/>
                <w:bCs/>
                <w:i/>
                <w:color w:val="000000"/>
                <w:sz w:val="20"/>
                <w:szCs w:val="20"/>
                <w:lang w:val="en-GB" w:eastAsia="pl-PL"/>
              </w:rPr>
              <w:t>p**</w:t>
            </w:r>
          </w:p>
        </w:tc>
      </w:tr>
      <w:tr w:rsidR="003B513C" w:rsidRPr="003B513C" w:rsidTr="003B513C">
        <w:trPr>
          <w:trHeight w:val="300"/>
        </w:trPr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Q4. definition of ovulation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  <w:t>97.8%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100.0%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98.4%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71.4%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100.0%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95.8%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97.4%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98.1%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100.0%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≤0.001</w:t>
            </w:r>
          </w:p>
        </w:tc>
      </w:tr>
      <w:tr w:rsidR="003B513C" w:rsidRPr="003B513C" w:rsidTr="003B513C">
        <w:trPr>
          <w:trHeight w:val="300"/>
        </w:trPr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Q6. timing of ovulation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  <w:t>59.2%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52.2%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50.4%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42.9%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25.0%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79.2%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73.7%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62.8%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50.0%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≤0.05</w:t>
            </w:r>
          </w:p>
        </w:tc>
      </w:tr>
      <w:tr w:rsidR="003B513C" w:rsidRPr="003B513C" w:rsidTr="003B513C">
        <w:trPr>
          <w:trHeight w:val="300"/>
        </w:trPr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Q7. cycle temperature changes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  <w:t>40.4%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39.1%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38.8%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28.6%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87.5%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45.8%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31.6%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41.4%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33.3%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0.0445</w:t>
            </w:r>
          </w:p>
        </w:tc>
      </w:tr>
      <w:tr w:rsidR="003B513C" w:rsidRPr="003B513C" w:rsidTr="003B513C">
        <w:trPr>
          <w:trHeight w:val="300"/>
        </w:trPr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Q11. length of female lifetime fertility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  <w:t>58.8%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56.5%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54.3%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28.6%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62.5%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54.2%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71.7%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65.1%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25.0%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≤0.05</w:t>
            </w:r>
          </w:p>
        </w:tc>
      </w:tr>
      <w:tr w:rsidR="003B513C" w:rsidRPr="003B513C" w:rsidTr="003B513C">
        <w:trPr>
          <w:trHeight w:val="300"/>
        </w:trPr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Q12. best time for first child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  <w:t>93.4%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87.0%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92.2%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71.4%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100.0%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87.5%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94.8%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95.8%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91.7%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0.012</w:t>
            </w:r>
          </w:p>
        </w:tc>
      </w:tr>
      <w:tr w:rsidR="003B513C" w:rsidRPr="003B513C" w:rsidTr="003B513C">
        <w:trPr>
          <w:trHeight w:val="300"/>
        </w:trPr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Q14. definition of menopause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  <w:t>20.8%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47.8%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13.2%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28.6%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0.0%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12.5%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50.0%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18.6%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25.0%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≤0.001</w:t>
            </w:r>
          </w:p>
        </w:tc>
      </w:tr>
      <w:tr w:rsidR="003B513C" w:rsidRPr="003B513C" w:rsidTr="003B513C">
        <w:trPr>
          <w:trHeight w:val="300"/>
        </w:trPr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Q15b. adverse factors: irregular circadian rhythms (T)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  <w:t>60.3%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65.2%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48.8%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42.9%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62.5%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70.8%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81.6%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62.3%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58.3%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≤0.05</w:t>
            </w:r>
          </w:p>
        </w:tc>
      </w:tr>
      <w:tr w:rsidR="003B513C" w:rsidRPr="003B513C" w:rsidTr="003B513C">
        <w:trPr>
          <w:trHeight w:val="300"/>
        </w:trPr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Q15h. adverse factors: long-lasting physical effort (T)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37.50%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56.5%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27.9%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57.1%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37.5%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20.8%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50.0%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40.9%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25.0%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≤0.05</w:t>
            </w:r>
          </w:p>
        </w:tc>
      </w:tr>
      <w:tr w:rsidR="003B513C" w:rsidRPr="003B513C" w:rsidTr="003B513C">
        <w:trPr>
          <w:trHeight w:val="300"/>
        </w:trPr>
        <w:tc>
          <w:tcPr>
            <w:tcW w:w="162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Q15k. adverse factors: full-time work (F)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92.30%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73.9%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94.6%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71.4%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87.5%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95.8%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86.8%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94.9%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83.3%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 w:eastAsia="pl-PL"/>
              </w:rPr>
              <w:t>≤0.05</w:t>
            </w:r>
          </w:p>
        </w:tc>
      </w:tr>
      <w:tr w:rsidR="003B513C" w:rsidRPr="003B513C" w:rsidTr="003B513C">
        <w:trPr>
          <w:trHeight w:val="25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C" w:rsidRPr="003B513C" w:rsidRDefault="003B513C" w:rsidP="003B513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en-GB" w:eastAsia="pl-PL"/>
              </w:rPr>
              <w:t>*As a proportion of correct answers.</w:t>
            </w:r>
          </w:p>
        </w:tc>
      </w:tr>
      <w:tr w:rsidR="003B513C" w:rsidRPr="003B513C" w:rsidTr="003B513C">
        <w:trPr>
          <w:trHeight w:val="25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C" w:rsidRPr="003B513C" w:rsidRDefault="003B513C" w:rsidP="003B513C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en-GB" w:eastAsia="pl-PL"/>
              </w:rPr>
              <w:t>** Only the statistically significant results are presented.</w:t>
            </w:r>
          </w:p>
        </w:tc>
      </w:tr>
      <w:tr w:rsidR="003B513C" w:rsidRPr="003B513C" w:rsidTr="003B513C">
        <w:trPr>
          <w:trHeight w:val="255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C" w:rsidRPr="003B513C" w:rsidRDefault="003B513C" w:rsidP="003B513C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en-GB" w:eastAsia="pl-PL"/>
              </w:rPr>
            </w:pPr>
            <w:r w:rsidRPr="003B513C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en-GB" w:eastAsia="pl-PL"/>
              </w:rPr>
              <w:t>T, true; F, false.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C" w:rsidRPr="003B513C" w:rsidRDefault="003B513C" w:rsidP="003B513C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val="en-GB" w:eastAsia="pl-PL"/>
              </w:rPr>
            </w:pPr>
          </w:p>
        </w:tc>
      </w:tr>
    </w:tbl>
    <w:p w:rsidR="005826A5" w:rsidRPr="003B513C" w:rsidRDefault="005826A5">
      <w:pPr>
        <w:rPr>
          <w:lang w:val="en-GB"/>
        </w:rPr>
      </w:pPr>
    </w:p>
    <w:sectPr w:rsidR="005826A5" w:rsidRPr="003B513C" w:rsidSect="003B51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513C"/>
    <w:rsid w:val="00307738"/>
    <w:rsid w:val="003B513C"/>
    <w:rsid w:val="00464160"/>
    <w:rsid w:val="004A3291"/>
    <w:rsid w:val="0058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Lipiak</dc:creator>
  <cp:lastModifiedBy>Lipiak</cp:lastModifiedBy>
  <cp:revision>1</cp:revision>
  <dcterms:created xsi:type="dcterms:W3CDTF">2020-08-28T10:24:00Z</dcterms:created>
  <dcterms:modified xsi:type="dcterms:W3CDTF">2020-08-28T10:28:00Z</dcterms:modified>
</cp:coreProperties>
</file>