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F4739F" w:rsidP="00F4739F">
      <w:pPr>
        <w:jc w:val="left"/>
        <w:outlineLvl w:val="0"/>
        <w:rPr>
          <w:b/>
          <w:i/>
          <w:sz w:val="30"/>
          <w:szCs w:val="30"/>
        </w:rPr>
      </w:pPr>
      <w:r w:rsidRPr="00EB5BD5">
        <w:rPr>
          <w:sz w:val="28"/>
          <w:szCs w:val="32"/>
        </w:rPr>
        <w:t>Supplementary for</w:t>
      </w:r>
    </w:p>
    <w:p w:rsidR="00AF1281" w:rsidRDefault="00AF1281" w:rsidP="00F46DEE">
      <w:pPr>
        <w:jc w:val="center"/>
        <w:outlineLvl w:val="0"/>
        <w:rPr>
          <w:b/>
          <w:i/>
          <w:sz w:val="30"/>
          <w:szCs w:val="30"/>
        </w:rPr>
      </w:pPr>
    </w:p>
    <w:p w:rsidR="00D05D9E" w:rsidRDefault="00F4739F" w:rsidP="00D05D9E">
      <w:pPr>
        <w:pStyle w:val="ad"/>
        <w:spacing w:before="0" w:after="0" w:line="360" w:lineRule="auto"/>
        <w:jc w:val="both"/>
        <w:rPr>
          <w:lang w:eastAsia="zh-CN"/>
        </w:rPr>
      </w:pPr>
      <w:r w:rsidRPr="00F4739F">
        <w:rPr>
          <w:szCs w:val="21"/>
          <w:lang w:val="en-GB"/>
        </w:rPr>
        <w:t>Root Exudates Metabolic Profiling Suggests Distinct Defense Mechanisms Between Resistant and Susceptible Tobacco Cultivars Against Black Shank Disease</w:t>
      </w:r>
    </w:p>
    <w:p w:rsidR="00891A5B" w:rsidRDefault="00F4739F" w:rsidP="00891A5B">
      <w:pPr>
        <w:pStyle w:val="AuthorList"/>
        <w:spacing w:after="0"/>
        <w:rPr>
          <w:rFonts w:eastAsia="宋体"/>
          <w:bCs/>
          <w:color w:val="000000"/>
        </w:rPr>
      </w:pPr>
      <w:r w:rsidRPr="005036BA">
        <w:rPr>
          <w:rFonts w:hint="eastAsia"/>
        </w:rPr>
        <w:t>Chengsheng Zhang</w:t>
      </w:r>
      <w:r w:rsidRPr="005036BA">
        <w:rPr>
          <w:vertAlign w:val="superscript"/>
        </w:rPr>
        <w:t>1, 2, 3#*</w:t>
      </w:r>
      <w:r w:rsidRPr="005036BA">
        <w:rPr>
          <w:rFonts w:hint="eastAsia"/>
        </w:rPr>
        <w:t xml:space="preserve">, </w:t>
      </w:r>
      <w:r w:rsidRPr="005036BA">
        <w:t xml:space="preserve">Chao Feng </w:t>
      </w:r>
      <w:r w:rsidRPr="005036BA">
        <w:rPr>
          <w:vertAlign w:val="superscript"/>
        </w:rPr>
        <w:t>1,3#</w:t>
      </w:r>
      <w:r w:rsidRPr="005036BA">
        <w:t>, Yanfen Zheng</w:t>
      </w:r>
      <w:r w:rsidRPr="005036BA">
        <w:rPr>
          <w:vertAlign w:val="superscript"/>
        </w:rPr>
        <w:t>1</w:t>
      </w:r>
      <w:r w:rsidRPr="005036BA">
        <w:t>, Jing Wang</w:t>
      </w:r>
      <w:r w:rsidRPr="005036BA">
        <w:rPr>
          <w:vertAlign w:val="superscript"/>
        </w:rPr>
        <w:t>1, 2</w:t>
      </w:r>
      <w:r w:rsidRPr="005036BA">
        <w:rPr>
          <w:rFonts w:hint="eastAsia"/>
        </w:rPr>
        <w:t xml:space="preserve">, </w:t>
      </w:r>
      <w:bookmarkStart w:id="0" w:name="_Hlk35609672"/>
      <w:r w:rsidRPr="005036BA">
        <w:t>Fenglong Wang</w:t>
      </w:r>
      <w:bookmarkEnd w:id="0"/>
      <w:r w:rsidRPr="005036BA">
        <w:rPr>
          <w:vertAlign w:val="superscript"/>
        </w:rPr>
        <w:t>1,3*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szCs w:val="22"/>
          <w:lang w:eastAsia="en-US"/>
        </w:rPr>
      </w:pPr>
      <w:r w:rsidRPr="00F4739F">
        <w:rPr>
          <w:rFonts w:eastAsiaTheme="minorHAnsi" w:cstheme="minorBidi"/>
          <w:kern w:val="0"/>
          <w:sz w:val="24"/>
          <w:szCs w:val="22"/>
          <w:vertAlign w:val="superscript"/>
          <w:lang w:eastAsia="en-US"/>
        </w:rPr>
        <w:t>1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 xml:space="preserve">Marine Agriculture Research Center, Tobacco Research Institute of Chinese </w:t>
      </w:r>
      <w:r w:rsidRPr="00F4739F">
        <w:rPr>
          <w:rFonts w:eastAsiaTheme="minorHAnsi" w:cstheme="minorBidi" w:hint="eastAsia"/>
          <w:kern w:val="0"/>
          <w:sz w:val="24"/>
          <w:szCs w:val="22"/>
          <w:lang w:eastAsia="en-US"/>
        </w:rPr>
        <w:t>A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>cademy of Agricultural Sciences, Qingdao, China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szCs w:val="22"/>
          <w:lang w:eastAsia="en-US"/>
        </w:rPr>
      </w:pPr>
      <w:r w:rsidRPr="00F4739F">
        <w:rPr>
          <w:rFonts w:eastAsiaTheme="minorHAnsi" w:cstheme="minorBidi"/>
          <w:kern w:val="0"/>
          <w:sz w:val="24"/>
          <w:szCs w:val="22"/>
          <w:vertAlign w:val="superscript"/>
          <w:lang w:eastAsia="en-US"/>
        </w:rPr>
        <w:t>2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 xml:space="preserve">Qingdao Special Crops Research Center of Chinese </w:t>
      </w:r>
      <w:r w:rsidRPr="00F4739F">
        <w:rPr>
          <w:rFonts w:eastAsiaTheme="minorHAnsi" w:cstheme="minorBidi" w:hint="eastAsia"/>
          <w:kern w:val="0"/>
          <w:sz w:val="24"/>
          <w:szCs w:val="22"/>
          <w:lang w:eastAsia="en-US"/>
        </w:rPr>
        <w:t>A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>cademy of Agricultural Sciences, Qingdao, China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szCs w:val="22"/>
          <w:lang w:eastAsia="en-US"/>
        </w:rPr>
      </w:pPr>
      <w:r w:rsidRPr="00F4739F">
        <w:rPr>
          <w:rFonts w:eastAsiaTheme="minorHAnsi" w:cstheme="minorBidi"/>
          <w:kern w:val="0"/>
          <w:sz w:val="24"/>
          <w:szCs w:val="22"/>
          <w:vertAlign w:val="superscript"/>
          <w:lang w:eastAsia="en-US"/>
        </w:rPr>
        <w:t>3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>Pest Integrated Management Key Laboratory of China Tobacco, Qingdao, China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/>
          <w:color w:val="000000" w:themeColor="text1"/>
          <w:kern w:val="0"/>
          <w:sz w:val="24"/>
          <w:szCs w:val="22"/>
          <w:lang w:eastAsia="en-US"/>
        </w:rPr>
      </w:pPr>
      <w:r w:rsidRPr="00F4739F">
        <w:rPr>
          <w:rFonts w:eastAsiaTheme="minorHAnsi"/>
          <w:color w:val="000000" w:themeColor="text1"/>
          <w:kern w:val="0"/>
          <w:sz w:val="24"/>
          <w:szCs w:val="22"/>
          <w:lang w:eastAsia="en-US"/>
        </w:rPr>
        <w:t>Running title: Metabolic profiling of tobacco root exudates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lang w:eastAsia="en-US"/>
        </w:rPr>
      </w:pPr>
      <w:r w:rsidRPr="00F4739F">
        <w:rPr>
          <w:rFonts w:asciiTheme="minorEastAsia" w:eastAsiaTheme="minorHAnsi" w:hAnsiTheme="minorEastAsia" w:cstheme="minorBidi" w:hint="eastAsia"/>
          <w:kern w:val="0"/>
          <w:sz w:val="24"/>
          <w:szCs w:val="22"/>
          <w:lang w:eastAsia="en-US"/>
        </w:rPr>
        <w:t>#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 xml:space="preserve"> Authors contributed equally to the article.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szCs w:val="22"/>
          <w:lang w:eastAsia="en-US"/>
        </w:rPr>
      </w:pP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>*</w:t>
      </w:r>
      <w:r w:rsidRPr="00F4739F">
        <w:rPr>
          <w:rFonts w:eastAsiaTheme="minorHAnsi" w:cstheme="minorBidi"/>
          <w:b/>
          <w:kern w:val="0"/>
          <w:sz w:val="24"/>
          <w:szCs w:val="22"/>
          <w:lang w:eastAsia="en-US"/>
        </w:rPr>
        <w:t>Correspondence:</w:t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 xml:space="preserve"> </w:t>
      </w:r>
      <w:r w:rsidRPr="00F4739F">
        <w:rPr>
          <w:rFonts w:eastAsiaTheme="minorHAnsi"/>
          <w:b/>
          <w:kern w:val="0"/>
          <w:sz w:val="24"/>
          <w:lang w:eastAsia="en-US"/>
        </w:rPr>
        <w:br/>
      </w: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>Fenglong Wang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lang w:eastAsia="en-US"/>
        </w:rPr>
      </w:pPr>
      <w:hyperlink r:id="rId8" w:history="1">
        <w:r w:rsidRPr="00F4739F">
          <w:rPr>
            <w:rFonts w:eastAsiaTheme="minorHAnsi" w:cstheme="minorBidi"/>
            <w:color w:val="0000FF"/>
            <w:kern w:val="0"/>
            <w:sz w:val="24"/>
            <w:u w:val="single"/>
            <w:lang w:eastAsia="en-US"/>
          </w:rPr>
          <w:t>wangfenglong@caas.cn</w:t>
        </w:r>
      </w:hyperlink>
      <w:r w:rsidRPr="00F4739F">
        <w:rPr>
          <w:rFonts w:eastAsiaTheme="minorHAnsi" w:cstheme="minorBidi"/>
          <w:kern w:val="0"/>
          <w:sz w:val="24"/>
          <w:lang w:eastAsia="en-US"/>
        </w:rPr>
        <w:t xml:space="preserve"> 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szCs w:val="22"/>
          <w:lang w:eastAsia="en-US"/>
        </w:rPr>
      </w:pPr>
      <w:r w:rsidRPr="00F4739F">
        <w:rPr>
          <w:rFonts w:eastAsiaTheme="minorHAnsi" w:cstheme="minorBidi"/>
          <w:kern w:val="0"/>
          <w:sz w:val="24"/>
          <w:szCs w:val="22"/>
          <w:lang w:eastAsia="en-US"/>
        </w:rPr>
        <w:t xml:space="preserve">Chengsheng Zhang </w:t>
      </w:r>
    </w:p>
    <w:p w:rsidR="00F4739F" w:rsidRPr="00F4739F" w:rsidRDefault="00F4739F" w:rsidP="00F4739F">
      <w:pPr>
        <w:widowControl/>
        <w:spacing w:before="120" w:after="240"/>
        <w:jc w:val="left"/>
        <w:rPr>
          <w:rFonts w:eastAsiaTheme="minorHAnsi" w:cstheme="minorBidi"/>
          <w:kern w:val="0"/>
          <w:sz w:val="24"/>
          <w:lang w:eastAsia="en-US"/>
        </w:rPr>
      </w:pPr>
      <w:hyperlink r:id="rId9" w:history="1">
        <w:r w:rsidRPr="00F4739F">
          <w:rPr>
            <w:rFonts w:eastAsiaTheme="minorHAnsi" w:cstheme="minorBidi"/>
            <w:color w:val="0000FF"/>
            <w:kern w:val="0"/>
            <w:sz w:val="24"/>
            <w:u w:val="single"/>
            <w:lang w:eastAsia="en-US"/>
          </w:rPr>
          <w:t>zhangchengsheng@caas.cn</w:t>
        </w:r>
      </w:hyperlink>
    </w:p>
    <w:p w:rsidR="00891A5B" w:rsidRPr="00891A5B" w:rsidRDefault="00F4739F" w:rsidP="00891A5B">
      <w:pPr>
        <w:spacing w:before="240"/>
        <w:rPr>
          <w:b/>
          <w:sz w:val="24"/>
        </w:rPr>
      </w:pPr>
      <w:r>
        <w:rPr>
          <w:sz w:val="24"/>
          <w:vertAlign w:val="superscript"/>
        </w:rPr>
        <w:t>#</w:t>
      </w:r>
      <w:r w:rsidR="00891A5B" w:rsidRPr="00891A5B">
        <w:rPr>
          <w:sz w:val="24"/>
        </w:rPr>
        <w:t>These authors contributed equally to this work</w:t>
      </w:r>
      <w:r w:rsidR="00891A5B" w:rsidRPr="00891A5B">
        <w:rPr>
          <w:rFonts w:hint="eastAsia"/>
          <w:sz w:val="24"/>
        </w:rPr>
        <w:t>.</w:t>
      </w:r>
    </w:p>
    <w:p w:rsidR="00F4739F" w:rsidRPr="00F4739F" w:rsidRDefault="00891A5B" w:rsidP="00F4739F">
      <w:pPr>
        <w:pStyle w:val="AuthorList"/>
        <w:rPr>
          <w:rFonts w:eastAsiaTheme="minorHAnsi"/>
          <w:iCs/>
        </w:rPr>
      </w:pPr>
      <w:r w:rsidRPr="00891A5B">
        <w:t xml:space="preserve">Keywords: </w:t>
      </w:r>
      <w:r w:rsidR="00F4739F" w:rsidRPr="00F4739F">
        <w:rPr>
          <w:rFonts w:eastAsiaTheme="minorHAnsi"/>
          <w:i/>
        </w:rPr>
        <w:t xml:space="preserve">Phytophthora nicotianae, </w:t>
      </w:r>
      <w:r w:rsidR="00F4739F" w:rsidRPr="00F4739F">
        <w:rPr>
          <w:rFonts w:eastAsiaTheme="minorHAnsi"/>
          <w:iCs/>
        </w:rPr>
        <w:t xml:space="preserve">metabolic profiling; tobacco; </w:t>
      </w:r>
      <w:r w:rsidR="00F4739F" w:rsidRPr="00F4739F">
        <w:rPr>
          <w:rFonts w:eastAsiaTheme="minorHAnsi"/>
          <w:i/>
        </w:rPr>
        <w:t>Nicotiana</w:t>
      </w:r>
      <w:r w:rsidR="00F4739F" w:rsidRPr="00F4739F">
        <w:rPr>
          <w:rFonts w:eastAsiaTheme="minorHAnsi"/>
          <w:iCs/>
        </w:rPr>
        <w:t>; disease resistance; defense mechanisms</w:t>
      </w:r>
    </w:p>
    <w:p w:rsidR="006D2555" w:rsidRPr="00F4739F" w:rsidRDefault="006D2555" w:rsidP="00891A5B">
      <w:pPr>
        <w:autoSpaceDE w:val="0"/>
        <w:autoSpaceDN w:val="0"/>
        <w:spacing w:before="240"/>
        <w:rPr>
          <w:b/>
          <w:color w:val="000000"/>
          <w:sz w:val="24"/>
        </w:rPr>
      </w:pPr>
    </w:p>
    <w:p w:rsidR="006D2555" w:rsidRPr="00891A5B" w:rsidRDefault="006D2555" w:rsidP="00891A5B">
      <w:pPr>
        <w:widowControl/>
        <w:jc w:val="left"/>
        <w:rPr>
          <w:b/>
          <w:bCs/>
          <w:color w:val="000000"/>
          <w:kern w:val="0"/>
          <w:sz w:val="24"/>
        </w:rPr>
      </w:pPr>
      <w:r w:rsidRPr="00891A5B">
        <w:rPr>
          <w:b/>
          <w:bCs/>
          <w:color w:val="000000"/>
          <w:kern w:val="0"/>
          <w:sz w:val="24"/>
        </w:rPr>
        <w:br w:type="page"/>
      </w:r>
    </w:p>
    <w:p w:rsidR="00F4739F" w:rsidRPr="00707E01" w:rsidRDefault="00F4739F" w:rsidP="00F4739F">
      <w:pPr>
        <w:spacing w:line="360" w:lineRule="auto"/>
        <w:rPr>
          <w:sz w:val="24"/>
        </w:rPr>
      </w:pPr>
      <w:r w:rsidRPr="00707E01">
        <w:rPr>
          <w:sz w:val="24"/>
        </w:rPr>
        <w:lastRenderedPageBreak/>
        <w:t xml:space="preserve">Figure S1 </w:t>
      </w:r>
      <w:r>
        <w:rPr>
          <w:sz w:val="24"/>
        </w:rPr>
        <w:t xml:space="preserve">The disease incidence of </w:t>
      </w:r>
      <w:r w:rsidRPr="00F4739F">
        <w:rPr>
          <w:sz w:val="24"/>
        </w:rPr>
        <w:t xml:space="preserve">different varieties after </w:t>
      </w:r>
      <w:r w:rsidR="00862B2E">
        <w:rPr>
          <w:sz w:val="24"/>
        </w:rPr>
        <w:t>7</w:t>
      </w:r>
      <w:r w:rsidR="00676E14">
        <w:rPr>
          <w:sz w:val="24"/>
        </w:rPr>
        <w:t xml:space="preserve"> days of </w:t>
      </w:r>
      <w:r w:rsidR="00676E14" w:rsidRPr="00676E14">
        <w:rPr>
          <w:i/>
          <w:sz w:val="24"/>
        </w:rPr>
        <w:t>Photophthora nicotianae</w:t>
      </w:r>
      <w:r w:rsidR="00676E14">
        <w:rPr>
          <w:sz w:val="24"/>
        </w:rPr>
        <w:t xml:space="preserve"> </w:t>
      </w:r>
      <w:r w:rsidRPr="00F4739F">
        <w:rPr>
          <w:sz w:val="24"/>
        </w:rPr>
        <w:t>inoculation</w:t>
      </w:r>
      <w:r>
        <w:rPr>
          <w:sz w:val="24"/>
        </w:rPr>
        <w:t>.</w:t>
      </w:r>
      <w:r w:rsidR="00676E14">
        <w:rPr>
          <w:sz w:val="24"/>
        </w:rPr>
        <w:t xml:space="preserve"> a, inoculated Xiaohuangjin 1025; b, inoculated Gexin 3; c, non-inoculated Xiaohuangjin 1025; d, </w:t>
      </w:r>
      <w:r w:rsidR="00676E14">
        <w:rPr>
          <w:sz w:val="24"/>
        </w:rPr>
        <w:t xml:space="preserve">non-inoculated </w:t>
      </w:r>
      <w:r w:rsidR="00676E14">
        <w:rPr>
          <w:sz w:val="24"/>
        </w:rPr>
        <w:t>Gexin 3.</w:t>
      </w:r>
    </w:p>
    <w:p w:rsidR="00676E14" w:rsidRPr="00676E14" w:rsidRDefault="00676E14" w:rsidP="0070709E">
      <w:pPr>
        <w:spacing w:line="360" w:lineRule="auto"/>
        <w:jc w:val="center"/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486400" cy="5958840"/>
            <wp:effectExtent l="0" t="0" r="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39F" w:rsidRPr="00862B2E" w:rsidRDefault="00F4739F" w:rsidP="0070709E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F4739F" w:rsidRDefault="00F4739F" w:rsidP="0070709E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862B2E" w:rsidRDefault="00862B2E" w:rsidP="0070709E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862B2E" w:rsidRDefault="00862B2E" w:rsidP="0070709E">
      <w:pPr>
        <w:spacing w:line="360" w:lineRule="auto"/>
        <w:jc w:val="center"/>
        <w:rPr>
          <w:rFonts w:hint="eastAsia"/>
          <w:b/>
          <w:bCs/>
          <w:color w:val="000000"/>
          <w:sz w:val="24"/>
        </w:rPr>
      </w:pPr>
    </w:p>
    <w:p w:rsidR="0070709E" w:rsidRDefault="00862B2E" w:rsidP="00691D95">
      <w:pPr>
        <w:spacing w:line="360" w:lineRule="auto"/>
        <w:rPr>
          <w:b/>
          <w:bCs/>
          <w:sz w:val="24"/>
        </w:rPr>
      </w:pPr>
      <w:r>
        <w:rPr>
          <w:b/>
          <w:bCs/>
          <w:color w:val="000000"/>
          <w:sz w:val="24"/>
        </w:rPr>
        <w:t xml:space="preserve">Figure </w:t>
      </w:r>
      <w:r w:rsidR="0070709E">
        <w:rPr>
          <w:b/>
          <w:bCs/>
          <w:color w:val="000000"/>
          <w:sz w:val="24"/>
        </w:rPr>
        <w:t>S</w:t>
      </w:r>
      <w:r>
        <w:rPr>
          <w:b/>
          <w:bCs/>
          <w:color w:val="000000"/>
          <w:sz w:val="24"/>
        </w:rPr>
        <w:t>2</w:t>
      </w:r>
      <w:r w:rsidR="0070709E">
        <w:rPr>
          <w:b/>
          <w:bCs/>
          <w:color w:val="000000"/>
          <w:sz w:val="24"/>
        </w:rPr>
        <w:t xml:space="preserve"> </w:t>
      </w:r>
      <w:r w:rsidR="00E204BF" w:rsidRPr="002466A6">
        <w:rPr>
          <w:sz w:val="24"/>
          <w:lang w:val="en-GB"/>
        </w:rPr>
        <w:t xml:space="preserve">Total ions current overlaps of the quality control </w:t>
      </w:r>
      <w:r w:rsidR="00691D95">
        <w:rPr>
          <w:sz w:val="24"/>
          <w:lang w:val="en-GB"/>
        </w:rPr>
        <w:t>(QC)</w:t>
      </w:r>
      <w:r w:rsidR="00691D95" w:rsidRPr="002466A6">
        <w:rPr>
          <w:sz w:val="24"/>
          <w:lang w:val="en-GB"/>
        </w:rPr>
        <w:t xml:space="preserve"> </w:t>
      </w:r>
      <w:r w:rsidR="00E204BF" w:rsidRPr="002466A6">
        <w:rPr>
          <w:sz w:val="24"/>
          <w:lang w:val="en-GB"/>
        </w:rPr>
        <w:t>samplesby mass spectrometry detection.</w:t>
      </w:r>
      <w:r w:rsidR="00E204BF">
        <w:rPr>
          <w:sz w:val="24"/>
          <w:lang w:val="en-GB"/>
        </w:rPr>
        <w:t xml:space="preserve"> a, </w:t>
      </w:r>
      <w:r w:rsidR="00E204BF" w:rsidRPr="00E204BF">
        <w:rPr>
          <w:sz w:val="24"/>
          <w:lang w:val="en-GB"/>
        </w:rPr>
        <w:t>six samples at the beginning, one QC</w:t>
      </w:r>
      <w:r w:rsidR="00691D95">
        <w:rPr>
          <w:sz w:val="24"/>
          <w:lang w:val="en-GB"/>
        </w:rPr>
        <w:t xml:space="preserve"> sample</w:t>
      </w:r>
      <w:r w:rsidR="00E204BF" w:rsidRPr="00E204BF">
        <w:rPr>
          <w:sz w:val="24"/>
          <w:lang w:val="en-GB"/>
        </w:rPr>
        <w:t xml:space="preserve"> after the first six samples, and one QC</w:t>
      </w:r>
      <w:r w:rsidR="00691D95">
        <w:rPr>
          <w:sz w:val="24"/>
          <w:lang w:val="en-GB"/>
        </w:rPr>
        <w:t xml:space="preserve"> sample</w:t>
      </w:r>
      <w:r w:rsidR="00E204BF" w:rsidRPr="00E204BF">
        <w:rPr>
          <w:sz w:val="24"/>
          <w:lang w:val="en-GB"/>
        </w:rPr>
        <w:t xml:space="preserve"> after the last six samples under ESI positive mode</w:t>
      </w:r>
      <w:r w:rsidR="00691D95">
        <w:rPr>
          <w:sz w:val="24"/>
          <w:lang w:val="en-GB"/>
        </w:rPr>
        <w:t xml:space="preserve">; b, </w:t>
      </w:r>
      <w:r w:rsidR="00691D95" w:rsidRPr="00691D95">
        <w:rPr>
          <w:sz w:val="24"/>
          <w:lang w:val="en-GB"/>
        </w:rPr>
        <w:t>the first and last QC samples</w:t>
      </w:r>
      <w:r w:rsidR="00691D95">
        <w:rPr>
          <w:sz w:val="24"/>
          <w:lang w:val="en-GB"/>
        </w:rPr>
        <w:t xml:space="preserve"> </w:t>
      </w:r>
      <w:r w:rsidR="00691D95" w:rsidRPr="00691D95">
        <w:rPr>
          <w:sz w:val="24"/>
          <w:lang w:val="en-GB"/>
        </w:rPr>
        <w:t>under ESI negative mode</w:t>
      </w:r>
      <w:r w:rsidR="00691D95">
        <w:rPr>
          <w:sz w:val="24"/>
          <w:lang w:val="en-GB"/>
        </w:rPr>
        <w:t>.</w:t>
      </w:r>
    </w:p>
    <w:p w:rsidR="00D34796" w:rsidRDefault="00862B2E" w:rsidP="0070709E">
      <w:pPr>
        <w:autoSpaceDE w:val="0"/>
        <w:autoSpaceDN w:val="0"/>
        <w:adjustRightInd w:val="0"/>
        <w:snapToGrid w:val="0"/>
        <w:spacing w:line="480" w:lineRule="auto"/>
        <w:ind w:firstLineChars="98" w:firstLine="235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86400" cy="575373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B2E" w:rsidRPr="0070709E" w:rsidRDefault="00862B2E" w:rsidP="0070709E">
      <w:pPr>
        <w:autoSpaceDE w:val="0"/>
        <w:autoSpaceDN w:val="0"/>
        <w:adjustRightInd w:val="0"/>
        <w:snapToGrid w:val="0"/>
        <w:spacing w:line="480" w:lineRule="auto"/>
        <w:ind w:firstLineChars="98" w:firstLine="235"/>
        <w:jc w:val="center"/>
        <w:rPr>
          <w:rFonts w:hint="eastAsia"/>
          <w:sz w:val="24"/>
        </w:rPr>
      </w:pPr>
    </w:p>
    <w:p w:rsidR="005B6949" w:rsidRDefault="00D34796" w:rsidP="00D34796">
      <w:pPr>
        <w:autoSpaceDE w:val="0"/>
        <w:autoSpaceDN w:val="0"/>
        <w:adjustRightInd w:val="0"/>
        <w:snapToGrid w:val="0"/>
        <w:spacing w:line="360" w:lineRule="auto"/>
        <w:jc w:val="center"/>
        <w:rPr>
          <w:color w:val="000000"/>
          <w:sz w:val="24"/>
        </w:rPr>
      </w:pPr>
      <w:r w:rsidRPr="00D34796">
        <w:rPr>
          <w:rFonts w:hint="eastAsia"/>
          <w:b/>
          <w:sz w:val="24"/>
        </w:rPr>
        <w:t>T</w:t>
      </w:r>
      <w:r w:rsidRPr="00D34796">
        <w:rPr>
          <w:b/>
          <w:sz w:val="24"/>
        </w:rPr>
        <w:t>able S</w:t>
      </w:r>
      <w:r>
        <w:rPr>
          <w:b/>
          <w:sz w:val="24"/>
        </w:rPr>
        <w:t>2</w:t>
      </w:r>
      <w:r w:rsidRPr="00D34796">
        <w:rPr>
          <w:b/>
          <w:sz w:val="24"/>
        </w:rPr>
        <w:t>.</w:t>
      </w:r>
      <w:r>
        <w:rPr>
          <w:sz w:val="24"/>
        </w:rPr>
        <w:t xml:space="preserve"> </w:t>
      </w:r>
      <w:r w:rsidR="0070709E" w:rsidRPr="0070709E">
        <w:rPr>
          <w:sz w:val="24"/>
        </w:rPr>
        <w:t>Gibbs free energies</w:t>
      </w:r>
      <w:r w:rsidR="0070709E" w:rsidRPr="0070709E">
        <w:rPr>
          <w:i/>
          <w:sz w:val="24"/>
          <w:vertAlign w:val="superscript"/>
        </w:rPr>
        <w:t>a</w:t>
      </w:r>
      <w:r w:rsidR="0070709E" w:rsidRPr="0070709E">
        <w:rPr>
          <w:sz w:val="24"/>
        </w:rPr>
        <w:t xml:space="preserve"> and equilibrium populations</w:t>
      </w:r>
      <w:bookmarkStart w:id="1" w:name="OLE_LINK9"/>
      <w:bookmarkStart w:id="2" w:name="OLE_LINK10"/>
      <w:r w:rsidR="0070709E" w:rsidRPr="0070709E">
        <w:rPr>
          <w:i/>
          <w:sz w:val="24"/>
          <w:vertAlign w:val="superscript"/>
        </w:rPr>
        <w:t>b</w:t>
      </w:r>
      <w:bookmarkEnd w:id="1"/>
      <w:bookmarkEnd w:id="2"/>
      <w:r w:rsidR="0070709E" w:rsidRPr="0070709E">
        <w:rPr>
          <w:sz w:val="24"/>
        </w:rPr>
        <w:t xml:space="preserve"> of low-energy conformers of </w:t>
      </w:r>
      <w:r w:rsidR="0070709E">
        <w:rPr>
          <w:b/>
          <w:sz w:val="24"/>
        </w:rPr>
        <w:t>3</w:t>
      </w:r>
      <w:r w:rsidR="0070709E" w:rsidRPr="0070709E">
        <w:rPr>
          <w:sz w:val="24"/>
        </w:rPr>
        <w:t>.</w:t>
      </w:r>
    </w:p>
    <w:p w:rsidR="0070709E" w:rsidRPr="004D1F81" w:rsidRDefault="0070709E" w:rsidP="0070709E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751"/>
        <w:gridCol w:w="1028"/>
      </w:tblGrid>
      <w:tr w:rsidR="0070709E" w:rsidRPr="004D1F81" w:rsidTr="004A52DE">
        <w:trPr>
          <w:jc w:val="center"/>
        </w:trPr>
        <w:tc>
          <w:tcPr>
            <w:tcW w:w="0" w:type="auto"/>
            <w:vMerge w:val="restart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szCs w:val="21"/>
              </w:rPr>
              <w:t>Conformers</w:t>
            </w:r>
          </w:p>
        </w:tc>
        <w:tc>
          <w:tcPr>
            <w:tcW w:w="0" w:type="auto"/>
            <w:gridSpan w:val="2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szCs w:val="21"/>
              </w:rPr>
              <w:t>In MeOH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Merge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709E" w:rsidRPr="004D1F81" w:rsidRDefault="0070709E" w:rsidP="007070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kern w:val="0"/>
                <w:szCs w:val="21"/>
              </w:rPr>
            </w:pPr>
            <w:r w:rsidRPr="004D1F81">
              <w:rPr>
                <w:i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i/>
                <w:szCs w:val="21"/>
              </w:rPr>
              <w:t>P</w:t>
            </w:r>
            <w:r w:rsidRPr="004D1F81">
              <w:rPr>
                <w:szCs w:val="21"/>
              </w:rPr>
              <w:t xml:space="preserve"> (%)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-1181751.9763257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18.35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-1181751.88784679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15.80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-1181752.12504557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23.59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4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-1181752.13634075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24.04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vAlign w:val="center"/>
          </w:tcPr>
          <w:p w:rsidR="0070709E" w:rsidRPr="004D1F81" w:rsidRDefault="0070709E" w:rsidP="0070709E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Pr="004D1F81">
              <w:rPr>
                <w:b/>
                <w:szCs w:val="21"/>
              </w:rPr>
              <w:t>-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-1181751.97193313</w:t>
            </w:r>
          </w:p>
        </w:tc>
        <w:tc>
          <w:tcPr>
            <w:tcW w:w="0" w:type="auto"/>
          </w:tcPr>
          <w:p w:rsidR="0070709E" w:rsidRPr="00707127" w:rsidRDefault="0070709E" w:rsidP="0070709E">
            <w:pPr>
              <w:jc w:val="center"/>
            </w:pPr>
            <w:r w:rsidRPr="00707127">
              <w:t>18.21</w:t>
            </w:r>
          </w:p>
        </w:tc>
      </w:tr>
      <w:tr w:rsidR="0070709E" w:rsidRPr="004D1F81" w:rsidTr="004A52DE">
        <w:trPr>
          <w:jc w:val="center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709E" w:rsidRPr="004D1F81" w:rsidRDefault="0070709E" w:rsidP="004A52DE">
            <w:pPr>
              <w:spacing w:line="0" w:lineRule="atLeast"/>
              <w:jc w:val="center"/>
              <w:rPr>
                <w:szCs w:val="21"/>
              </w:rPr>
            </w:pPr>
            <w:r w:rsidRPr="004D1F81">
              <w:rPr>
                <w:i/>
                <w:szCs w:val="21"/>
                <w:vertAlign w:val="superscript"/>
              </w:rPr>
              <w:t>a</w:t>
            </w:r>
            <w:r w:rsidRPr="004D1F81">
              <w:rPr>
                <w:szCs w:val="21"/>
              </w:rPr>
              <w:t xml:space="preserve">B3LYP/6-31+G(d,p), in kcal/mol. </w:t>
            </w:r>
            <w:r w:rsidRPr="004D1F81">
              <w:rPr>
                <w:i/>
                <w:szCs w:val="21"/>
                <w:vertAlign w:val="superscript"/>
              </w:rPr>
              <w:t>b</w:t>
            </w:r>
            <w:r w:rsidRPr="004D1F81">
              <w:rPr>
                <w:szCs w:val="21"/>
              </w:rPr>
              <w:t xml:space="preserve">From </w:t>
            </w:r>
            <w:r w:rsidRPr="004D1F81">
              <w:rPr>
                <w:i/>
                <w:szCs w:val="21"/>
              </w:rPr>
              <w:t>G</w:t>
            </w:r>
            <w:r w:rsidRPr="004D1F81">
              <w:rPr>
                <w:szCs w:val="21"/>
              </w:rPr>
              <w:t xml:space="preserve"> values at 298.15K.</w:t>
            </w:r>
          </w:p>
        </w:tc>
      </w:tr>
    </w:tbl>
    <w:p w:rsidR="00D34796" w:rsidRPr="0070709E" w:rsidRDefault="00D34796" w:rsidP="002D6957">
      <w:pPr>
        <w:autoSpaceDE w:val="0"/>
        <w:autoSpaceDN w:val="0"/>
        <w:adjustRightInd w:val="0"/>
        <w:snapToGrid w:val="0"/>
        <w:spacing w:line="480" w:lineRule="auto"/>
        <w:ind w:firstLineChars="98" w:firstLine="235"/>
        <w:rPr>
          <w:color w:val="000000"/>
          <w:sz w:val="24"/>
        </w:rPr>
      </w:pPr>
    </w:p>
    <w:p w:rsidR="00691D95" w:rsidRPr="00691D95" w:rsidRDefault="0070709E" w:rsidP="00691D95">
      <w:pPr>
        <w:spacing w:line="360" w:lineRule="auto"/>
        <w:rPr>
          <w:b/>
          <w:bCs/>
          <w:color w:val="000000"/>
          <w:sz w:val="24"/>
        </w:rPr>
      </w:pPr>
      <w:r>
        <w:rPr>
          <w:color w:val="000000"/>
          <w:sz w:val="24"/>
        </w:rPr>
        <w:br w:type="page"/>
      </w:r>
      <w:r w:rsidR="00691D95" w:rsidRPr="00691D95">
        <w:rPr>
          <w:b/>
          <w:bCs/>
          <w:color w:val="000000"/>
          <w:sz w:val="24"/>
        </w:rPr>
        <w:t xml:space="preserve">Figure </w:t>
      </w:r>
      <w:r w:rsidR="00691D95">
        <w:rPr>
          <w:b/>
          <w:bCs/>
          <w:color w:val="000000"/>
          <w:sz w:val="24"/>
        </w:rPr>
        <w:t>S3</w:t>
      </w:r>
      <w:r w:rsidR="00691D95" w:rsidRPr="00691D95">
        <w:rPr>
          <w:b/>
          <w:bCs/>
          <w:color w:val="000000"/>
          <w:sz w:val="24"/>
        </w:rPr>
        <w:t xml:space="preserve"> Heatmap of the Top 22 discriminant metabolites in tobacco root exudates. The data were normalized with values of Log (peak area of each compound /average peak area of each compound within four groups). R, </w:t>
      </w:r>
      <w:r w:rsidR="00691D95">
        <w:rPr>
          <w:b/>
          <w:bCs/>
          <w:color w:val="000000"/>
          <w:sz w:val="24"/>
        </w:rPr>
        <w:t>non</w:t>
      </w:r>
      <w:r w:rsidR="00691D95" w:rsidRPr="00691D95">
        <w:rPr>
          <w:b/>
          <w:bCs/>
          <w:color w:val="000000"/>
          <w:sz w:val="24"/>
        </w:rPr>
        <w:t xml:space="preserve">-inoculated Gexin 3; S, </w:t>
      </w:r>
      <w:r w:rsidR="00691D95">
        <w:rPr>
          <w:b/>
          <w:bCs/>
          <w:color w:val="000000"/>
          <w:sz w:val="24"/>
        </w:rPr>
        <w:t>non</w:t>
      </w:r>
      <w:r w:rsidR="00691D95" w:rsidRPr="00691D95">
        <w:rPr>
          <w:b/>
          <w:bCs/>
          <w:color w:val="000000"/>
          <w:sz w:val="24"/>
        </w:rPr>
        <w:t>-inoculated Xiao</w:t>
      </w:r>
      <w:bookmarkStart w:id="3" w:name="_GoBack"/>
      <w:bookmarkEnd w:id="3"/>
      <w:r w:rsidR="00691D95" w:rsidRPr="00691D95">
        <w:rPr>
          <w:b/>
          <w:bCs/>
          <w:color w:val="000000"/>
          <w:sz w:val="24"/>
        </w:rPr>
        <w:t>huangjin 1025; Ri, inoculated Gexin 3; Si, inoculated Xiaohuangjin 1025.</w:t>
      </w:r>
    </w:p>
    <w:p w:rsidR="0070709E" w:rsidRPr="00691D95" w:rsidRDefault="00691D95">
      <w:pPr>
        <w:widowControl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86400" cy="377380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 S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09E" w:rsidRPr="00691D95" w:rsidSect="000A1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F" w:rsidRDefault="00F4739F" w:rsidP="00F46DEE">
      <w:r>
        <w:separator/>
      </w:r>
    </w:p>
  </w:endnote>
  <w:endnote w:type="continuationSeparator" w:id="0">
    <w:p w:rsidR="00F4739F" w:rsidRDefault="00F4739F" w:rsidP="00F4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 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F" w:rsidRDefault="00F4739F" w:rsidP="00F46DEE">
      <w:r>
        <w:separator/>
      </w:r>
    </w:p>
  </w:footnote>
  <w:footnote w:type="continuationSeparator" w:id="0">
    <w:p w:rsidR="00F4739F" w:rsidRDefault="00F4739F" w:rsidP="00F4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9E7"/>
    <w:multiLevelType w:val="hybridMultilevel"/>
    <w:tmpl w:val="D87467A2"/>
    <w:lvl w:ilvl="0" w:tplc="E9982C54">
      <w:start w:val="1"/>
      <w:numFmt w:val="decimal"/>
      <w:lvlText w:val="(%1)"/>
      <w:lvlJc w:val="left"/>
      <w:pPr>
        <w:ind w:left="360" w:hanging="360"/>
      </w:pPr>
      <w:rPr>
        <w:rFonts w:eastAsia="黑体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F"/>
    <w:rsid w:val="000126FB"/>
    <w:rsid w:val="00033096"/>
    <w:rsid w:val="000A1274"/>
    <w:rsid w:val="000A475E"/>
    <w:rsid w:val="000A6EA3"/>
    <w:rsid w:val="000B2CD6"/>
    <w:rsid w:val="000C31AD"/>
    <w:rsid w:val="00107C50"/>
    <w:rsid w:val="00132D57"/>
    <w:rsid w:val="00137E22"/>
    <w:rsid w:val="00155063"/>
    <w:rsid w:val="001944CC"/>
    <w:rsid w:val="001A4DE1"/>
    <w:rsid w:val="001B55DF"/>
    <w:rsid w:val="00210F7E"/>
    <w:rsid w:val="002320F1"/>
    <w:rsid w:val="0026606B"/>
    <w:rsid w:val="0026785B"/>
    <w:rsid w:val="00270A72"/>
    <w:rsid w:val="00271C59"/>
    <w:rsid w:val="00277557"/>
    <w:rsid w:val="00291D7D"/>
    <w:rsid w:val="002D6957"/>
    <w:rsid w:val="00300CA3"/>
    <w:rsid w:val="00374465"/>
    <w:rsid w:val="00375ED1"/>
    <w:rsid w:val="0039363D"/>
    <w:rsid w:val="003A44D8"/>
    <w:rsid w:val="003F1A27"/>
    <w:rsid w:val="0040494A"/>
    <w:rsid w:val="00404C0F"/>
    <w:rsid w:val="00411713"/>
    <w:rsid w:val="00423822"/>
    <w:rsid w:val="00424976"/>
    <w:rsid w:val="004307D4"/>
    <w:rsid w:val="004708DA"/>
    <w:rsid w:val="004A52DE"/>
    <w:rsid w:val="004B44BE"/>
    <w:rsid w:val="0050224A"/>
    <w:rsid w:val="00524E64"/>
    <w:rsid w:val="005363F0"/>
    <w:rsid w:val="00542276"/>
    <w:rsid w:val="00545BA0"/>
    <w:rsid w:val="00567C00"/>
    <w:rsid w:val="0057652A"/>
    <w:rsid w:val="00580676"/>
    <w:rsid w:val="005B643A"/>
    <w:rsid w:val="005B6949"/>
    <w:rsid w:val="006516CA"/>
    <w:rsid w:val="00676E14"/>
    <w:rsid w:val="00691D95"/>
    <w:rsid w:val="006C5269"/>
    <w:rsid w:val="006D2555"/>
    <w:rsid w:val="006F6389"/>
    <w:rsid w:val="00706C42"/>
    <w:rsid w:val="0070709E"/>
    <w:rsid w:val="0071351A"/>
    <w:rsid w:val="00752DD4"/>
    <w:rsid w:val="00766F09"/>
    <w:rsid w:val="00777B0E"/>
    <w:rsid w:val="007A2E0B"/>
    <w:rsid w:val="00813760"/>
    <w:rsid w:val="00830AEB"/>
    <w:rsid w:val="00835729"/>
    <w:rsid w:val="00856768"/>
    <w:rsid w:val="00862B2E"/>
    <w:rsid w:val="00871DF6"/>
    <w:rsid w:val="00891A5B"/>
    <w:rsid w:val="008A5174"/>
    <w:rsid w:val="008D6755"/>
    <w:rsid w:val="008F205D"/>
    <w:rsid w:val="00906717"/>
    <w:rsid w:val="00976640"/>
    <w:rsid w:val="00983EE7"/>
    <w:rsid w:val="009B33C3"/>
    <w:rsid w:val="009C2C42"/>
    <w:rsid w:val="009D320E"/>
    <w:rsid w:val="00A25744"/>
    <w:rsid w:val="00A26719"/>
    <w:rsid w:val="00A347CC"/>
    <w:rsid w:val="00A63646"/>
    <w:rsid w:val="00A94921"/>
    <w:rsid w:val="00AA27ED"/>
    <w:rsid w:val="00AF1281"/>
    <w:rsid w:val="00B045E0"/>
    <w:rsid w:val="00B26290"/>
    <w:rsid w:val="00B33252"/>
    <w:rsid w:val="00B63559"/>
    <w:rsid w:val="00B76723"/>
    <w:rsid w:val="00BB282B"/>
    <w:rsid w:val="00BF5490"/>
    <w:rsid w:val="00BF7549"/>
    <w:rsid w:val="00C17420"/>
    <w:rsid w:val="00C45299"/>
    <w:rsid w:val="00C776CF"/>
    <w:rsid w:val="00C8071D"/>
    <w:rsid w:val="00C83C0F"/>
    <w:rsid w:val="00CC24B4"/>
    <w:rsid w:val="00CE328A"/>
    <w:rsid w:val="00CE7BC0"/>
    <w:rsid w:val="00D05D9E"/>
    <w:rsid w:val="00D34796"/>
    <w:rsid w:val="00D564D0"/>
    <w:rsid w:val="00D7336F"/>
    <w:rsid w:val="00D81676"/>
    <w:rsid w:val="00D87161"/>
    <w:rsid w:val="00DC44C9"/>
    <w:rsid w:val="00DD7BC2"/>
    <w:rsid w:val="00E204BF"/>
    <w:rsid w:val="00E361E1"/>
    <w:rsid w:val="00E47B8A"/>
    <w:rsid w:val="00E717F4"/>
    <w:rsid w:val="00EB2473"/>
    <w:rsid w:val="00EC7A51"/>
    <w:rsid w:val="00ED2092"/>
    <w:rsid w:val="00ED30D7"/>
    <w:rsid w:val="00EE4342"/>
    <w:rsid w:val="00EE5082"/>
    <w:rsid w:val="00F01F1E"/>
    <w:rsid w:val="00F07E1C"/>
    <w:rsid w:val="00F12919"/>
    <w:rsid w:val="00F15185"/>
    <w:rsid w:val="00F32A21"/>
    <w:rsid w:val="00F41D34"/>
    <w:rsid w:val="00F46DEE"/>
    <w:rsid w:val="00F4739F"/>
    <w:rsid w:val="00F47793"/>
    <w:rsid w:val="00F57FDA"/>
    <w:rsid w:val="00F76DBB"/>
    <w:rsid w:val="00F81781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607976-E25A-44E2-B52A-C1B93DD6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5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555"/>
    <w:rPr>
      <w:rFonts w:ascii="Times New Roman" w:eastAsia="宋体" w:hAnsi="Times New Roman" w:cs="Times New Roman"/>
      <w:sz w:val="18"/>
      <w:szCs w:val="18"/>
    </w:rPr>
  </w:style>
  <w:style w:type="paragraph" w:customStyle="1" w:styleId="MDPI16affiliation">
    <w:name w:val="MDPI_1.6_affiliation"/>
    <w:basedOn w:val="a"/>
    <w:qFormat/>
    <w:rsid w:val="006D2555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  <w:style w:type="table" w:styleId="a6">
    <w:name w:val="Table Grid"/>
    <w:basedOn w:val="a1"/>
    <w:uiPriority w:val="59"/>
    <w:rsid w:val="00A3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Title">
    <w:name w:val="BA_Title"/>
    <w:basedOn w:val="a"/>
    <w:next w:val="a"/>
    <w:autoRedefine/>
    <w:rsid w:val="000B2CD6"/>
    <w:pPr>
      <w:widowControl/>
      <w:spacing w:line="360" w:lineRule="auto"/>
    </w:pPr>
    <w:rPr>
      <w:rFonts w:eastAsiaTheme="minorEastAsia"/>
      <w:b/>
      <w:kern w:val="36"/>
      <w:sz w:val="32"/>
      <w:szCs w:val="32"/>
      <w:lang w:eastAsia="en-US"/>
    </w:rPr>
  </w:style>
  <w:style w:type="paragraph" w:customStyle="1" w:styleId="BBAuthorName">
    <w:name w:val="BB_Author_Name"/>
    <w:basedOn w:val="a"/>
    <w:next w:val="a"/>
    <w:autoRedefine/>
    <w:rsid w:val="00D81676"/>
    <w:pPr>
      <w:widowControl/>
      <w:spacing w:line="360" w:lineRule="auto"/>
    </w:pPr>
    <w:rPr>
      <w:rFonts w:eastAsiaTheme="minorEastAsia"/>
      <w:bCs/>
      <w:color w:val="000000"/>
      <w:kern w:val="0"/>
      <w:sz w:val="24"/>
      <w:lang w:eastAsia="en-US"/>
    </w:rPr>
  </w:style>
  <w:style w:type="character" w:styleId="a7">
    <w:name w:val="Hyperlink"/>
    <w:uiPriority w:val="99"/>
    <w:unhideWhenUsed/>
    <w:rsid w:val="002D69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6755"/>
    <w:pPr>
      <w:ind w:firstLineChars="200" w:firstLine="420"/>
    </w:pPr>
  </w:style>
  <w:style w:type="paragraph" w:customStyle="1" w:styleId="AIReceivedDate">
    <w:name w:val="AI_Received_Date"/>
    <w:basedOn w:val="a"/>
    <w:next w:val="a"/>
    <w:autoRedefine/>
    <w:rsid w:val="00580676"/>
    <w:pPr>
      <w:widowControl/>
      <w:spacing w:after="100"/>
      <w:jc w:val="left"/>
    </w:pPr>
    <w:rPr>
      <w:rFonts w:ascii="Arno Pro" w:eastAsiaTheme="minorEastAsia" w:hAnsi="Arno Pro"/>
      <w:kern w:val="0"/>
      <w:sz w:val="18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58067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067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0676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067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80676"/>
    <w:rPr>
      <w:rFonts w:ascii="Times New Roman" w:eastAsia="宋体" w:hAnsi="Times New Roman" w:cs="Times New Roman"/>
      <w:b/>
      <w:bCs/>
      <w:szCs w:val="24"/>
    </w:rPr>
  </w:style>
  <w:style w:type="paragraph" w:customStyle="1" w:styleId="BIEmailAddress">
    <w:name w:val="BI_Email_Address"/>
    <w:basedOn w:val="a"/>
    <w:next w:val="AIReceivedDate"/>
    <w:autoRedefine/>
    <w:rsid w:val="0050224A"/>
    <w:pPr>
      <w:widowControl/>
      <w:spacing w:after="100"/>
      <w:jc w:val="left"/>
    </w:pPr>
    <w:rPr>
      <w:rFonts w:ascii="Arno Pro" w:eastAsiaTheme="minorEastAsia" w:hAnsi="Arno Pro"/>
      <w:kern w:val="0"/>
      <w:sz w:val="18"/>
      <w:szCs w:val="20"/>
      <w:lang w:eastAsia="en-US"/>
    </w:rPr>
  </w:style>
  <w:style w:type="character" w:customStyle="1" w:styleId="fontstyle01">
    <w:name w:val="fontstyle01"/>
    <w:basedOn w:val="a0"/>
    <w:rsid w:val="005B69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B69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uthorList">
    <w:name w:val="Author List"/>
    <w:aliases w:val="Keywords,Abstract"/>
    <w:basedOn w:val="ac"/>
    <w:next w:val="a"/>
    <w:uiPriority w:val="1"/>
    <w:qFormat/>
    <w:rsid w:val="00C776CF"/>
    <w:pPr>
      <w:widowControl/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  <w:lang w:eastAsia="en-US"/>
    </w:rPr>
  </w:style>
  <w:style w:type="paragraph" w:styleId="ac">
    <w:name w:val="Subtitle"/>
    <w:basedOn w:val="a"/>
    <w:next w:val="a"/>
    <w:link w:val="Char4"/>
    <w:uiPriority w:val="11"/>
    <w:qFormat/>
    <w:rsid w:val="00C776C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C776C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Char5"/>
    <w:qFormat/>
    <w:rsid w:val="00D05D9E"/>
    <w:pPr>
      <w:widowControl/>
      <w:suppressLineNumbers/>
      <w:spacing w:before="240" w:after="360"/>
      <w:jc w:val="center"/>
    </w:pPr>
    <w:rPr>
      <w:rFonts w:eastAsiaTheme="minorEastAsia"/>
      <w:b/>
      <w:kern w:val="0"/>
      <w:sz w:val="32"/>
      <w:szCs w:val="32"/>
      <w:lang w:eastAsia="en-US"/>
    </w:rPr>
  </w:style>
  <w:style w:type="character" w:customStyle="1" w:styleId="Char5">
    <w:name w:val="标题 Char"/>
    <w:basedOn w:val="a0"/>
    <w:link w:val="ad"/>
    <w:rsid w:val="00D05D9E"/>
    <w:rPr>
      <w:rFonts w:ascii="Times New Roman" w:hAnsi="Times New Roman" w:cs="Times New Roman"/>
      <w:b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fenglong@caas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hangchengsheng@caas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C707-460F-49F0-9765-A9873BD9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赵栋霖</dc:creator>
  <cp:keywords/>
  <dc:description/>
  <cp:lastModifiedBy>张成省</cp:lastModifiedBy>
  <cp:revision>2</cp:revision>
  <cp:lastPrinted>2017-10-31T09:59:00Z</cp:lastPrinted>
  <dcterms:created xsi:type="dcterms:W3CDTF">2020-06-30T09:30:00Z</dcterms:created>
  <dcterms:modified xsi:type="dcterms:W3CDTF">2020-06-30T09:30:00Z</dcterms:modified>
</cp:coreProperties>
</file>