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2A6652" w14:textId="42C4ACF7" w:rsidR="00587F34" w:rsidRPr="00587F34" w:rsidRDefault="002F3A45" w:rsidP="002F3A45">
      <w:pPr>
        <w:rPr>
          <w:rFonts w:ascii="Times New Roman" w:hAnsi="Times New Roman" w:cs="Times New Roman"/>
          <w:b/>
          <w:sz w:val="28"/>
          <w:szCs w:val="28"/>
        </w:rPr>
      </w:pPr>
      <w:r w:rsidRPr="00587F34">
        <w:rPr>
          <w:rFonts w:ascii="Times New Roman" w:hAnsi="Times New Roman" w:cs="Times New Roman"/>
          <w:b/>
          <w:sz w:val="28"/>
          <w:szCs w:val="28"/>
        </w:rPr>
        <w:t xml:space="preserve">Supplementary </w:t>
      </w:r>
      <w:r w:rsidR="00362F07">
        <w:rPr>
          <w:rFonts w:ascii="Times New Roman" w:hAnsi="Times New Roman" w:cs="Times New Roman"/>
          <w:b/>
          <w:sz w:val="28"/>
          <w:szCs w:val="28"/>
        </w:rPr>
        <w:t>Data</w:t>
      </w:r>
      <w:r w:rsidRPr="00587F34">
        <w:rPr>
          <w:rFonts w:ascii="Times New Roman" w:hAnsi="Times New Roman" w:cs="Times New Roman"/>
          <w:b/>
          <w:sz w:val="28"/>
          <w:szCs w:val="28"/>
        </w:rPr>
        <w:t xml:space="preserve"> </w:t>
      </w:r>
    </w:p>
    <w:p w14:paraId="18D33B9C" w14:textId="7EF4C8E6" w:rsidR="00362F07" w:rsidRPr="00362F07" w:rsidRDefault="00362F07" w:rsidP="00362F07">
      <w:pPr>
        <w:spacing w:line="360" w:lineRule="auto"/>
        <w:rPr>
          <w:rFonts w:ascii="Times New Roman" w:hAnsi="Times New Roman" w:cs="Times New Roman"/>
          <w:bCs/>
        </w:rPr>
      </w:pPr>
      <w:r w:rsidRPr="00362F07">
        <w:rPr>
          <w:rFonts w:ascii="Times New Roman" w:hAnsi="Times New Roman" w:cs="Times New Roman"/>
          <w:bCs/>
          <w:i/>
        </w:rPr>
        <w:t xml:space="preserve">Toxoplasma </w:t>
      </w:r>
      <w:r w:rsidRPr="00362F07">
        <w:rPr>
          <w:rFonts w:ascii="Times New Roman" w:hAnsi="Times New Roman" w:cs="Times New Roman"/>
          <w:bCs/>
        </w:rPr>
        <w:t>diagnosis</w:t>
      </w:r>
      <w:r>
        <w:rPr>
          <w:rFonts w:ascii="Times New Roman" w:hAnsi="Times New Roman" w:cs="Times New Roman"/>
          <w:bCs/>
        </w:rPr>
        <w:t>……………………………………………………………………. Page 2</w:t>
      </w:r>
    </w:p>
    <w:p w14:paraId="3D1D6003" w14:textId="6BCA467F" w:rsidR="00362F07" w:rsidRPr="00362F07" w:rsidRDefault="00362F07" w:rsidP="00362F07">
      <w:pPr>
        <w:spacing w:line="360" w:lineRule="auto"/>
        <w:rPr>
          <w:rFonts w:ascii="Times New Roman" w:hAnsi="Times New Roman" w:cs="Times New Roman"/>
          <w:bCs/>
        </w:rPr>
      </w:pPr>
      <w:r w:rsidRPr="00362F07">
        <w:rPr>
          <w:rFonts w:ascii="Times New Roman" w:hAnsi="Times New Roman" w:cs="Times New Roman"/>
          <w:bCs/>
        </w:rPr>
        <w:t>Standard methodology research-based enzyme-linked immunosorbent assay</w:t>
      </w:r>
      <w:r>
        <w:rPr>
          <w:rFonts w:ascii="Times New Roman" w:hAnsi="Times New Roman" w:cs="Times New Roman"/>
          <w:bCs/>
        </w:rPr>
        <w:t>…………... Page 3</w:t>
      </w:r>
    </w:p>
    <w:p w14:paraId="3223F051" w14:textId="1C31A825" w:rsidR="00362F07" w:rsidRPr="00362F07" w:rsidRDefault="00362F07" w:rsidP="00362F07">
      <w:pPr>
        <w:spacing w:line="360" w:lineRule="auto"/>
        <w:rPr>
          <w:rFonts w:ascii="Times New Roman" w:hAnsi="Times New Roman" w:cs="Times New Roman"/>
          <w:bCs/>
          <w:noProof/>
        </w:rPr>
      </w:pPr>
      <w:r w:rsidRPr="00362F07">
        <w:rPr>
          <w:rFonts w:ascii="Times New Roman" w:hAnsi="Times New Roman" w:cs="Times New Roman"/>
          <w:bCs/>
          <w:noProof/>
        </w:rPr>
        <w:t>Supplementary Figures &amp; Tables</w:t>
      </w:r>
      <w:r>
        <w:rPr>
          <w:rFonts w:ascii="Times New Roman" w:hAnsi="Times New Roman" w:cs="Times New Roman"/>
          <w:bCs/>
          <w:noProof/>
        </w:rPr>
        <w:t>………………………………………………………… Page 4</w:t>
      </w:r>
      <w:r w:rsidR="007A5365">
        <w:rPr>
          <w:rFonts w:ascii="Times New Roman" w:hAnsi="Times New Roman" w:cs="Times New Roman"/>
          <w:bCs/>
          <w:noProof/>
        </w:rPr>
        <w:t>-8</w:t>
      </w:r>
    </w:p>
    <w:p w14:paraId="33D2240C" w14:textId="77777777" w:rsidR="00362F07" w:rsidRDefault="00362F07">
      <w:pPr>
        <w:rPr>
          <w:rFonts w:ascii="Times New Roman" w:hAnsi="Times New Roman" w:cs="Times New Roman"/>
          <w:b/>
          <w:i/>
        </w:rPr>
      </w:pPr>
      <w:r>
        <w:rPr>
          <w:rFonts w:ascii="Times New Roman" w:hAnsi="Times New Roman" w:cs="Times New Roman"/>
          <w:b/>
          <w:i/>
        </w:rPr>
        <w:br w:type="page"/>
      </w:r>
    </w:p>
    <w:p w14:paraId="08BF7819" w14:textId="03DF97E0" w:rsidR="002F3A45" w:rsidRPr="00D52485" w:rsidRDefault="002F3A45" w:rsidP="002F3A45">
      <w:pPr>
        <w:rPr>
          <w:rFonts w:ascii="Times New Roman" w:hAnsi="Times New Roman" w:cs="Times New Roman"/>
          <w:b/>
        </w:rPr>
      </w:pPr>
      <w:r w:rsidRPr="00D52485">
        <w:rPr>
          <w:rFonts w:ascii="Times New Roman" w:hAnsi="Times New Roman" w:cs="Times New Roman"/>
          <w:b/>
          <w:i/>
        </w:rPr>
        <w:lastRenderedPageBreak/>
        <w:t xml:space="preserve">Toxoplasma </w:t>
      </w:r>
      <w:r w:rsidRPr="00D52485">
        <w:rPr>
          <w:rFonts w:ascii="Times New Roman" w:hAnsi="Times New Roman" w:cs="Times New Roman"/>
          <w:b/>
        </w:rPr>
        <w:t>diagnosis</w:t>
      </w:r>
    </w:p>
    <w:p w14:paraId="346F11E7" w14:textId="77777777" w:rsidR="002F3A45" w:rsidRPr="00D52485" w:rsidRDefault="002F3A45" w:rsidP="002F3A45">
      <w:pPr>
        <w:spacing w:line="360" w:lineRule="auto"/>
        <w:jc w:val="both"/>
        <w:rPr>
          <w:rFonts w:ascii="Times New Roman" w:hAnsi="Times New Roman" w:cs="Times New Roman"/>
        </w:rPr>
      </w:pPr>
      <w:r w:rsidRPr="00D52485">
        <w:rPr>
          <w:rFonts w:ascii="Times New Roman" w:hAnsi="Times New Roman" w:cs="Times New Roman"/>
          <w:i/>
        </w:rPr>
        <w:t>Toxoplasma</w:t>
      </w:r>
      <w:r w:rsidRPr="00D52485">
        <w:rPr>
          <w:rFonts w:ascii="Times New Roman" w:hAnsi="Times New Roman" w:cs="Times New Roman"/>
        </w:rPr>
        <w:t xml:space="preserve"> was diagnosed with nine commercially available </w:t>
      </w:r>
      <w:r w:rsidRPr="00D52485">
        <w:rPr>
          <w:rFonts w:ascii="Times New Roman" w:hAnsi="Times New Roman" w:cs="Times New Roman"/>
          <w:i/>
        </w:rPr>
        <w:t>Toxoplasma</w:t>
      </w:r>
      <w:r w:rsidRPr="00D52485">
        <w:rPr>
          <w:rFonts w:ascii="Times New Roman" w:hAnsi="Times New Roman" w:cs="Times New Roman"/>
        </w:rPr>
        <w:t xml:space="preserve"> IgG and IgM tests. All 191 serum samples were tested on: </w:t>
      </w:r>
    </w:p>
    <w:p w14:paraId="240E94F3" w14:textId="77777777" w:rsidR="002F3A45" w:rsidRPr="00D52485" w:rsidRDefault="002F3A45" w:rsidP="002F3A45">
      <w:pPr>
        <w:pStyle w:val="ListParagraph"/>
        <w:numPr>
          <w:ilvl w:val="0"/>
          <w:numId w:val="1"/>
        </w:numPr>
        <w:spacing w:line="360" w:lineRule="auto"/>
        <w:jc w:val="both"/>
        <w:rPr>
          <w:rFonts w:ascii="Times New Roman" w:hAnsi="Times New Roman" w:cs="Times New Roman"/>
          <w:lang w:eastAsia="en-GB"/>
        </w:rPr>
      </w:pPr>
      <w:r w:rsidRPr="00D52485">
        <w:rPr>
          <w:rFonts w:ascii="Times New Roman" w:hAnsi="Times New Roman" w:cs="Times New Roman"/>
          <w:lang w:eastAsia="en-GB"/>
        </w:rPr>
        <w:t>Microgen Mercia Toxoplasma IgG</w:t>
      </w:r>
    </w:p>
    <w:p w14:paraId="5E74F36F" w14:textId="77777777" w:rsidR="002F3A45" w:rsidRPr="00D52485" w:rsidRDefault="002F3A45" w:rsidP="002F3A45">
      <w:pPr>
        <w:pStyle w:val="ListParagraph"/>
        <w:numPr>
          <w:ilvl w:val="0"/>
          <w:numId w:val="1"/>
        </w:numPr>
        <w:spacing w:line="360" w:lineRule="auto"/>
        <w:rPr>
          <w:rFonts w:ascii="Times New Roman" w:hAnsi="Times New Roman" w:cs="Times New Roman"/>
          <w:lang w:eastAsia="en-GB"/>
        </w:rPr>
      </w:pPr>
      <w:r w:rsidRPr="00D52485">
        <w:rPr>
          <w:rFonts w:ascii="Times New Roman" w:hAnsi="Times New Roman" w:cs="Times New Roman"/>
          <w:lang w:eastAsia="en-GB"/>
        </w:rPr>
        <w:t>Microgen Mercia Toxoplasma IgM</w:t>
      </w:r>
    </w:p>
    <w:p w14:paraId="47ABDC44" w14:textId="77777777" w:rsidR="002F3A45" w:rsidRPr="00D52485" w:rsidRDefault="002F3A45" w:rsidP="002F3A45">
      <w:pPr>
        <w:pStyle w:val="ListParagraph"/>
        <w:numPr>
          <w:ilvl w:val="0"/>
          <w:numId w:val="1"/>
        </w:numPr>
        <w:spacing w:line="360" w:lineRule="auto"/>
        <w:rPr>
          <w:rFonts w:ascii="Times New Roman" w:hAnsi="Times New Roman" w:cs="Times New Roman"/>
          <w:lang w:eastAsia="en-GB"/>
        </w:rPr>
      </w:pPr>
      <w:proofErr w:type="spellStart"/>
      <w:r w:rsidRPr="00D52485">
        <w:rPr>
          <w:rFonts w:ascii="Times New Roman" w:hAnsi="Times New Roman" w:cs="Times New Roman"/>
          <w:lang w:eastAsia="en-GB"/>
        </w:rPr>
        <w:t>Biorad</w:t>
      </w:r>
      <w:proofErr w:type="spellEnd"/>
      <w:r w:rsidRPr="00D52485">
        <w:rPr>
          <w:rFonts w:ascii="Times New Roman" w:hAnsi="Times New Roman" w:cs="Times New Roman"/>
          <w:lang w:eastAsia="en-GB"/>
        </w:rPr>
        <w:t xml:space="preserve"> </w:t>
      </w:r>
      <w:proofErr w:type="spellStart"/>
      <w:r w:rsidRPr="00D52485">
        <w:rPr>
          <w:rFonts w:ascii="Times New Roman" w:hAnsi="Times New Roman" w:cs="Times New Roman"/>
          <w:lang w:eastAsia="en-GB"/>
        </w:rPr>
        <w:t>Platelia</w:t>
      </w:r>
      <w:proofErr w:type="spellEnd"/>
      <w:r w:rsidRPr="00D52485">
        <w:rPr>
          <w:rFonts w:ascii="Times New Roman" w:hAnsi="Times New Roman" w:cs="Times New Roman"/>
          <w:lang w:eastAsia="en-GB"/>
        </w:rPr>
        <w:t xml:space="preserve"> Toxoplasma IgG</w:t>
      </w:r>
    </w:p>
    <w:p w14:paraId="272DE89B" w14:textId="77777777" w:rsidR="002F3A45" w:rsidRPr="00D52485" w:rsidRDefault="002F3A45" w:rsidP="002F3A45">
      <w:pPr>
        <w:pStyle w:val="ListParagraph"/>
        <w:numPr>
          <w:ilvl w:val="0"/>
          <w:numId w:val="1"/>
        </w:numPr>
        <w:spacing w:line="360" w:lineRule="auto"/>
        <w:rPr>
          <w:rFonts w:ascii="Times New Roman" w:hAnsi="Times New Roman" w:cs="Times New Roman"/>
          <w:lang w:val="sv-SE" w:eastAsia="en-GB"/>
        </w:rPr>
      </w:pPr>
      <w:r w:rsidRPr="00D52485">
        <w:rPr>
          <w:rFonts w:ascii="Times New Roman" w:hAnsi="Times New Roman" w:cs="Times New Roman"/>
          <w:lang w:val="sv-SE" w:eastAsia="en-GB"/>
        </w:rPr>
        <w:t>Biorad Platelia Toxoplasma IgM</w:t>
      </w:r>
    </w:p>
    <w:p w14:paraId="27415C39" w14:textId="77777777" w:rsidR="002F3A45" w:rsidRPr="00D52485" w:rsidRDefault="002F3A45" w:rsidP="002F3A45">
      <w:pPr>
        <w:pStyle w:val="ListParagraph"/>
        <w:numPr>
          <w:ilvl w:val="0"/>
          <w:numId w:val="1"/>
        </w:numPr>
        <w:spacing w:line="360" w:lineRule="auto"/>
        <w:rPr>
          <w:rFonts w:ascii="Times New Roman" w:hAnsi="Times New Roman" w:cs="Times New Roman"/>
          <w:lang w:val="sv-SE" w:eastAsia="en-GB"/>
        </w:rPr>
      </w:pPr>
      <w:r w:rsidRPr="00D52485">
        <w:rPr>
          <w:rFonts w:ascii="Times New Roman" w:hAnsi="Times New Roman" w:cs="Times New Roman"/>
          <w:lang w:val="sv-SE" w:eastAsia="en-GB"/>
        </w:rPr>
        <w:t>Access Toxoplasma IgG</w:t>
      </w:r>
    </w:p>
    <w:p w14:paraId="117BCF5A" w14:textId="77777777" w:rsidR="002F3A45" w:rsidRPr="00D52485" w:rsidRDefault="002F3A45" w:rsidP="002F3A45">
      <w:pPr>
        <w:pStyle w:val="ListParagraph"/>
        <w:numPr>
          <w:ilvl w:val="0"/>
          <w:numId w:val="1"/>
        </w:numPr>
        <w:spacing w:line="360" w:lineRule="auto"/>
        <w:rPr>
          <w:rFonts w:ascii="Times New Roman" w:hAnsi="Times New Roman" w:cs="Times New Roman"/>
          <w:lang w:val="sv-SE" w:eastAsia="en-GB"/>
        </w:rPr>
      </w:pPr>
      <w:r w:rsidRPr="00D52485">
        <w:rPr>
          <w:rFonts w:ascii="Times New Roman" w:hAnsi="Times New Roman" w:cs="Times New Roman"/>
          <w:lang w:val="sv-SE" w:eastAsia="en-GB"/>
        </w:rPr>
        <w:t>Access Toxoplasma IgM</w:t>
      </w:r>
    </w:p>
    <w:p w14:paraId="55CE5E99" w14:textId="77777777" w:rsidR="002F3A45" w:rsidRPr="00D52485" w:rsidRDefault="002F3A45" w:rsidP="002F3A45">
      <w:pPr>
        <w:pStyle w:val="ListParagraph"/>
        <w:numPr>
          <w:ilvl w:val="0"/>
          <w:numId w:val="1"/>
        </w:numPr>
        <w:spacing w:line="360" w:lineRule="auto"/>
        <w:rPr>
          <w:rFonts w:ascii="Times New Roman" w:hAnsi="Times New Roman" w:cs="Times New Roman"/>
          <w:lang w:val="sv-SE" w:eastAsia="en-GB"/>
        </w:rPr>
      </w:pPr>
      <w:r w:rsidRPr="00D52485">
        <w:rPr>
          <w:rFonts w:ascii="Times New Roman" w:hAnsi="Times New Roman" w:cs="Times New Roman"/>
          <w:lang w:val="sv-SE" w:eastAsia="en-GB"/>
        </w:rPr>
        <w:t>Mast Diagnostics Mastafluor Toxoplasma IgG</w:t>
      </w:r>
    </w:p>
    <w:p w14:paraId="6910088B" w14:textId="77777777" w:rsidR="002F3A45" w:rsidRPr="00D52485" w:rsidRDefault="002F3A45" w:rsidP="002F3A45">
      <w:pPr>
        <w:pStyle w:val="ListParagraph"/>
        <w:numPr>
          <w:ilvl w:val="0"/>
          <w:numId w:val="1"/>
        </w:numPr>
        <w:spacing w:line="360" w:lineRule="auto"/>
        <w:rPr>
          <w:rFonts w:ascii="Times New Roman" w:hAnsi="Times New Roman" w:cs="Times New Roman"/>
          <w:lang w:val="sv-SE" w:eastAsia="en-GB"/>
        </w:rPr>
      </w:pPr>
      <w:r w:rsidRPr="00D52485">
        <w:rPr>
          <w:rFonts w:ascii="Times New Roman" w:hAnsi="Times New Roman" w:cs="Times New Roman"/>
          <w:lang w:val="sv-SE" w:eastAsia="en-GB"/>
        </w:rPr>
        <w:t>Mast Diagnostics Mastafluor Toxoplasma IgM</w:t>
      </w:r>
    </w:p>
    <w:p w14:paraId="2724AB18" w14:textId="77777777" w:rsidR="002F3A45" w:rsidRPr="00D52485" w:rsidRDefault="002F3A45" w:rsidP="002F3A45">
      <w:pPr>
        <w:pStyle w:val="ListParagraph"/>
        <w:numPr>
          <w:ilvl w:val="0"/>
          <w:numId w:val="1"/>
        </w:numPr>
        <w:spacing w:line="360" w:lineRule="auto"/>
        <w:rPr>
          <w:rFonts w:ascii="Times New Roman" w:hAnsi="Times New Roman" w:cs="Times New Roman"/>
          <w:lang w:val="sv-SE" w:eastAsia="en-GB"/>
        </w:rPr>
      </w:pPr>
      <w:r w:rsidRPr="00D52485">
        <w:rPr>
          <w:rFonts w:ascii="Times New Roman" w:hAnsi="Times New Roman" w:cs="Times New Roman"/>
          <w:lang w:val="sv-SE" w:eastAsia="en-GB"/>
        </w:rPr>
        <w:t>Euroimmune Toxoplasma IgG ELISA</w:t>
      </w:r>
    </w:p>
    <w:p w14:paraId="44C46F17" w14:textId="77777777" w:rsidR="002F3A45" w:rsidRPr="00D52485" w:rsidRDefault="002F3A45" w:rsidP="002F3A45">
      <w:pPr>
        <w:pStyle w:val="ListParagraph"/>
        <w:numPr>
          <w:ilvl w:val="0"/>
          <w:numId w:val="1"/>
        </w:numPr>
        <w:spacing w:line="360" w:lineRule="auto"/>
        <w:rPr>
          <w:rFonts w:ascii="Times New Roman" w:hAnsi="Times New Roman" w:cs="Times New Roman"/>
          <w:lang w:val="sv-SE" w:eastAsia="en-GB"/>
        </w:rPr>
      </w:pPr>
      <w:r w:rsidRPr="00D52485">
        <w:rPr>
          <w:rFonts w:ascii="Times New Roman" w:hAnsi="Times New Roman" w:cs="Times New Roman"/>
          <w:lang w:val="sv-SE" w:eastAsia="en-GB"/>
        </w:rPr>
        <w:t>Euroimmune Toxoplasma IgG IFT</w:t>
      </w:r>
    </w:p>
    <w:p w14:paraId="3EE6A81D" w14:textId="77777777" w:rsidR="002F3A45" w:rsidRPr="00D52485" w:rsidRDefault="002F3A45" w:rsidP="002F3A45">
      <w:pPr>
        <w:pStyle w:val="ListParagraph"/>
        <w:numPr>
          <w:ilvl w:val="0"/>
          <w:numId w:val="1"/>
        </w:numPr>
        <w:spacing w:line="360" w:lineRule="auto"/>
        <w:rPr>
          <w:rFonts w:ascii="Times New Roman" w:hAnsi="Times New Roman" w:cs="Times New Roman"/>
          <w:lang w:val="sv-SE" w:eastAsia="en-GB"/>
        </w:rPr>
      </w:pPr>
      <w:r w:rsidRPr="00D52485">
        <w:rPr>
          <w:rFonts w:ascii="Times New Roman" w:hAnsi="Times New Roman" w:cs="Times New Roman"/>
          <w:lang w:val="sv-SE" w:eastAsia="en-GB"/>
        </w:rPr>
        <w:t>Euroimmune Toxoplasma IgM ELISA</w:t>
      </w:r>
    </w:p>
    <w:p w14:paraId="31CC2373" w14:textId="77777777" w:rsidR="002F3A45" w:rsidRPr="00D52485" w:rsidRDefault="002F3A45" w:rsidP="002F3A45">
      <w:pPr>
        <w:pStyle w:val="ListParagraph"/>
        <w:numPr>
          <w:ilvl w:val="0"/>
          <w:numId w:val="1"/>
        </w:numPr>
        <w:spacing w:line="360" w:lineRule="auto"/>
        <w:rPr>
          <w:rFonts w:ascii="Times New Roman" w:hAnsi="Times New Roman" w:cs="Times New Roman"/>
          <w:lang w:val="sv-SE" w:eastAsia="en-GB"/>
        </w:rPr>
      </w:pPr>
      <w:r w:rsidRPr="00D52485">
        <w:rPr>
          <w:rFonts w:ascii="Times New Roman" w:hAnsi="Times New Roman" w:cs="Times New Roman"/>
          <w:lang w:val="sv-SE" w:eastAsia="en-GB"/>
        </w:rPr>
        <w:t>Euroimmune Toxoplasma IgM IFT</w:t>
      </w:r>
    </w:p>
    <w:p w14:paraId="7F78AE1E" w14:textId="77777777" w:rsidR="002F3A45" w:rsidRPr="00D52485" w:rsidRDefault="002F3A45" w:rsidP="002F3A45">
      <w:pPr>
        <w:pStyle w:val="ListParagraph"/>
        <w:numPr>
          <w:ilvl w:val="0"/>
          <w:numId w:val="1"/>
        </w:numPr>
        <w:spacing w:line="360" w:lineRule="auto"/>
        <w:rPr>
          <w:rFonts w:ascii="Times New Roman" w:hAnsi="Times New Roman" w:cs="Times New Roman"/>
          <w:lang w:val="sv-SE" w:eastAsia="en-GB"/>
        </w:rPr>
      </w:pPr>
      <w:r w:rsidRPr="00D52485">
        <w:rPr>
          <w:rFonts w:ascii="Times New Roman" w:hAnsi="Times New Roman" w:cs="Times New Roman"/>
          <w:lang w:val="sv-SE" w:eastAsia="en-GB"/>
        </w:rPr>
        <w:t>Biokit Toxocell Latex</w:t>
      </w:r>
    </w:p>
    <w:p w14:paraId="53BCAFB4" w14:textId="77777777" w:rsidR="002F3A45" w:rsidRPr="00D52485" w:rsidRDefault="002F3A45" w:rsidP="002F3A45">
      <w:pPr>
        <w:pStyle w:val="ListParagraph"/>
        <w:numPr>
          <w:ilvl w:val="0"/>
          <w:numId w:val="1"/>
        </w:numPr>
        <w:spacing w:line="360" w:lineRule="auto"/>
        <w:rPr>
          <w:rFonts w:ascii="Times New Roman" w:hAnsi="Times New Roman" w:cs="Times New Roman"/>
          <w:lang w:val="sv-SE" w:eastAsia="en-GB"/>
        </w:rPr>
      </w:pPr>
      <w:r w:rsidRPr="00D52485">
        <w:rPr>
          <w:rFonts w:ascii="Times New Roman" w:hAnsi="Times New Roman" w:cs="Times New Roman"/>
          <w:lang w:val="sv-SE" w:eastAsia="en-GB"/>
        </w:rPr>
        <w:t>Abbott Architect Toxoplasma IgG</w:t>
      </w:r>
    </w:p>
    <w:p w14:paraId="08AD8182" w14:textId="77777777" w:rsidR="002F3A45" w:rsidRPr="00D52485" w:rsidRDefault="002F3A45" w:rsidP="002F3A45">
      <w:pPr>
        <w:pStyle w:val="ListParagraph"/>
        <w:numPr>
          <w:ilvl w:val="0"/>
          <w:numId w:val="1"/>
        </w:numPr>
        <w:spacing w:line="360" w:lineRule="auto"/>
        <w:rPr>
          <w:rFonts w:ascii="Times New Roman" w:hAnsi="Times New Roman" w:cs="Times New Roman"/>
          <w:lang w:eastAsia="en-GB"/>
        </w:rPr>
      </w:pPr>
      <w:r w:rsidRPr="00D52485">
        <w:rPr>
          <w:rFonts w:ascii="Times New Roman" w:hAnsi="Times New Roman" w:cs="Times New Roman"/>
          <w:lang w:eastAsia="en-GB"/>
        </w:rPr>
        <w:t>Abbott Architect Toxoplasma IgG Avidity</w:t>
      </w:r>
    </w:p>
    <w:p w14:paraId="034E0809" w14:textId="77777777" w:rsidR="002F3A45" w:rsidRPr="00D52485" w:rsidRDefault="002F3A45" w:rsidP="002F3A45">
      <w:pPr>
        <w:pStyle w:val="ListParagraph"/>
        <w:numPr>
          <w:ilvl w:val="0"/>
          <w:numId w:val="1"/>
        </w:numPr>
        <w:spacing w:line="360" w:lineRule="auto"/>
        <w:rPr>
          <w:rFonts w:ascii="Times New Roman" w:hAnsi="Times New Roman" w:cs="Times New Roman"/>
          <w:lang w:eastAsia="en-GB"/>
        </w:rPr>
      </w:pPr>
      <w:r w:rsidRPr="00D52485">
        <w:rPr>
          <w:rFonts w:ascii="Times New Roman" w:hAnsi="Times New Roman" w:cs="Times New Roman"/>
          <w:lang w:eastAsia="en-GB"/>
        </w:rPr>
        <w:t>Abbott Architect Toxoplasma IgM</w:t>
      </w:r>
    </w:p>
    <w:p w14:paraId="6396F066" w14:textId="77777777" w:rsidR="002F3A45" w:rsidRPr="00D52485" w:rsidRDefault="002F3A45" w:rsidP="002F3A45">
      <w:pPr>
        <w:pStyle w:val="ListParagraph"/>
        <w:numPr>
          <w:ilvl w:val="0"/>
          <w:numId w:val="1"/>
        </w:numPr>
        <w:spacing w:line="360" w:lineRule="auto"/>
        <w:rPr>
          <w:rFonts w:ascii="Times New Roman" w:hAnsi="Times New Roman" w:cs="Times New Roman"/>
          <w:lang w:eastAsia="en-GB"/>
        </w:rPr>
      </w:pPr>
      <w:proofErr w:type="spellStart"/>
      <w:r w:rsidRPr="00D52485">
        <w:rPr>
          <w:rFonts w:ascii="Times New Roman" w:hAnsi="Times New Roman" w:cs="Times New Roman"/>
          <w:lang w:eastAsia="en-GB"/>
        </w:rPr>
        <w:t>Diasorin</w:t>
      </w:r>
      <w:proofErr w:type="spellEnd"/>
      <w:r w:rsidRPr="00D52485">
        <w:rPr>
          <w:rFonts w:ascii="Times New Roman" w:hAnsi="Times New Roman" w:cs="Times New Roman"/>
          <w:lang w:eastAsia="en-GB"/>
        </w:rPr>
        <w:t xml:space="preserve"> </w:t>
      </w:r>
      <w:proofErr w:type="spellStart"/>
      <w:r w:rsidRPr="00D52485">
        <w:rPr>
          <w:rFonts w:ascii="Times New Roman" w:hAnsi="Times New Roman" w:cs="Times New Roman"/>
          <w:lang w:eastAsia="en-GB"/>
        </w:rPr>
        <w:t>Liason</w:t>
      </w:r>
      <w:proofErr w:type="spellEnd"/>
      <w:r w:rsidRPr="00D52485">
        <w:rPr>
          <w:rFonts w:ascii="Times New Roman" w:hAnsi="Times New Roman" w:cs="Times New Roman"/>
          <w:lang w:eastAsia="en-GB"/>
        </w:rPr>
        <w:t xml:space="preserve"> Toxoplasma IgG II</w:t>
      </w:r>
    </w:p>
    <w:p w14:paraId="30915C90" w14:textId="77777777" w:rsidR="002F3A45" w:rsidRPr="00D52485" w:rsidRDefault="002F3A45" w:rsidP="002F3A45">
      <w:pPr>
        <w:pStyle w:val="ListParagraph"/>
        <w:numPr>
          <w:ilvl w:val="0"/>
          <w:numId w:val="1"/>
        </w:numPr>
        <w:spacing w:line="360" w:lineRule="auto"/>
        <w:rPr>
          <w:rFonts w:ascii="Times New Roman" w:hAnsi="Times New Roman" w:cs="Times New Roman"/>
          <w:lang w:eastAsia="en-GB"/>
        </w:rPr>
      </w:pPr>
      <w:proofErr w:type="spellStart"/>
      <w:r w:rsidRPr="00D52485">
        <w:rPr>
          <w:rFonts w:ascii="Times New Roman" w:hAnsi="Times New Roman" w:cs="Times New Roman"/>
          <w:lang w:eastAsia="en-GB"/>
        </w:rPr>
        <w:t>Biomerieux</w:t>
      </w:r>
      <w:proofErr w:type="spellEnd"/>
      <w:r w:rsidRPr="00D52485">
        <w:rPr>
          <w:rFonts w:ascii="Times New Roman" w:hAnsi="Times New Roman" w:cs="Times New Roman"/>
          <w:lang w:eastAsia="en-GB"/>
        </w:rPr>
        <w:t xml:space="preserve"> </w:t>
      </w:r>
      <w:proofErr w:type="spellStart"/>
      <w:r w:rsidRPr="00D52485">
        <w:rPr>
          <w:rFonts w:ascii="Times New Roman" w:hAnsi="Times New Roman" w:cs="Times New Roman"/>
          <w:lang w:eastAsia="en-GB"/>
        </w:rPr>
        <w:t>Vidas</w:t>
      </w:r>
      <w:proofErr w:type="spellEnd"/>
      <w:r w:rsidRPr="00D52485">
        <w:rPr>
          <w:rFonts w:ascii="Times New Roman" w:hAnsi="Times New Roman" w:cs="Times New Roman"/>
          <w:lang w:eastAsia="en-GB"/>
        </w:rPr>
        <w:t xml:space="preserve"> Toxoplasma IgG II</w:t>
      </w:r>
    </w:p>
    <w:p w14:paraId="5398D32F" w14:textId="77777777" w:rsidR="002F3A45" w:rsidRPr="00D52485" w:rsidRDefault="002F3A45" w:rsidP="002F3A45">
      <w:pPr>
        <w:pStyle w:val="ListParagraph"/>
        <w:numPr>
          <w:ilvl w:val="0"/>
          <w:numId w:val="1"/>
        </w:numPr>
        <w:spacing w:line="360" w:lineRule="auto"/>
        <w:rPr>
          <w:rFonts w:ascii="Times New Roman" w:hAnsi="Times New Roman" w:cs="Times New Roman"/>
          <w:lang w:eastAsia="en-GB"/>
        </w:rPr>
      </w:pPr>
      <w:proofErr w:type="spellStart"/>
      <w:r w:rsidRPr="00D52485">
        <w:rPr>
          <w:rFonts w:ascii="Times New Roman" w:hAnsi="Times New Roman" w:cs="Times New Roman"/>
          <w:lang w:eastAsia="en-GB"/>
        </w:rPr>
        <w:t>Biomerieux</w:t>
      </w:r>
      <w:proofErr w:type="spellEnd"/>
      <w:r w:rsidRPr="00D52485">
        <w:rPr>
          <w:rFonts w:ascii="Times New Roman" w:hAnsi="Times New Roman" w:cs="Times New Roman"/>
          <w:lang w:eastAsia="en-GB"/>
        </w:rPr>
        <w:t xml:space="preserve"> </w:t>
      </w:r>
      <w:proofErr w:type="spellStart"/>
      <w:r w:rsidRPr="00D52485">
        <w:rPr>
          <w:rFonts w:ascii="Times New Roman" w:hAnsi="Times New Roman" w:cs="Times New Roman"/>
          <w:lang w:eastAsia="en-GB"/>
        </w:rPr>
        <w:t>Vidas</w:t>
      </w:r>
      <w:proofErr w:type="spellEnd"/>
      <w:r w:rsidRPr="00D52485">
        <w:rPr>
          <w:rFonts w:ascii="Times New Roman" w:hAnsi="Times New Roman" w:cs="Times New Roman"/>
          <w:lang w:eastAsia="en-GB"/>
        </w:rPr>
        <w:t xml:space="preserve"> Toxoplasma IgG Avidity</w:t>
      </w:r>
    </w:p>
    <w:p w14:paraId="28EA87DE" w14:textId="77777777" w:rsidR="002F3A45" w:rsidRPr="00D52485" w:rsidRDefault="002F3A45" w:rsidP="002F3A45">
      <w:pPr>
        <w:pStyle w:val="ListParagraph"/>
        <w:numPr>
          <w:ilvl w:val="0"/>
          <w:numId w:val="1"/>
        </w:numPr>
        <w:spacing w:line="360" w:lineRule="auto"/>
        <w:rPr>
          <w:rFonts w:ascii="Times New Roman" w:hAnsi="Times New Roman" w:cs="Times New Roman"/>
          <w:lang w:val="fr-FR" w:eastAsia="en-GB"/>
        </w:rPr>
      </w:pPr>
      <w:proofErr w:type="spellStart"/>
      <w:r w:rsidRPr="00D52485">
        <w:rPr>
          <w:rFonts w:ascii="Times New Roman" w:hAnsi="Times New Roman" w:cs="Times New Roman"/>
          <w:lang w:val="fr-FR" w:eastAsia="en-GB"/>
        </w:rPr>
        <w:t>Biomerieux</w:t>
      </w:r>
      <w:proofErr w:type="spellEnd"/>
      <w:r w:rsidRPr="00D52485">
        <w:rPr>
          <w:rFonts w:ascii="Times New Roman" w:hAnsi="Times New Roman" w:cs="Times New Roman"/>
          <w:lang w:val="fr-FR" w:eastAsia="en-GB"/>
        </w:rPr>
        <w:t xml:space="preserve"> Vidas </w:t>
      </w:r>
      <w:proofErr w:type="spellStart"/>
      <w:r w:rsidRPr="00D52485">
        <w:rPr>
          <w:rFonts w:ascii="Times New Roman" w:hAnsi="Times New Roman" w:cs="Times New Roman"/>
          <w:lang w:val="fr-FR" w:eastAsia="en-GB"/>
        </w:rPr>
        <w:t>Toxoplasma</w:t>
      </w:r>
      <w:proofErr w:type="spellEnd"/>
      <w:r w:rsidRPr="00D52485">
        <w:rPr>
          <w:rFonts w:ascii="Times New Roman" w:hAnsi="Times New Roman" w:cs="Times New Roman"/>
          <w:lang w:val="fr-FR" w:eastAsia="en-GB"/>
        </w:rPr>
        <w:t xml:space="preserve"> </w:t>
      </w:r>
      <w:proofErr w:type="spellStart"/>
      <w:r w:rsidRPr="00D52485">
        <w:rPr>
          <w:rFonts w:ascii="Times New Roman" w:hAnsi="Times New Roman" w:cs="Times New Roman"/>
          <w:lang w:val="fr-FR" w:eastAsia="en-GB"/>
        </w:rPr>
        <w:t>IgM</w:t>
      </w:r>
      <w:proofErr w:type="spellEnd"/>
    </w:p>
    <w:p w14:paraId="486B28AA" w14:textId="77777777" w:rsidR="002F3A45" w:rsidRPr="00D52485" w:rsidRDefault="002F3A45" w:rsidP="002F3A45">
      <w:pPr>
        <w:pStyle w:val="ListParagraph"/>
        <w:numPr>
          <w:ilvl w:val="0"/>
          <w:numId w:val="1"/>
        </w:numPr>
        <w:spacing w:line="360" w:lineRule="auto"/>
        <w:rPr>
          <w:rFonts w:ascii="Times New Roman" w:hAnsi="Times New Roman" w:cs="Times New Roman"/>
          <w:lang w:val="fr-FR" w:eastAsia="en-GB"/>
        </w:rPr>
      </w:pPr>
      <w:proofErr w:type="spellStart"/>
      <w:r w:rsidRPr="00D52485">
        <w:rPr>
          <w:rFonts w:ascii="Times New Roman" w:hAnsi="Times New Roman" w:cs="Times New Roman"/>
          <w:lang w:val="fr-FR" w:eastAsia="en-GB"/>
        </w:rPr>
        <w:t>Biomerieux</w:t>
      </w:r>
      <w:proofErr w:type="spellEnd"/>
      <w:r w:rsidRPr="00D52485">
        <w:rPr>
          <w:rFonts w:ascii="Times New Roman" w:hAnsi="Times New Roman" w:cs="Times New Roman"/>
          <w:lang w:val="fr-FR" w:eastAsia="en-GB"/>
        </w:rPr>
        <w:t xml:space="preserve"> Vidas </w:t>
      </w:r>
      <w:proofErr w:type="spellStart"/>
      <w:r w:rsidRPr="00D52485">
        <w:rPr>
          <w:rFonts w:ascii="Times New Roman" w:hAnsi="Times New Roman" w:cs="Times New Roman"/>
          <w:lang w:val="fr-FR" w:eastAsia="en-GB"/>
        </w:rPr>
        <w:t>Toxoplasma</w:t>
      </w:r>
      <w:proofErr w:type="spellEnd"/>
      <w:r w:rsidRPr="00D52485">
        <w:rPr>
          <w:rFonts w:ascii="Times New Roman" w:hAnsi="Times New Roman" w:cs="Times New Roman"/>
          <w:lang w:val="fr-FR" w:eastAsia="en-GB"/>
        </w:rPr>
        <w:t xml:space="preserve"> </w:t>
      </w:r>
      <w:proofErr w:type="spellStart"/>
      <w:r w:rsidRPr="00D52485">
        <w:rPr>
          <w:rFonts w:ascii="Times New Roman" w:hAnsi="Times New Roman" w:cs="Times New Roman"/>
          <w:lang w:val="fr-FR" w:eastAsia="en-GB"/>
        </w:rPr>
        <w:t>Competition</w:t>
      </w:r>
      <w:proofErr w:type="spellEnd"/>
    </w:p>
    <w:p w14:paraId="5203D381" w14:textId="77777777" w:rsidR="002F3A45" w:rsidRPr="00D52485" w:rsidRDefault="002F3A45" w:rsidP="002F3A45">
      <w:pPr>
        <w:spacing w:line="360" w:lineRule="auto"/>
        <w:jc w:val="both"/>
        <w:rPr>
          <w:rFonts w:ascii="Times New Roman" w:hAnsi="Times New Roman" w:cs="Times New Roman"/>
          <w:lang w:eastAsia="en-GB"/>
        </w:rPr>
      </w:pPr>
      <w:r w:rsidRPr="00D52485">
        <w:rPr>
          <w:rFonts w:ascii="Times New Roman" w:hAnsi="Times New Roman" w:cs="Times New Roman"/>
        </w:rPr>
        <w:t xml:space="preserve">A sample was considered positive if it tested positive for any of these tests. </w:t>
      </w:r>
      <w:r w:rsidRPr="00D52485">
        <w:rPr>
          <w:rFonts w:ascii="Times New Roman" w:hAnsi="Times New Roman" w:cs="Times New Roman"/>
          <w:lang w:eastAsia="en-GB"/>
        </w:rPr>
        <w:t>A subset of samples was confirmed by the Sabin Feldman dye test and the IgM immunosorbent agglutination assay at the Swansea Toxoplasma Reference Laboratory.</w:t>
      </w:r>
    </w:p>
    <w:p w14:paraId="3E094604" w14:textId="190D8CA1" w:rsidR="002F3A45" w:rsidRDefault="002F3A45" w:rsidP="002F3A45">
      <w:pPr>
        <w:spacing w:line="360" w:lineRule="auto"/>
        <w:jc w:val="both"/>
        <w:rPr>
          <w:rFonts w:ascii="Times New Roman" w:hAnsi="Times New Roman" w:cs="Times New Roman"/>
          <w:i/>
          <w:lang w:eastAsia="en-GB"/>
        </w:rPr>
      </w:pPr>
      <w:r w:rsidRPr="00D52485">
        <w:rPr>
          <w:rFonts w:ascii="Times New Roman" w:hAnsi="Times New Roman" w:cs="Times New Roman"/>
          <w:lang w:eastAsia="en-GB"/>
        </w:rPr>
        <w:t xml:space="preserve">J. Newham/A. Kitchen; </w:t>
      </w:r>
      <w:r w:rsidRPr="00D52485">
        <w:rPr>
          <w:rFonts w:ascii="Times New Roman" w:hAnsi="Times New Roman" w:cs="Times New Roman"/>
          <w:i/>
          <w:lang w:eastAsia="en-GB"/>
        </w:rPr>
        <w:t>unpublished data</w:t>
      </w:r>
    </w:p>
    <w:p w14:paraId="37D8B655" w14:textId="0FD7BD6A" w:rsidR="00133C8E" w:rsidRDefault="00133C8E">
      <w:pPr>
        <w:rPr>
          <w:rFonts w:ascii="Times New Roman" w:hAnsi="Times New Roman" w:cs="Times New Roman"/>
          <w:i/>
          <w:lang w:eastAsia="en-GB"/>
        </w:rPr>
      </w:pPr>
      <w:r>
        <w:rPr>
          <w:rFonts w:ascii="Times New Roman" w:hAnsi="Times New Roman" w:cs="Times New Roman"/>
          <w:i/>
          <w:lang w:eastAsia="en-GB"/>
        </w:rPr>
        <w:br w:type="page"/>
      </w:r>
    </w:p>
    <w:p w14:paraId="3D2A727D" w14:textId="5FDEB65E" w:rsidR="00587F34" w:rsidRPr="00587F34" w:rsidRDefault="00587F34" w:rsidP="00133C8E">
      <w:pPr>
        <w:spacing w:line="360" w:lineRule="auto"/>
        <w:rPr>
          <w:rFonts w:ascii="Times New Roman" w:hAnsi="Times New Roman" w:cs="Times New Roman"/>
          <w:b/>
          <w:bCs/>
        </w:rPr>
      </w:pPr>
      <w:r w:rsidRPr="00587F34">
        <w:rPr>
          <w:rFonts w:ascii="Times New Roman" w:hAnsi="Times New Roman" w:cs="Times New Roman"/>
          <w:b/>
          <w:bCs/>
        </w:rPr>
        <w:lastRenderedPageBreak/>
        <w:t>Standard methodology research-based enzyme-linked immunosorbent assay</w:t>
      </w:r>
    </w:p>
    <w:p w14:paraId="628A3983" w14:textId="1909376D" w:rsidR="00133C8E" w:rsidRDefault="00133C8E" w:rsidP="0073355D">
      <w:pPr>
        <w:spacing w:line="360" w:lineRule="auto"/>
        <w:rPr>
          <w:rFonts w:ascii="Times New Roman" w:hAnsi="Times New Roman" w:cs="Times New Roman"/>
        </w:rPr>
      </w:pPr>
      <w:r>
        <w:rPr>
          <w:rFonts w:ascii="Times New Roman" w:hAnsi="Times New Roman" w:cs="Times New Roman"/>
        </w:rPr>
        <w:t xml:space="preserve">Participants’ sera were diluted to a concentration of 1:200 in </w:t>
      </w:r>
      <w:r w:rsidRPr="00182348">
        <w:rPr>
          <w:rFonts w:ascii="Times New Roman" w:hAnsi="Times New Roman" w:cs="Times New Roman"/>
        </w:rPr>
        <w:t xml:space="preserve">phosphate buffered saline with 0.5% </w:t>
      </w:r>
      <w:r>
        <w:rPr>
          <w:rFonts w:ascii="Times New Roman" w:hAnsi="Times New Roman" w:cs="Times New Roman"/>
        </w:rPr>
        <w:t>T</w:t>
      </w:r>
      <w:r w:rsidRPr="00182348">
        <w:rPr>
          <w:rFonts w:ascii="Times New Roman" w:hAnsi="Times New Roman" w:cs="Times New Roman"/>
        </w:rPr>
        <w:t>ween20</w:t>
      </w:r>
      <w:r>
        <w:rPr>
          <w:rFonts w:ascii="Times New Roman" w:hAnsi="Times New Roman" w:cs="Times New Roman"/>
        </w:rPr>
        <w:t xml:space="preserve"> (</w:t>
      </w:r>
      <w:r w:rsidRPr="00182348">
        <w:rPr>
          <w:rFonts w:ascii="Times New Roman" w:hAnsi="Times New Roman" w:cs="Times New Roman"/>
        </w:rPr>
        <w:t>PBS-T</w:t>
      </w:r>
      <w:r>
        <w:rPr>
          <w:rFonts w:ascii="Times New Roman" w:hAnsi="Times New Roman" w:cs="Times New Roman"/>
        </w:rPr>
        <w:t>)</w:t>
      </w:r>
      <w:r w:rsidRPr="00182348">
        <w:rPr>
          <w:rFonts w:ascii="Times New Roman" w:hAnsi="Times New Roman" w:cs="Times New Roman"/>
        </w:rPr>
        <w:t xml:space="preserve"> and 0.05% sodium </w:t>
      </w:r>
      <w:proofErr w:type="spellStart"/>
      <w:r w:rsidRPr="00182348">
        <w:rPr>
          <w:rFonts w:ascii="Times New Roman" w:hAnsi="Times New Roman" w:cs="Times New Roman"/>
        </w:rPr>
        <w:t>azide</w:t>
      </w:r>
      <w:proofErr w:type="spellEnd"/>
      <w:r>
        <w:rPr>
          <w:rFonts w:ascii="Times New Roman" w:hAnsi="Times New Roman" w:cs="Times New Roman"/>
        </w:rPr>
        <w:t xml:space="preserve">. </w:t>
      </w:r>
      <w:r w:rsidRPr="00D52485">
        <w:rPr>
          <w:rFonts w:ascii="Times New Roman" w:hAnsi="Times New Roman" w:cs="Times New Roman"/>
        </w:rPr>
        <w:t xml:space="preserve">A pool of five </w:t>
      </w:r>
      <w:r w:rsidRPr="00D52485">
        <w:rPr>
          <w:rFonts w:ascii="Times New Roman" w:hAnsi="Times New Roman" w:cs="Times New Roman"/>
          <w:i/>
        </w:rPr>
        <w:t>P</w:t>
      </w:r>
      <w:r w:rsidR="007428AC">
        <w:rPr>
          <w:rFonts w:ascii="Times New Roman" w:hAnsi="Times New Roman" w:cs="Times New Roman"/>
          <w:i/>
        </w:rPr>
        <w:t>lasmodium</w:t>
      </w:r>
      <w:r w:rsidRPr="00D52485">
        <w:rPr>
          <w:rFonts w:ascii="Times New Roman" w:hAnsi="Times New Roman" w:cs="Times New Roman"/>
          <w:i/>
        </w:rPr>
        <w:t xml:space="preserve"> falciparum </w:t>
      </w:r>
      <w:r w:rsidRPr="00D52485">
        <w:rPr>
          <w:rFonts w:ascii="Times New Roman" w:hAnsi="Times New Roman" w:cs="Times New Roman"/>
        </w:rPr>
        <w:t xml:space="preserve">antigens was used: apical membrane antigen 1 (AMA-1), </w:t>
      </w:r>
      <w:r>
        <w:rPr>
          <w:rFonts w:ascii="Times New Roman" w:hAnsi="Times New Roman" w:cs="Times New Roman"/>
        </w:rPr>
        <w:t xml:space="preserve">the </w:t>
      </w:r>
      <w:r w:rsidRPr="00D52485">
        <w:rPr>
          <w:rFonts w:ascii="Times New Roman" w:hAnsi="Times New Roman" w:cs="Times New Roman"/>
        </w:rPr>
        <w:t xml:space="preserve">19 </w:t>
      </w:r>
      <w:proofErr w:type="spellStart"/>
      <w:r w:rsidRPr="00D52485">
        <w:rPr>
          <w:rFonts w:ascii="Times New Roman" w:hAnsi="Times New Roman" w:cs="Times New Roman"/>
        </w:rPr>
        <w:t>kDa</w:t>
      </w:r>
      <w:proofErr w:type="spellEnd"/>
      <w:r w:rsidRPr="00D52485">
        <w:rPr>
          <w:rFonts w:ascii="Times New Roman" w:hAnsi="Times New Roman" w:cs="Times New Roman"/>
        </w:rPr>
        <w:t xml:space="preserve"> fragment of </w:t>
      </w:r>
      <w:proofErr w:type="spellStart"/>
      <w:r w:rsidRPr="00D52485">
        <w:rPr>
          <w:rFonts w:ascii="Times New Roman" w:hAnsi="Times New Roman" w:cs="Times New Roman"/>
        </w:rPr>
        <w:t>merozoite</w:t>
      </w:r>
      <w:proofErr w:type="spellEnd"/>
      <w:r w:rsidRPr="00D52485">
        <w:rPr>
          <w:rFonts w:ascii="Times New Roman" w:hAnsi="Times New Roman" w:cs="Times New Roman"/>
        </w:rPr>
        <w:t xml:space="preserve"> surface protein 1 (MSP-1</w:t>
      </w:r>
      <w:r w:rsidRPr="00D52485">
        <w:rPr>
          <w:rFonts w:ascii="Times New Roman" w:hAnsi="Times New Roman" w:cs="Times New Roman"/>
          <w:vertAlign w:val="subscript"/>
        </w:rPr>
        <w:t>19</w:t>
      </w:r>
      <w:r w:rsidRPr="00D52485">
        <w:rPr>
          <w:rFonts w:ascii="Times New Roman" w:hAnsi="Times New Roman" w:cs="Times New Roman"/>
        </w:rPr>
        <w:t xml:space="preserve">), </w:t>
      </w:r>
      <w:r>
        <w:rPr>
          <w:rFonts w:ascii="Times New Roman" w:hAnsi="Times New Roman" w:cs="Times New Roman"/>
        </w:rPr>
        <w:t xml:space="preserve">the </w:t>
      </w:r>
      <w:r w:rsidRPr="00D52485">
        <w:rPr>
          <w:rFonts w:ascii="Times New Roman" w:hAnsi="Times New Roman" w:cs="Times New Roman"/>
        </w:rPr>
        <w:t xml:space="preserve">full-length Dd2 allele of MSP-2 (MSP-2 Dd2), </w:t>
      </w:r>
      <w:r>
        <w:rPr>
          <w:rFonts w:ascii="Times New Roman" w:hAnsi="Times New Roman" w:cs="Times New Roman"/>
        </w:rPr>
        <w:t xml:space="preserve">the </w:t>
      </w:r>
      <w:r w:rsidRPr="00D52485">
        <w:rPr>
          <w:rFonts w:ascii="Times New Roman" w:hAnsi="Times New Roman" w:cs="Times New Roman"/>
        </w:rPr>
        <w:t xml:space="preserve">full-length CH150/9 allele of MSP-2 (MSP-2 CH150/9) and glutamate-rich protein R2 (GLURP-R2). </w:t>
      </w:r>
      <w:r>
        <w:rPr>
          <w:rFonts w:ascii="Times New Roman" w:hAnsi="Times New Roman" w:cs="Times New Roman"/>
        </w:rPr>
        <w:t>Antigens were coated</w:t>
      </w:r>
      <w:r w:rsidRPr="00A80665">
        <w:rPr>
          <w:rFonts w:ascii="Times New Roman" w:hAnsi="Times New Roman" w:cs="Times New Roman"/>
        </w:rPr>
        <w:t xml:space="preserve"> </w:t>
      </w:r>
      <w:r>
        <w:rPr>
          <w:rFonts w:ascii="Times New Roman" w:hAnsi="Times New Roman" w:cs="Times New Roman"/>
        </w:rPr>
        <w:t>overnight to plates (</w:t>
      </w:r>
      <w:proofErr w:type="spellStart"/>
      <w:r w:rsidRPr="00A80665">
        <w:rPr>
          <w:rFonts w:ascii="Times New Roman" w:hAnsi="Times New Roman" w:cs="Times New Roman"/>
        </w:rPr>
        <w:t>Immulon</w:t>
      </w:r>
      <w:proofErr w:type="spellEnd"/>
      <w:r w:rsidRPr="00A80665">
        <w:rPr>
          <w:rFonts w:ascii="Times New Roman" w:hAnsi="Times New Roman" w:cs="Times New Roman"/>
        </w:rPr>
        <w:t xml:space="preserve"> 4HBX</w:t>
      </w:r>
      <w:r>
        <w:rPr>
          <w:rFonts w:ascii="Times New Roman" w:hAnsi="Times New Roman" w:cs="Times New Roman"/>
        </w:rPr>
        <w:t xml:space="preserve"> flat bottom</w:t>
      </w:r>
      <w:r w:rsidRPr="00A80665">
        <w:rPr>
          <w:rFonts w:ascii="Times New Roman" w:hAnsi="Times New Roman" w:cs="Times New Roman"/>
        </w:rPr>
        <w:t>, Thermo</w:t>
      </w:r>
      <w:r>
        <w:rPr>
          <w:rFonts w:ascii="Times New Roman" w:hAnsi="Times New Roman" w:cs="Times New Roman"/>
        </w:rPr>
        <w:t xml:space="preserve">) using coating buffer (50 </w:t>
      </w:r>
      <w:r w:rsidRPr="00182348">
        <w:rPr>
          <w:rFonts w:ascii="Times New Roman" w:hAnsi="Times New Roman" w:cs="Times New Roman"/>
        </w:rPr>
        <w:t>µl p</w:t>
      </w:r>
      <w:r w:rsidRPr="00EC299E">
        <w:rPr>
          <w:rFonts w:ascii="Times New Roman" w:hAnsi="Times New Roman" w:cs="Times New Roman"/>
        </w:rPr>
        <w:t xml:space="preserve">er </w:t>
      </w:r>
      <w:r w:rsidRPr="002D20D9">
        <w:rPr>
          <w:rFonts w:ascii="Times New Roman" w:hAnsi="Times New Roman" w:cs="Times New Roman"/>
        </w:rPr>
        <w:t>wel</w:t>
      </w:r>
      <w:r w:rsidRPr="00D9412A">
        <w:rPr>
          <w:rFonts w:ascii="Times New Roman" w:hAnsi="Times New Roman" w:cs="Times New Roman"/>
        </w:rPr>
        <w:t>l</w:t>
      </w:r>
      <w:r w:rsidRPr="00182348">
        <w:rPr>
          <w:rFonts w:ascii="Times New Roman" w:hAnsi="Times New Roman" w:cs="Times New Roman"/>
        </w:rPr>
        <w:t>; 0.2 M NaHCO</w:t>
      </w:r>
      <w:r w:rsidRPr="00182348">
        <w:rPr>
          <w:rFonts w:ascii="Times New Roman" w:hAnsi="Times New Roman" w:cs="Times New Roman"/>
          <w:vertAlign w:val="subscript"/>
        </w:rPr>
        <w:t>3</w:t>
      </w:r>
      <w:r w:rsidRPr="00182348">
        <w:rPr>
          <w:rFonts w:ascii="Times New Roman" w:hAnsi="Times New Roman" w:cs="Times New Roman"/>
        </w:rPr>
        <w:t>/Na</w:t>
      </w:r>
      <w:r w:rsidRPr="00182348">
        <w:rPr>
          <w:rFonts w:ascii="Times New Roman" w:hAnsi="Times New Roman" w:cs="Times New Roman"/>
          <w:vertAlign w:val="subscript"/>
        </w:rPr>
        <w:t>2</w:t>
      </w:r>
      <w:r w:rsidRPr="00182348">
        <w:rPr>
          <w:rFonts w:ascii="Times New Roman" w:hAnsi="Times New Roman" w:cs="Times New Roman"/>
        </w:rPr>
        <w:t>CO</w:t>
      </w:r>
      <w:r w:rsidRPr="00182348">
        <w:rPr>
          <w:rFonts w:ascii="Times New Roman" w:hAnsi="Times New Roman" w:cs="Times New Roman"/>
          <w:vertAlign w:val="subscript"/>
        </w:rPr>
        <w:t>3</w:t>
      </w:r>
      <w:r w:rsidRPr="00182348">
        <w:rPr>
          <w:rFonts w:ascii="Times New Roman" w:hAnsi="Times New Roman" w:cs="Times New Roman"/>
        </w:rPr>
        <w:t>, pH 9.4-9.6).</w:t>
      </w:r>
      <w:r>
        <w:rPr>
          <w:rFonts w:ascii="Times New Roman" w:hAnsi="Times New Roman" w:cs="Times New Roman"/>
        </w:rPr>
        <w:t xml:space="preserve"> The coating concentration for all antigens was 0.5 µg/ml, except for GLURP-R2 which was coated at 0.1 µg/ml. The next day, plates were washed 3 times with wash buffer (PBS-T) and incubated with blocking buffer for three hours (150 µl per well; 1% skimmed milk powder in PBS-T). Next, after 3 washes, samples were diluted into plates at 1:5</w:t>
      </w:r>
      <w:r w:rsidRPr="00C74BE0">
        <w:rPr>
          <w:rFonts w:ascii="Times New Roman" w:hAnsi="Times New Roman" w:cs="Times New Roman"/>
        </w:rPr>
        <w:t xml:space="preserve"> </w:t>
      </w:r>
      <w:r>
        <w:rPr>
          <w:rFonts w:ascii="Times New Roman" w:hAnsi="Times New Roman" w:cs="Times New Roman"/>
        </w:rPr>
        <w:t>in blocking buffer, thus</w:t>
      </w:r>
      <w:r w:rsidRPr="00D52485">
        <w:rPr>
          <w:rFonts w:ascii="Times New Roman" w:hAnsi="Times New Roman" w:cs="Times New Roman"/>
        </w:rPr>
        <w:t xml:space="preserve"> </w:t>
      </w:r>
      <w:r>
        <w:rPr>
          <w:rFonts w:ascii="Times New Roman" w:hAnsi="Times New Roman" w:cs="Times New Roman"/>
        </w:rPr>
        <w:t xml:space="preserve">generating </w:t>
      </w:r>
      <w:r w:rsidRPr="00D52485">
        <w:rPr>
          <w:rFonts w:ascii="Times New Roman" w:hAnsi="Times New Roman" w:cs="Times New Roman"/>
        </w:rPr>
        <w:t xml:space="preserve">a final </w:t>
      </w:r>
      <w:r>
        <w:rPr>
          <w:rFonts w:ascii="Times New Roman" w:hAnsi="Times New Roman" w:cs="Times New Roman"/>
        </w:rPr>
        <w:t xml:space="preserve">serum </w:t>
      </w:r>
      <w:r w:rsidRPr="00D52485">
        <w:rPr>
          <w:rFonts w:ascii="Times New Roman" w:hAnsi="Times New Roman" w:cs="Times New Roman"/>
        </w:rPr>
        <w:t>concentration of 1:1</w:t>
      </w:r>
      <w:r>
        <w:rPr>
          <w:rFonts w:ascii="Times New Roman" w:hAnsi="Times New Roman" w:cs="Times New Roman"/>
        </w:rPr>
        <w:t>,</w:t>
      </w:r>
      <w:r w:rsidRPr="00D52485">
        <w:rPr>
          <w:rFonts w:ascii="Times New Roman" w:hAnsi="Times New Roman" w:cs="Times New Roman"/>
        </w:rPr>
        <w:t>000</w:t>
      </w:r>
      <w:r>
        <w:rPr>
          <w:rFonts w:ascii="Times New Roman" w:hAnsi="Times New Roman" w:cs="Times New Roman"/>
        </w:rPr>
        <w:t xml:space="preserve">. </w:t>
      </w:r>
      <w:r w:rsidRPr="00D52485">
        <w:rPr>
          <w:rFonts w:ascii="Times New Roman" w:hAnsi="Times New Roman" w:cs="Times New Roman"/>
        </w:rPr>
        <w:t>To increase throughput and mimic commercial assays, samples were run in single</w:t>
      </w:r>
      <w:r>
        <w:rPr>
          <w:rFonts w:ascii="Times New Roman" w:hAnsi="Times New Roman" w:cs="Times New Roman"/>
        </w:rPr>
        <w:t xml:space="preserve"> </w:t>
      </w:r>
      <w:r w:rsidRPr="002B7422">
        <w:rPr>
          <w:rFonts w:ascii="Times New Roman" w:hAnsi="Times New Roman" w:cs="Times New Roman"/>
        </w:rPr>
        <w:t xml:space="preserve">wells. A positive control standard curve using a Tanzanian hyperimmune sera pool </w:t>
      </w:r>
      <w:r w:rsidR="002B7422" w:rsidRPr="002B7422">
        <w:rPr>
          <w:rFonts w:ascii="Times New Roman" w:hAnsi="Times New Roman" w:cs="Times New Roman"/>
        </w:rPr>
        <w:t xml:space="preserve">(not commercially available) </w:t>
      </w:r>
      <w:r w:rsidRPr="002B7422">
        <w:rPr>
          <w:rFonts w:ascii="Times New Roman" w:hAnsi="Times New Roman" w:cs="Times New Roman"/>
        </w:rPr>
        <w:t xml:space="preserve">was created fresh for each batch of plates. </w:t>
      </w:r>
      <w:r w:rsidR="002B7422" w:rsidRPr="002B7422">
        <w:rPr>
          <w:rFonts w:ascii="Times New Roman" w:hAnsi="Times New Roman" w:cs="Times New Roman"/>
        </w:rPr>
        <w:t xml:space="preserve">The standard curve was created by a 6-fold </w:t>
      </w:r>
      <w:r w:rsidR="007428AC">
        <w:rPr>
          <w:rFonts w:ascii="Times New Roman" w:hAnsi="Times New Roman" w:cs="Times New Roman"/>
        </w:rPr>
        <w:t>serial dilution</w:t>
      </w:r>
      <w:r w:rsidR="002B7422" w:rsidRPr="002B7422">
        <w:rPr>
          <w:rFonts w:ascii="Times New Roman" w:hAnsi="Times New Roman" w:cs="Times New Roman"/>
        </w:rPr>
        <w:t xml:space="preserve"> series over 6 wells starting at 1:50</w:t>
      </w:r>
      <w:r w:rsidRPr="002B7422">
        <w:rPr>
          <w:rFonts w:ascii="Times New Roman" w:hAnsi="Times New Roman" w:cs="Times New Roman"/>
        </w:rPr>
        <w:t>.</w:t>
      </w:r>
      <w:r w:rsidR="002B7422" w:rsidRPr="002B7422">
        <w:rPr>
          <w:rFonts w:ascii="Times New Roman" w:hAnsi="Times New Roman" w:cs="Times New Roman"/>
        </w:rPr>
        <w:t xml:space="preserve"> Standard curves were run in duplicate on each plate.</w:t>
      </w:r>
      <w:r w:rsidRPr="002B7422">
        <w:rPr>
          <w:rFonts w:ascii="Times New Roman" w:hAnsi="Times New Roman" w:cs="Times New Roman"/>
        </w:rPr>
        <w:t xml:space="preserve"> Lastly, four wells were left blank, i.e. these were incubated with blocking buffer only. On</w:t>
      </w:r>
      <w:r>
        <w:rPr>
          <w:rFonts w:ascii="Times New Roman" w:hAnsi="Times New Roman" w:cs="Times New Roman"/>
        </w:rPr>
        <w:t xml:space="preserve"> the third day, after 5 washes, plates were incubated with secondary antibody at 1:15,000</w:t>
      </w:r>
      <w:r w:rsidRPr="00182348">
        <w:rPr>
          <w:rFonts w:ascii="Times New Roman" w:hAnsi="Times New Roman" w:cs="Times New Roman"/>
        </w:rPr>
        <w:t xml:space="preserve"> </w:t>
      </w:r>
      <w:r>
        <w:rPr>
          <w:rFonts w:ascii="Times New Roman" w:hAnsi="Times New Roman" w:cs="Times New Roman"/>
        </w:rPr>
        <w:t>in blocking buffer for three hours (50 µl per well; h</w:t>
      </w:r>
      <w:r w:rsidRPr="00094917">
        <w:rPr>
          <w:rFonts w:ascii="Times New Roman" w:hAnsi="Times New Roman" w:cs="Times New Roman"/>
        </w:rPr>
        <w:t>orseradish peroxidase-conjugated rabbit anti-human IgG</w:t>
      </w:r>
      <w:r>
        <w:rPr>
          <w:rFonts w:ascii="Times New Roman" w:hAnsi="Times New Roman" w:cs="Times New Roman"/>
        </w:rPr>
        <w:t xml:space="preserve">, </w:t>
      </w:r>
      <w:r w:rsidRPr="00094917">
        <w:rPr>
          <w:rFonts w:ascii="Times New Roman" w:hAnsi="Times New Roman" w:cs="Times New Roman"/>
        </w:rPr>
        <w:t>#P0214</w:t>
      </w:r>
      <w:r>
        <w:rPr>
          <w:rFonts w:ascii="Times New Roman" w:hAnsi="Times New Roman" w:cs="Times New Roman"/>
        </w:rPr>
        <w:t>,</w:t>
      </w:r>
      <w:r w:rsidRPr="00094917">
        <w:rPr>
          <w:rFonts w:ascii="Times New Roman" w:hAnsi="Times New Roman" w:cs="Times New Roman"/>
        </w:rPr>
        <w:t xml:space="preserve"> </w:t>
      </w:r>
      <w:proofErr w:type="spellStart"/>
      <w:r w:rsidRPr="00094917">
        <w:rPr>
          <w:rFonts w:ascii="Times New Roman" w:hAnsi="Times New Roman" w:cs="Times New Roman"/>
        </w:rPr>
        <w:t>Dako</w:t>
      </w:r>
      <w:proofErr w:type="spellEnd"/>
      <w:r>
        <w:rPr>
          <w:rFonts w:ascii="Times New Roman" w:hAnsi="Times New Roman" w:cs="Times New Roman"/>
        </w:rPr>
        <w:t>). After a final 3 washes, plates were developed using TMB (100 µl per well; #TMBW-1000-01, Tebu-bio laboratories) for 15 minutes in the dark and then stopped using 0.2 M H</w:t>
      </w:r>
      <w:r w:rsidRPr="00A80665">
        <w:rPr>
          <w:rFonts w:ascii="Times New Roman" w:hAnsi="Times New Roman" w:cs="Times New Roman"/>
          <w:vertAlign w:val="subscript"/>
        </w:rPr>
        <w:t>2</w:t>
      </w:r>
      <w:r>
        <w:rPr>
          <w:rFonts w:ascii="Times New Roman" w:hAnsi="Times New Roman" w:cs="Times New Roman"/>
        </w:rPr>
        <w:t>SO</w:t>
      </w:r>
      <w:r w:rsidRPr="00A80665">
        <w:rPr>
          <w:rFonts w:ascii="Times New Roman" w:hAnsi="Times New Roman" w:cs="Times New Roman"/>
          <w:vertAlign w:val="subscript"/>
        </w:rPr>
        <w:t>4</w:t>
      </w:r>
      <w:r>
        <w:rPr>
          <w:rFonts w:ascii="Times New Roman" w:hAnsi="Times New Roman" w:cs="Times New Roman"/>
        </w:rPr>
        <w:t xml:space="preserve"> (50 µl per well). </w:t>
      </w:r>
      <w:r w:rsidRPr="00D52485">
        <w:rPr>
          <w:rFonts w:ascii="Times New Roman" w:hAnsi="Times New Roman" w:cs="Times New Roman"/>
        </w:rPr>
        <w:t>OD measures were read at a wavelength of 450nm</w:t>
      </w:r>
      <w:r w:rsidR="002B7422">
        <w:rPr>
          <w:rFonts w:ascii="Times New Roman" w:hAnsi="Times New Roman" w:cs="Times New Roman"/>
        </w:rPr>
        <w:t xml:space="preserve"> </w:t>
      </w:r>
      <w:r w:rsidR="002B7422" w:rsidRPr="00D52485">
        <w:rPr>
          <w:rFonts w:ascii="Times New Roman" w:hAnsi="Times New Roman" w:cs="Times New Roman"/>
        </w:rPr>
        <w:t>with a spectrophotometer (</w:t>
      </w:r>
      <w:proofErr w:type="spellStart"/>
      <w:r w:rsidR="002B7422" w:rsidRPr="00D52485">
        <w:rPr>
          <w:rFonts w:ascii="Times New Roman" w:hAnsi="Times New Roman" w:cs="Times New Roman"/>
        </w:rPr>
        <w:t>Dynex</w:t>
      </w:r>
      <w:proofErr w:type="spellEnd"/>
      <w:r w:rsidR="002B7422" w:rsidRPr="00D52485">
        <w:rPr>
          <w:rFonts w:ascii="Times New Roman" w:hAnsi="Times New Roman" w:cs="Times New Roman"/>
        </w:rPr>
        <w:t>® Technologies)</w:t>
      </w:r>
      <w:r w:rsidR="002B7422">
        <w:rPr>
          <w:rFonts w:ascii="Times New Roman" w:hAnsi="Times New Roman" w:cs="Times New Roman"/>
        </w:rPr>
        <w:t>.</w:t>
      </w:r>
    </w:p>
    <w:p w14:paraId="11A01B28" w14:textId="463E76BE" w:rsidR="00362F07" w:rsidRDefault="00362F07">
      <w:pPr>
        <w:rPr>
          <w:rFonts w:ascii="Times New Roman" w:hAnsi="Times New Roman" w:cs="Times New Roman"/>
        </w:rPr>
      </w:pPr>
      <w:r>
        <w:rPr>
          <w:rFonts w:ascii="Times New Roman" w:hAnsi="Times New Roman" w:cs="Times New Roman"/>
        </w:rPr>
        <w:br w:type="page"/>
      </w:r>
    </w:p>
    <w:p w14:paraId="68F5A66C" w14:textId="77777777" w:rsidR="00362F07" w:rsidRPr="00362F07" w:rsidRDefault="00362F07" w:rsidP="00362F07">
      <w:pPr>
        <w:rPr>
          <w:rFonts w:ascii="Times New Roman" w:hAnsi="Times New Roman" w:cs="Times New Roman"/>
          <w:b/>
          <w:noProof/>
        </w:rPr>
      </w:pPr>
      <w:r w:rsidRPr="00362F07">
        <w:rPr>
          <w:rFonts w:ascii="Times New Roman" w:hAnsi="Times New Roman" w:cs="Times New Roman"/>
          <w:b/>
          <w:noProof/>
        </w:rPr>
        <w:lastRenderedPageBreak/>
        <w:t>Supplementary Figures &amp; Tables</w:t>
      </w:r>
    </w:p>
    <w:p w14:paraId="32FE64DC" w14:textId="77777777" w:rsidR="00362F07" w:rsidRDefault="00362F07" w:rsidP="00362F07">
      <w:pPr>
        <w:rPr>
          <w:b/>
        </w:rPr>
      </w:pPr>
      <w:r>
        <w:rPr>
          <w:b/>
          <w:noProof/>
          <w:lang w:val="en-US"/>
        </w:rPr>
        <w:drawing>
          <wp:inline distT="0" distB="0" distL="0" distR="0" wp14:anchorId="2BF2C1A8" wp14:editId="1AFC2034">
            <wp:extent cx="5731510" cy="3963035"/>
            <wp:effectExtent l="0" t="0" r="254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Fig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963035"/>
                    </a:xfrm>
                    <a:prstGeom prst="rect">
                      <a:avLst/>
                    </a:prstGeom>
                  </pic:spPr>
                </pic:pic>
              </a:graphicData>
            </a:graphic>
          </wp:inline>
        </w:drawing>
      </w:r>
    </w:p>
    <w:p w14:paraId="64702DC7" w14:textId="77777777" w:rsidR="00362F07" w:rsidRPr="00D52485" w:rsidRDefault="00362F07" w:rsidP="00362F07">
      <w:pPr>
        <w:spacing w:line="360" w:lineRule="auto"/>
        <w:rPr>
          <w:rFonts w:ascii="Times New Roman" w:hAnsi="Times New Roman" w:cs="Times New Roman"/>
        </w:rPr>
        <w:sectPr w:rsidR="00362F07" w:rsidRPr="00D52485" w:rsidSect="00523578">
          <w:footerReference w:type="default" r:id="rId9"/>
          <w:pgSz w:w="11906" w:h="16838"/>
          <w:pgMar w:top="1440" w:right="1440" w:bottom="1440" w:left="1440" w:header="706" w:footer="706" w:gutter="0"/>
          <w:cols w:space="708"/>
          <w:docGrid w:linePitch="360"/>
        </w:sectPr>
      </w:pPr>
      <w:r w:rsidRPr="00D52485">
        <w:rPr>
          <w:rFonts w:ascii="Times New Roman" w:hAnsi="Times New Roman" w:cs="Times New Roman"/>
          <w:b/>
        </w:rPr>
        <w:t xml:space="preserve">Supplementary Figure 1: </w:t>
      </w:r>
      <w:bookmarkStart w:id="0" w:name="_Hlk535913568"/>
      <w:r w:rsidRPr="00D52485">
        <w:rPr>
          <w:rFonts w:ascii="Times New Roman" w:hAnsi="Times New Roman" w:cs="Times New Roman"/>
          <w:b/>
        </w:rPr>
        <w:t xml:space="preserve">Histogram of antibody responses in Praia, Cape Verde (top) and Bataan, the Philippines (bottom) as recorded by two commercial and the research-based enzyme-linked immunosorbent assays for antimalarial antibody detection as well as thresholds for seropositivity according to different methods. </w:t>
      </w:r>
      <w:bookmarkEnd w:id="0"/>
      <w:r w:rsidRPr="00D52485">
        <w:rPr>
          <w:rFonts w:ascii="Times New Roman" w:hAnsi="Times New Roman" w:cs="Times New Roman"/>
        </w:rPr>
        <w:t>Dashed vertical lines represent thresholds for seropositivity</w:t>
      </w:r>
      <w:r>
        <w:rPr>
          <w:rFonts w:ascii="Times New Roman" w:hAnsi="Times New Roman" w:cs="Times New Roman"/>
        </w:rPr>
        <w:t>. Thresholds according to the two-Gaussian mixture model were set</w:t>
      </w:r>
      <w:r w:rsidRPr="00D52485">
        <w:rPr>
          <w:rFonts w:ascii="Times New Roman" w:hAnsi="Times New Roman" w:cs="Times New Roman"/>
        </w:rPr>
        <w:t xml:space="preserve"> at the mean of the lower distribution plus three standard deviations (red). Thresholds according to the kit instruction manual were plate-specific, the median threshold value is shown on the plots (blue). The median and range of threshold values over all plates for </w:t>
      </w:r>
      <w:r>
        <w:rPr>
          <w:rFonts w:ascii="Times New Roman" w:hAnsi="Times New Roman" w:cs="Times New Roman"/>
        </w:rPr>
        <w:t>Trinity Biotech</w:t>
      </w:r>
      <w:r w:rsidRPr="00D52485">
        <w:rPr>
          <w:rFonts w:ascii="Times New Roman" w:hAnsi="Times New Roman" w:cs="Times New Roman"/>
        </w:rPr>
        <w:t xml:space="preserve"> was 0.13 (0.12-0.14) in Praia and 0.13 (0.12-0.14) in Bataan, and for </w:t>
      </w:r>
      <w:proofErr w:type="spellStart"/>
      <w:r>
        <w:rPr>
          <w:rFonts w:ascii="Times New Roman" w:hAnsi="Times New Roman" w:cs="Times New Roman"/>
        </w:rPr>
        <w:t>NovaTec</w:t>
      </w:r>
      <w:proofErr w:type="spellEnd"/>
      <w:r w:rsidRPr="00D52485">
        <w:rPr>
          <w:rFonts w:ascii="Times New Roman" w:hAnsi="Times New Roman" w:cs="Times New Roman"/>
        </w:rPr>
        <w:t xml:space="preserve"> 0.33 (0.29-0.42) in Praia and 0.41 (0.31-0.51) in Bataan.</w:t>
      </w:r>
    </w:p>
    <w:p w14:paraId="3E990DAD" w14:textId="77777777" w:rsidR="00362F07" w:rsidRDefault="00362F07" w:rsidP="00362F07">
      <w:pPr>
        <w:rPr>
          <w:b/>
        </w:rPr>
      </w:pPr>
      <w:r>
        <w:rPr>
          <w:b/>
          <w:noProof/>
          <w:lang w:val="en-US"/>
        </w:rPr>
        <w:lastRenderedPageBreak/>
        <w:drawing>
          <wp:inline distT="0" distB="0" distL="0" distR="0" wp14:anchorId="556C1A05" wp14:editId="2F2F1553">
            <wp:extent cx="4600135" cy="4828241"/>
            <wp:effectExtent l="0" t="0" r="0" b="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Fig2.tiff"/>
                    <pic:cNvPicPr/>
                  </pic:nvPicPr>
                  <pic:blipFill>
                    <a:blip r:embed="rId10">
                      <a:extLst>
                        <a:ext uri="{28A0092B-C50C-407E-A947-70E740481C1C}">
                          <a14:useLocalDpi xmlns:a14="http://schemas.microsoft.com/office/drawing/2010/main" val="0"/>
                        </a:ext>
                      </a:extLst>
                    </a:blip>
                    <a:stretch>
                      <a:fillRect/>
                    </a:stretch>
                  </pic:blipFill>
                  <pic:spPr>
                    <a:xfrm>
                      <a:off x="0" y="0"/>
                      <a:ext cx="4608231" cy="4836739"/>
                    </a:xfrm>
                    <a:prstGeom prst="rect">
                      <a:avLst/>
                    </a:prstGeom>
                  </pic:spPr>
                </pic:pic>
              </a:graphicData>
            </a:graphic>
          </wp:inline>
        </w:drawing>
      </w:r>
    </w:p>
    <w:p w14:paraId="10AE6C49" w14:textId="77777777" w:rsidR="00362F07" w:rsidRPr="00D52485" w:rsidRDefault="00362F07" w:rsidP="00362F07">
      <w:pPr>
        <w:spacing w:line="360" w:lineRule="auto"/>
        <w:rPr>
          <w:rFonts w:ascii="Times New Roman" w:hAnsi="Times New Roman" w:cs="Times New Roman"/>
          <w:b/>
        </w:rPr>
      </w:pPr>
      <w:r w:rsidRPr="00D52485">
        <w:rPr>
          <w:rFonts w:ascii="Times New Roman" w:hAnsi="Times New Roman" w:cs="Times New Roman"/>
          <w:b/>
        </w:rPr>
        <w:t xml:space="preserve">Supplementary Figure 2: Receiver operating characteristic curves for </w:t>
      </w:r>
      <w:r w:rsidRPr="00D52485">
        <w:rPr>
          <w:rFonts w:ascii="Times New Roman" w:hAnsi="Times New Roman" w:cs="Times New Roman"/>
          <w:b/>
          <w:bCs/>
        </w:rPr>
        <w:t>commercial</w:t>
      </w:r>
      <w:r w:rsidRPr="00D52485">
        <w:rPr>
          <w:rFonts w:ascii="Times New Roman" w:hAnsi="Times New Roman" w:cs="Times New Roman"/>
          <w:b/>
        </w:rPr>
        <w:t xml:space="preserve"> enzyme-linked immunosorbent assays for antimalarial antibody detection. </w:t>
      </w:r>
      <w:r w:rsidRPr="00D52485">
        <w:rPr>
          <w:rFonts w:ascii="Times New Roman" w:hAnsi="Times New Roman" w:cs="Times New Roman"/>
          <w:bCs/>
        </w:rPr>
        <w:t xml:space="preserve">Sera from malaria-naïve only (n=223), and malaria-naïve and </w:t>
      </w:r>
      <w:r w:rsidRPr="00D52485">
        <w:rPr>
          <w:rFonts w:ascii="Times New Roman" w:hAnsi="Times New Roman" w:cs="Times New Roman"/>
          <w:bCs/>
          <w:i/>
          <w:iCs/>
        </w:rPr>
        <w:t>Toxoplasma</w:t>
      </w:r>
      <w:r w:rsidRPr="00D52485">
        <w:rPr>
          <w:rFonts w:ascii="Times New Roman" w:hAnsi="Times New Roman" w:cs="Times New Roman"/>
          <w:bCs/>
        </w:rPr>
        <w:t xml:space="preserve">-exposed (n=191) individuals was used to represent true negatives, while hyperimmune sera from individuals living in </w:t>
      </w:r>
      <w:proofErr w:type="spellStart"/>
      <w:r w:rsidRPr="00D52485">
        <w:rPr>
          <w:rFonts w:ascii="Times New Roman" w:hAnsi="Times New Roman" w:cs="Times New Roman"/>
          <w:bCs/>
        </w:rPr>
        <w:t>Farafenni</w:t>
      </w:r>
      <w:proofErr w:type="spellEnd"/>
      <w:r w:rsidRPr="00D52485">
        <w:rPr>
          <w:rFonts w:ascii="Times New Roman" w:hAnsi="Times New Roman" w:cs="Times New Roman"/>
          <w:bCs/>
        </w:rPr>
        <w:t xml:space="preserve">, the Gambia was used to represent true positives (n=134). For the latter, sera were collected in the early 1990s and individuals were only included if they were 10 years or older by which exposure to malaria almost certainly would have occurred. The dashed diagonal line represents the reference line. Solid lines represent results for continuous antibody response data (i.e., optical density, OD) while triangles represent results for seropositivity. </w:t>
      </w:r>
      <w:r>
        <w:rPr>
          <w:rFonts w:ascii="Times New Roman" w:hAnsi="Times New Roman" w:cs="Times New Roman"/>
          <w:bCs/>
        </w:rPr>
        <w:t>Area under the curve (AUC)</w:t>
      </w:r>
      <w:r w:rsidRPr="00D52485">
        <w:rPr>
          <w:rFonts w:ascii="Times New Roman" w:hAnsi="Times New Roman" w:cs="Times New Roman"/>
          <w:bCs/>
        </w:rPr>
        <w:t xml:space="preserve"> values for seropositivity are shown on the plot. </w:t>
      </w:r>
    </w:p>
    <w:p w14:paraId="0E7CD61C" w14:textId="77777777" w:rsidR="00362F07" w:rsidRDefault="00362F07" w:rsidP="00362F07">
      <w:pPr>
        <w:rPr>
          <w:b/>
        </w:rPr>
      </w:pPr>
      <w:r>
        <w:rPr>
          <w:b/>
        </w:rPr>
        <w:br w:type="page"/>
      </w:r>
    </w:p>
    <w:p w14:paraId="662E9C61" w14:textId="77777777" w:rsidR="00362F07" w:rsidRDefault="00362F07" w:rsidP="00362F07">
      <w:pPr>
        <w:rPr>
          <w:b/>
        </w:rPr>
      </w:pPr>
      <w:r>
        <w:rPr>
          <w:b/>
          <w:noProof/>
          <w:lang w:val="en-US"/>
        </w:rPr>
        <w:lastRenderedPageBreak/>
        <w:drawing>
          <wp:inline distT="0" distB="0" distL="0" distR="0" wp14:anchorId="3C51CD05" wp14:editId="293317AD">
            <wp:extent cx="5643772" cy="5923722"/>
            <wp:effectExtent l="0" t="0" r="0" b="127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Fig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8798" cy="5928998"/>
                    </a:xfrm>
                    <a:prstGeom prst="rect">
                      <a:avLst/>
                    </a:prstGeom>
                  </pic:spPr>
                </pic:pic>
              </a:graphicData>
            </a:graphic>
          </wp:inline>
        </w:drawing>
      </w:r>
    </w:p>
    <w:p w14:paraId="25321586" w14:textId="77777777" w:rsidR="00362F07" w:rsidRPr="00D52485" w:rsidRDefault="00362F07" w:rsidP="00362F07">
      <w:pPr>
        <w:spacing w:line="360" w:lineRule="auto"/>
        <w:rPr>
          <w:rFonts w:ascii="Times New Roman" w:hAnsi="Times New Roman" w:cs="Times New Roman"/>
          <w:bCs/>
        </w:rPr>
      </w:pPr>
      <w:r w:rsidRPr="00D52485">
        <w:rPr>
          <w:rFonts w:ascii="Times New Roman" w:hAnsi="Times New Roman" w:cs="Times New Roman"/>
          <w:b/>
        </w:rPr>
        <w:t xml:space="preserve">Supplementary Figure 3: Optical density measurements by age as recorded by two commercial and the research-based (RB) enzyme-linked immunosorbent assays for antimalarial antibody detection. </w:t>
      </w:r>
      <w:r w:rsidRPr="00D52485">
        <w:rPr>
          <w:rFonts w:ascii="Times New Roman" w:hAnsi="Times New Roman" w:cs="Times New Roman"/>
          <w:bCs/>
        </w:rPr>
        <w:t xml:space="preserve">Dots are jittered and represent individual measurements for 1,824 participants in Bataan, the Philippines and 1,396 participants in Praia, Cape Verde. The dashed vertical line in plots for Bataan represents the timing of the marked </w:t>
      </w:r>
      <w:r w:rsidRPr="00D52485">
        <w:rPr>
          <w:rFonts w:ascii="Times New Roman" w:hAnsi="Times New Roman" w:cs="Times New Roman"/>
        </w:rPr>
        <w:t>decrease in passively detected malaria cases in 1995 (i.e., 22 years prior to data collection; see Figure 2a).</w:t>
      </w:r>
      <w:r w:rsidRPr="00D52485">
        <w:rPr>
          <w:rFonts w:ascii="Times New Roman" w:hAnsi="Times New Roman" w:cs="Times New Roman"/>
          <w:b/>
        </w:rPr>
        <w:br w:type="page"/>
      </w:r>
    </w:p>
    <w:p w14:paraId="0D7078D2" w14:textId="0B35DD6C" w:rsidR="00362F07" w:rsidRDefault="00B95192" w:rsidP="00362F07">
      <w:pPr>
        <w:rPr>
          <w:b/>
        </w:rPr>
      </w:pPr>
      <w:r>
        <w:rPr>
          <w:b/>
          <w:noProof/>
          <w:lang w:val="en-US"/>
        </w:rPr>
        <w:lastRenderedPageBreak/>
        <w:drawing>
          <wp:inline distT="0" distB="0" distL="0" distR="0" wp14:anchorId="2C7C359A" wp14:editId="1BBB2148">
            <wp:extent cx="5731510" cy="6097905"/>
            <wp:effectExtent l="0" t="0" r="254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Fig4_new.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097905"/>
                    </a:xfrm>
                    <a:prstGeom prst="rect">
                      <a:avLst/>
                    </a:prstGeom>
                  </pic:spPr>
                </pic:pic>
              </a:graphicData>
            </a:graphic>
          </wp:inline>
        </w:drawing>
      </w:r>
    </w:p>
    <w:p w14:paraId="2ED7BA2D" w14:textId="47FB091C" w:rsidR="00362F07" w:rsidRDefault="00362F07" w:rsidP="00362F07">
      <w:pPr>
        <w:spacing w:line="360" w:lineRule="auto"/>
        <w:rPr>
          <w:b/>
          <w:bCs/>
        </w:rPr>
        <w:sectPr w:rsidR="00362F07" w:rsidSect="00706C99">
          <w:pgSz w:w="11906" w:h="16838"/>
          <w:pgMar w:top="1440" w:right="1440" w:bottom="1440" w:left="1440" w:header="706" w:footer="706" w:gutter="0"/>
          <w:cols w:space="708"/>
          <w:docGrid w:linePitch="360"/>
        </w:sectPr>
      </w:pPr>
      <w:r w:rsidRPr="00D52485">
        <w:rPr>
          <w:rFonts w:ascii="Times New Roman" w:hAnsi="Times New Roman" w:cs="Times New Roman"/>
          <w:b/>
        </w:rPr>
        <w:t xml:space="preserve">Supplementary Figure 4: Seroconversion curves (a &amp; </w:t>
      </w:r>
      <w:r w:rsidR="00B95192">
        <w:rPr>
          <w:rFonts w:ascii="Times New Roman" w:hAnsi="Times New Roman" w:cs="Times New Roman"/>
          <w:b/>
        </w:rPr>
        <w:t>b</w:t>
      </w:r>
      <w:r w:rsidRPr="00D52485">
        <w:rPr>
          <w:rFonts w:ascii="Times New Roman" w:hAnsi="Times New Roman" w:cs="Times New Roman"/>
          <w:b/>
        </w:rPr>
        <w:t>) and seroprevalence by self-reported history of malaria (</w:t>
      </w:r>
      <w:r w:rsidR="00B95192">
        <w:rPr>
          <w:rFonts w:ascii="Times New Roman" w:hAnsi="Times New Roman" w:cs="Times New Roman"/>
          <w:b/>
        </w:rPr>
        <w:t>c</w:t>
      </w:r>
      <w:r w:rsidRPr="00D52485">
        <w:rPr>
          <w:rFonts w:ascii="Times New Roman" w:hAnsi="Times New Roman" w:cs="Times New Roman"/>
          <w:b/>
        </w:rPr>
        <w:t xml:space="preserve"> &amp; d) using antibody responses recorded by commercial enzyme-linked immunosorbent assays and a two-Gaussian mixture model for seropositivity thresholds. </w:t>
      </w:r>
      <w:r w:rsidRPr="00D52485">
        <w:rPr>
          <w:rFonts w:ascii="Times New Roman" w:hAnsi="Times New Roman" w:cs="Times New Roman"/>
        </w:rPr>
        <w:t>In (</w:t>
      </w:r>
      <w:r w:rsidRPr="00D52485">
        <w:rPr>
          <w:rFonts w:ascii="Times New Roman" w:hAnsi="Times New Roman" w:cs="Times New Roman"/>
          <w:b/>
        </w:rPr>
        <w:t xml:space="preserve">a </w:t>
      </w:r>
      <w:r w:rsidRPr="00D52485">
        <w:rPr>
          <w:rFonts w:ascii="Times New Roman" w:hAnsi="Times New Roman" w:cs="Times New Roman"/>
          <w:bCs/>
        </w:rPr>
        <w:t xml:space="preserve">&amp; </w:t>
      </w:r>
      <w:r w:rsidR="00B95192">
        <w:rPr>
          <w:rFonts w:ascii="Times New Roman" w:hAnsi="Times New Roman" w:cs="Times New Roman"/>
          <w:b/>
        </w:rPr>
        <w:t>b</w:t>
      </w:r>
      <w:r w:rsidRPr="00D52485">
        <w:rPr>
          <w:rFonts w:ascii="Times New Roman" w:hAnsi="Times New Roman" w:cs="Times New Roman"/>
        </w:rPr>
        <w:t xml:space="preserve">) </w:t>
      </w:r>
      <w:r w:rsidRPr="00D52485">
        <w:rPr>
          <w:rFonts w:ascii="Times New Roman" w:eastAsia="Times New Roman" w:hAnsi="Times New Roman" w:cs="Times New Roman"/>
          <w:lang w:eastAsia="en-GB"/>
        </w:rPr>
        <w:t xml:space="preserve">seroconversion curves of seroprevalence by age are shown; solid lines represent the fit of the reversible catalytic model </w:t>
      </w:r>
      <w:r w:rsidRPr="00D52485">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ADDIN ZOTERO_ITEM CSL_CITATION {"citationID":"Y9JKpMbV","properties":{"formattedCitation":"(2)","plainCitation":"(2)","noteIndex":0},"citationItems":[{"id":"crlIuEZ1/s14QnS8f","uris":["http://zotero.org/users/local/YfhTzjFd/items/D7NZ3ERR"],"uri":["http://zotero.org/users/local/YfhTzjFd/items/D7NZ3ERR"],"itemData":{"id":37,"type":"article-journal","title":"Serology: a robust indicator of malaria transmission intensity?","container-title":"Trends in Parasitology","page":"575-582","volume":"23","issue":"12","source":"PubMed","abstract":"To estimate the burden of malarial disease, and evaluate the likely effects of control strategies, requires reliable predictions of malaria transmission intensity. It has long been suggested that antimalarial antibody prevalences could provide a more accurate estimate of transmission intensity than traditional measures such as parasite prevalence or entomological inoculation rates, but there has been no systematic evaluation of this approach. Now, the availability of well characterized malarial antigens allows us to test whether serological measurements provide a practical method for estimating transmission. Here we present a suggested methodology, highlight the advantages and shortcomings of serological measurements of malaria transmission and identify areas in which further work is desirable.","DOI":"10.1016/j.pt.2007.08.023","ISSN":"1471-4922","note":"PMID: 17988945","shortTitle":"Serology","journalAbbreviation":"Trends Parasitol.","language":"eng","author":[{"family":"Corran","given":"Patrick"},{"family":"Coleman","given":"Paul"},{"family":"Riley","given":"Eleanor"},{"family":"Drakeley","given":"Chris"}],"issued":{"date-parts":[["2007",12]]}}}],"schema":"https://github.com/citation-style-language/schema/raw/master/csl-citation.json"} </w:instrText>
      </w:r>
      <w:r w:rsidRPr="00D52485">
        <w:rPr>
          <w:rFonts w:ascii="Times New Roman" w:eastAsia="Times New Roman" w:hAnsi="Times New Roman" w:cs="Times New Roman"/>
          <w:lang w:eastAsia="en-GB"/>
        </w:rPr>
        <w:fldChar w:fldCharType="separate"/>
      </w:r>
      <w:r w:rsidRPr="00D52485">
        <w:rPr>
          <w:rFonts w:ascii="Times New Roman" w:hAnsi="Times New Roman" w:cs="Times New Roman"/>
        </w:rPr>
        <w:t>(2)</w:t>
      </w:r>
      <w:r w:rsidRPr="00D52485">
        <w:rPr>
          <w:rFonts w:ascii="Times New Roman" w:eastAsia="Times New Roman" w:hAnsi="Times New Roman" w:cs="Times New Roman"/>
          <w:lang w:eastAsia="en-GB"/>
        </w:rPr>
        <w:fldChar w:fldCharType="end"/>
      </w:r>
      <w:r w:rsidRPr="00D52485">
        <w:rPr>
          <w:rFonts w:ascii="Times New Roman" w:eastAsia="Times New Roman" w:hAnsi="Times New Roman" w:cs="Times New Roman"/>
          <w:lang w:eastAsia="en-GB"/>
        </w:rPr>
        <w:t xml:space="preserve">, while dashed lines represent 95% CIs. </w:t>
      </w:r>
      <w:r w:rsidRPr="00D52485">
        <w:rPr>
          <w:rFonts w:ascii="Times New Roman" w:hAnsi="Times New Roman" w:cs="Times New Roman"/>
        </w:rPr>
        <w:t>In (</w:t>
      </w:r>
      <w:r w:rsidRPr="00D52485">
        <w:rPr>
          <w:rFonts w:ascii="Times New Roman" w:hAnsi="Times New Roman" w:cs="Times New Roman"/>
          <w:b/>
        </w:rPr>
        <w:t xml:space="preserve">c </w:t>
      </w:r>
      <w:r w:rsidRPr="00D52485">
        <w:rPr>
          <w:rFonts w:ascii="Times New Roman" w:hAnsi="Times New Roman" w:cs="Times New Roman"/>
          <w:bCs/>
        </w:rPr>
        <w:t>&amp;</w:t>
      </w:r>
      <w:r w:rsidRPr="00D52485">
        <w:rPr>
          <w:rFonts w:ascii="Times New Roman" w:hAnsi="Times New Roman" w:cs="Times New Roman"/>
          <w:b/>
        </w:rPr>
        <w:t xml:space="preserve"> </w:t>
      </w:r>
      <w:r w:rsidR="00B95192">
        <w:rPr>
          <w:rFonts w:ascii="Times New Roman" w:hAnsi="Times New Roman" w:cs="Times New Roman"/>
          <w:b/>
        </w:rPr>
        <w:t>d</w:t>
      </w:r>
      <w:r w:rsidRPr="00D52485">
        <w:rPr>
          <w:rFonts w:ascii="Times New Roman" w:hAnsi="Times New Roman" w:cs="Times New Roman"/>
        </w:rPr>
        <w:t xml:space="preserve">) seroprevalence estimates and 95% CIs are shown by categories of self-reported history of malaria. </w:t>
      </w:r>
      <w:r w:rsidRPr="00D52485">
        <w:rPr>
          <w:rFonts w:ascii="Times New Roman" w:eastAsia="Times New Roman" w:hAnsi="Times New Roman" w:cs="Times New Roman"/>
          <w:lang w:eastAsia="en-GB"/>
        </w:rPr>
        <w:t xml:space="preserve">Seropositivity </w:t>
      </w:r>
      <w:r w:rsidRPr="00D52485">
        <w:rPr>
          <w:rFonts w:ascii="Times New Roman" w:hAnsi="Times New Roman" w:cs="Times New Roman"/>
        </w:rPr>
        <w:t xml:space="preserve">thresholds were set at the mean of the lower distribution plus three standard deviations </w:t>
      </w:r>
      <w:r w:rsidRPr="00D52485">
        <w:rPr>
          <w:rFonts w:ascii="Times New Roman" w:eastAsia="Times New Roman" w:hAnsi="Times New Roman" w:cs="Times New Roman"/>
          <w:lang w:eastAsia="en-GB"/>
        </w:rPr>
        <w:t>using a two-Gaussian mixture model (see methods and Supplementary Figure 1).</w:t>
      </w:r>
    </w:p>
    <w:p w14:paraId="250E186E" w14:textId="77777777" w:rsidR="00362F07" w:rsidRPr="00D52485" w:rsidRDefault="00362F07" w:rsidP="00362F07">
      <w:pPr>
        <w:spacing w:line="360" w:lineRule="auto"/>
        <w:rPr>
          <w:rFonts w:ascii="Times New Roman" w:hAnsi="Times New Roman" w:cs="Times New Roman"/>
          <w:color w:val="FF0000"/>
        </w:rPr>
      </w:pPr>
      <w:r w:rsidRPr="00D52485">
        <w:rPr>
          <w:rFonts w:ascii="Times New Roman" w:hAnsi="Times New Roman" w:cs="Times New Roman"/>
          <w:b/>
          <w:bCs/>
        </w:rPr>
        <w:lastRenderedPageBreak/>
        <w:t xml:space="preserve">Supplementary Table </w:t>
      </w:r>
      <w:r>
        <w:rPr>
          <w:rFonts w:ascii="Times New Roman" w:hAnsi="Times New Roman" w:cs="Times New Roman"/>
          <w:b/>
          <w:bCs/>
        </w:rPr>
        <w:t>1</w:t>
      </w:r>
      <w:r w:rsidRPr="00D52485">
        <w:rPr>
          <w:rFonts w:ascii="Times New Roman" w:hAnsi="Times New Roman" w:cs="Times New Roman"/>
          <w:b/>
          <w:bCs/>
        </w:rPr>
        <w:t xml:space="preserve">: Selected and alternative seroconversion models for Cape Verde. </w:t>
      </w:r>
      <w:r w:rsidRPr="00D52485">
        <w:rPr>
          <w:rFonts w:ascii="Times New Roman" w:hAnsi="Times New Roman" w:cs="Times New Roman"/>
        </w:rPr>
        <w:t>Final seroconversion models for the entire study population in Cape Verde are those with one force of infection; the seroconversion rate (SCR) and seroprevalence estimates for models with two forces of infection are shown when p&lt;0.100 compared to a model with one force of infection. Similarly, for seroconversion models by gender, SCR estimates for models with two forces of infection with a change point at 20 years are shown if p&lt;0.100 compared to a model with one force of infection. Fold-differences in seroprevalence estimates after/before the change are shown for both genders when a model with a change point showed p&lt;0.100 for either gender. A change-point at the age of 20 by gender was investigated based on previously published data detailing an increased risk for adult me</w:t>
      </w:r>
      <w:r>
        <w:rPr>
          <w:rFonts w:ascii="Times New Roman" w:hAnsi="Times New Roman" w:cs="Times New Roman"/>
        </w:rPr>
        <w:t>n</w:t>
      </w:r>
      <w:r w:rsidRPr="00D52485">
        <w:rPr>
          <w:rFonts w:ascii="Times New Roman" w:hAnsi="Times New Roman" w:cs="Times New Roman"/>
        </w:rPr>
        <w:t>.</w:t>
      </w:r>
      <w:r w:rsidRPr="00E36BC6">
        <w:rPr>
          <w:rFonts w:ascii="Times New Roman" w:hAnsi="Times New Roman" w:cs="Times New Roman"/>
        </w:rPr>
        <w:t xml:space="preserve"> </w:t>
      </w:r>
      <w:r>
        <w:rPr>
          <w:rFonts w:ascii="Times New Roman" w:hAnsi="Times New Roman" w:cs="Times New Roman"/>
        </w:rPr>
        <w:t>CI: confidence interval; RB-ELISA: research-based enzyme-linked immunosorbent assay.</w:t>
      </w:r>
    </w:p>
    <w:tbl>
      <w:tblPr>
        <w:tblStyle w:val="TableGrid"/>
        <w:tblW w:w="5000" w:type="pct"/>
        <w:tblLayout w:type="fixed"/>
        <w:tblLook w:val="04A0" w:firstRow="1" w:lastRow="0" w:firstColumn="1" w:lastColumn="0" w:noHBand="0" w:noVBand="1"/>
      </w:tblPr>
      <w:tblGrid>
        <w:gridCol w:w="1185"/>
        <w:gridCol w:w="1738"/>
        <w:gridCol w:w="1553"/>
        <w:gridCol w:w="1647"/>
        <w:gridCol w:w="1372"/>
        <w:gridCol w:w="1188"/>
        <w:gridCol w:w="1097"/>
        <w:gridCol w:w="1372"/>
        <w:gridCol w:w="1372"/>
        <w:gridCol w:w="1650"/>
      </w:tblGrid>
      <w:tr w:rsidR="00362F07" w:rsidRPr="00D52485" w14:paraId="05364255" w14:textId="77777777" w:rsidTr="00BB5F84">
        <w:tc>
          <w:tcPr>
            <w:tcW w:w="418" w:type="pct"/>
            <w:vMerge w:val="restart"/>
          </w:tcPr>
          <w:p w14:paraId="28CC03C3" w14:textId="77777777" w:rsidR="00362F07" w:rsidRPr="00D52485" w:rsidRDefault="00362F07" w:rsidP="00BB5F84">
            <w:pPr>
              <w:rPr>
                <w:rFonts w:ascii="Times New Roman" w:hAnsi="Times New Roman" w:cs="Times New Roman"/>
              </w:rPr>
            </w:pPr>
          </w:p>
        </w:tc>
        <w:tc>
          <w:tcPr>
            <w:tcW w:w="2226" w:type="pct"/>
            <w:gridSpan w:val="4"/>
          </w:tcPr>
          <w:p w14:paraId="35B9147A" w14:textId="77777777" w:rsidR="00362F07" w:rsidRPr="00D52485" w:rsidRDefault="00362F07" w:rsidP="00BB5F84">
            <w:pPr>
              <w:rPr>
                <w:rFonts w:ascii="Times New Roman" w:hAnsi="Times New Roman" w:cs="Times New Roman"/>
                <w:b/>
                <w:bCs/>
              </w:rPr>
            </w:pPr>
            <w:r w:rsidRPr="00D52485">
              <w:rPr>
                <w:rFonts w:ascii="Times New Roman" w:hAnsi="Times New Roman" w:cs="Times New Roman"/>
                <w:b/>
                <w:bCs/>
              </w:rPr>
              <w:t xml:space="preserve">Entire study population </w:t>
            </w:r>
          </w:p>
          <w:p w14:paraId="18534E7C" w14:textId="77777777" w:rsidR="00362F07" w:rsidRPr="00D52485" w:rsidRDefault="00362F07" w:rsidP="00BB5F84">
            <w:pPr>
              <w:rPr>
                <w:rFonts w:ascii="Times New Roman" w:hAnsi="Times New Roman" w:cs="Times New Roman"/>
                <w:b/>
                <w:bCs/>
              </w:rPr>
            </w:pPr>
            <w:r w:rsidRPr="00D52485">
              <w:rPr>
                <w:rFonts w:ascii="Times New Roman" w:hAnsi="Times New Roman" w:cs="Times New Roman"/>
              </w:rPr>
              <w:t>n=1396</w:t>
            </w:r>
          </w:p>
        </w:tc>
        <w:tc>
          <w:tcPr>
            <w:tcW w:w="2356" w:type="pct"/>
            <w:gridSpan w:val="5"/>
          </w:tcPr>
          <w:p w14:paraId="4EF6AD6F" w14:textId="77777777" w:rsidR="00362F07" w:rsidRPr="00D52485" w:rsidRDefault="00362F07" w:rsidP="00BB5F84">
            <w:pPr>
              <w:rPr>
                <w:rFonts w:ascii="Times New Roman" w:hAnsi="Times New Roman" w:cs="Times New Roman"/>
                <w:b/>
                <w:bCs/>
              </w:rPr>
            </w:pPr>
            <w:r w:rsidRPr="00D52485">
              <w:rPr>
                <w:rFonts w:ascii="Times New Roman" w:hAnsi="Times New Roman" w:cs="Times New Roman"/>
                <w:b/>
                <w:bCs/>
              </w:rPr>
              <w:t>By gender</w:t>
            </w:r>
          </w:p>
          <w:p w14:paraId="6868529D"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Men n=536; women n=860</w:t>
            </w:r>
          </w:p>
        </w:tc>
      </w:tr>
      <w:tr w:rsidR="00362F07" w:rsidRPr="00D52485" w14:paraId="0145F41A" w14:textId="77777777" w:rsidTr="00BB5F84">
        <w:trPr>
          <w:trHeight w:val="547"/>
        </w:trPr>
        <w:tc>
          <w:tcPr>
            <w:tcW w:w="418" w:type="pct"/>
            <w:vMerge/>
            <w:tcBorders>
              <w:bottom w:val="single" w:sz="4" w:space="0" w:color="auto"/>
            </w:tcBorders>
          </w:tcPr>
          <w:p w14:paraId="0D9B5C92" w14:textId="77777777" w:rsidR="00362F07" w:rsidRPr="00D52485" w:rsidRDefault="00362F07" w:rsidP="00BB5F84">
            <w:pPr>
              <w:rPr>
                <w:rFonts w:ascii="Times New Roman" w:hAnsi="Times New Roman" w:cs="Times New Roman"/>
              </w:rPr>
            </w:pPr>
          </w:p>
        </w:tc>
        <w:tc>
          <w:tcPr>
            <w:tcW w:w="613" w:type="pct"/>
            <w:tcBorders>
              <w:bottom w:val="single" w:sz="4" w:space="0" w:color="auto"/>
            </w:tcBorders>
          </w:tcPr>
          <w:p w14:paraId="1C3B0E87" w14:textId="77777777" w:rsidR="00362F07" w:rsidRPr="00D52485" w:rsidRDefault="00362F07" w:rsidP="00BB5F84">
            <w:pPr>
              <w:rPr>
                <w:rFonts w:ascii="Times New Roman" w:hAnsi="Times New Roman" w:cs="Times New Roman"/>
                <w:b/>
                <w:bCs/>
              </w:rPr>
            </w:pPr>
            <w:r w:rsidRPr="00D52485">
              <w:rPr>
                <w:rFonts w:ascii="Times New Roman" w:hAnsi="Times New Roman" w:cs="Times New Roman"/>
                <w:b/>
                <w:bCs/>
              </w:rPr>
              <w:t>One force of infection</w:t>
            </w:r>
          </w:p>
        </w:tc>
        <w:tc>
          <w:tcPr>
            <w:tcW w:w="1613" w:type="pct"/>
            <w:gridSpan w:val="3"/>
            <w:tcBorders>
              <w:bottom w:val="single" w:sz="4" w:space="0" w:color="auto"/>
            </w:tcBorders>
          </w:tcPr>
          <w:p w14:paraId="20A92171" w14:textId="77777777" w:rsidR="00362F07" w:rsidRPr="00D52485" w:rsidRDefault="00362F07" w:rsidP="00BB5F84">
            <w:pPr>
              <w:rPr>
                <w:rFonts w:ascii="Times New Roman" w:hAnsi="Times New Roman" w:cs="Times New Roman"/>
                <w:b/>
                <w:bCs/>
              </w:rPr>
            </w:pPr>
            <w:r w:rsidRPr="00D52485">
              <w:rPr>
                <w:rFonts w:ascii="Times New Roman" w:hAnsi="Times New Roman" w:cs="Times New Roman"/>
                <w:b/>
                <w:bCs/>
              </w:rPr>
              <w:t>Two forces of infection</w:t>
            </w:r>
          </w:p>
        </w:tc>
        <w:tc>
          <w:tcPr>
            <w:tcW w:w="2356" w:type="pct"/>
            <w:gridSpan w:val="5"/>
            <w:tcBorders>
              <w:bottom w:val="single" w:sz="4" w:space="0" w:color="auto"/>
            </w:tcBorders>
          </w:tcPr>
          <w:p w14:paraId="1374C212" w14:textId="77777777" w:rsidR="00362F07" w:rsidRPr="00D52485" w:rsidRDefault="00362F07" w:rsidP="00BB5F84">
            <w:pPr>
              <w:rPr>
                <w:rFonts w:ascii="Times New Roman" w:hAnsi="Times New Roman" w:cs="Times New Roman"/>
                <w:b/>
                <w:bCs/>
              </w:rPr>
            </w:pPr>
            <w:r w:rsidRPr="00D52485">
              <w:rPr>
                <w:rFonts w:ascii="Times New Roman" w:hAnsi="Times New Roman" w:cs="Times New Roman"/>
                <w:b/>
                <w:bCs/>
              </w:rPr>
              <w:t>Two forces of infection</w:t>
            </w:r>
          </w:p>
        </w:tc>
      </w:tr>
      <w:tr w:rsidR="00362F07" w:rsidRPr="00D52485" w14:paraId="7ED54317" w14:textId="77777777" w:rsidTr="00BB5F84">
        <w:tc>
          <w:tcPr>
            <w:tcW w:w="418" w:type="pct"/>
            <w:vMerge/>
          </w:tcPr>
          <w:p w14:paraId="73B22876" w14:textId="77777777" w:rsidR="00362F07" w:rsidRPr="00D52485" w:rsidRDefault="00362F07" w:rsidP="00BB5F84">
            <w:pPr>
              <w:rPr>
                <w:rFonts w:ascii="Times New Roman" w:hAnsi="Times New Roman" w:cs="Times New Roman"/>
              </w:rPr>
            </w:pPr>
          </w:p>
        </w:tc>
        <w:tc>
          <w:tcPr>
            <w:tcW w:w="613" w:type="pct"/>
            <w:vMerge w:val="restart"/>
          </w:tcPr>
          <w:p w14:paraId="14C73EB7" w14:textId="77777777" w:rsidR="00362F07" w:rsidRPr="00D52485" w:rsidRDefault="00362F07" w:rsidP="00BB5F84">
            <w:pPr>
              <w:rPr>
                <w:rFonts w:ascii="Times New Roman" w:hAnsi="Times New Roman" w:cs="Times New Roman"/>
                <w:b/>
                <w:bCs/>
              </w:rPr>
            </w:pPr>
            <w:r w:rsidRPr="00D52485">
              <w:rPr>
                <w:rFonts w:ascii="Times New Roman" w:hAnsi="Times New Roman" w:cs="Times New Roman"/>
                <w:b/>
                <w:bCs/>
              </w:rPr>
              <w:t>SCR (95% CI)</w:t>
            </w:r>
          </w:p>
        </w:tc>
        <w:tc>
          <w:tcPr>
            <w:tcW w:w="548" w:type="pct"/>
            <w:vMerge w:val="restart"/>
          </w:tcPr>
          <w:p w14:paraId="3ABDBDA2" w14:textId="77777777" w:rsidR="00362F07" w:rsidRPr="00D52485" w:rsidRDefault="00362F07" w:rsidP="00BB5F84">
            <w:pPr>
              <w:rPr>
                <w:rFonts w:ascii="Times New Roman" w:hAnsi="Times New Roman" w:cs="Times New Roman"/>
                <w:b/>
                <w:bCs/>
                <w:lang w:val="fr-FR"/>
              </w:rPr>
            </w:pPr>
            <w:r w:rsidRPr="00D52485">
              <w:rPr>
                <w:rFonts w:ascii="Times New Roman" w:hAnsi="Times New Roman" w:cs="Times New Roman"/>
                <w:b/>
                <w:bCs/>
                <w:lang w:val="fr-FR"/>
              </w:rPr>
              <w:t xml:space="preserve">Change point (95% CI), </w:t>
            </w:r>
          </w:p>
          <w:p w14:paraId="1C20D0D0" w14:textId="77777777" w:rsidR="00362F07" w:rsidRPr="00D52485" w:rsidRDefault="00362F07" w:rsidP="00BB5F84">
            <w:pPr>
              <w:rPr>
                <w:rFonts w:ascii="Times New Roman" w:hAnsi="Times New Roman" w:cs="Times New Roman"/>
                <w:b/>
                <w:bCs/>
                <w:lang w:val="fr-FR"/>
              </w:rPr>
            </w:pPr>
            <w:r w:rsidRPr="00D52485">
              <w:rPr>
                <w:rFonts w:ascii="Times New Roman" w:hAnsi="Times New Roman" w:cs="Times New Roman"/>
                <w:b/>
                <w:bCs/>
                <w:lang w:val="fr-FR"/>
              </w:rPr>
              <w:t>p-value</w:t>
            </w:r>
          </w:p>
        </w:tc>
        <w:tc>
          <w:tcPr>
            <w:tcW w:w="581" w:type="pct"/>
            <w:vMerge w:val="restart"/>
          </w:tcPr>
          <w:p w14:paraId="31F770B0" w14:textId="77777777" w:rsidR="00362F07" w:rsidRPr="00D52485" w:rsidRDefault="00362F07" w:rsidP="00BB5F84">
            <w:pPr>
              <w:rPr>
                <w:rFonts w:ascii="Times New Roman" w:hAnsi="Times New Roman" w:cs="Times New Roman"/>
                <w:b/>
                <w:bCs/>
              </w:rPr>
            </w:pPr>
            <w:r w:rsidRPr="00D52485">
              <w:rPr>
                <w:rFonts w:ascii="Times New Roman" w:hAnsi="Times New Roman" w:cs="Times New Roman"/>
                <w:b/>
                <w:bCs/>
              </w:rPr>
              <w:t>SCR before/after change point</w:t>
            </w:r>
          </w:p>
        </w:tc>
        <w:tc>
          <w:tcPr>
            <w:tcW w:w="484" w:type="pct"/>
            <w:vMerge w:val="restart"/>
          </w:tcPr>
          <w:p w14:paraId="7CAAE175" w14:textId="77777777" w:rsidR="00362F07" w:rsidRPr="00D52485" w:rsidRDefault="00362F07" w:rsidP="00BB5F84">
            <w:pPr>
              <w:rPr>
                <w:rFonts w:ascii="Times New Roman" w:hAnsi="Times New Roman" w:cs="Times New Roman"/>
                <w:b/>
                <w:bCs/>
              </w:rPr>
            </w:pPr>
            <w:proofErr w:type="spellStart"/>
            <w:r w:rsidRPr="00D52485">
              <w:rPr>
                <w:rFonts w:ascii="Times New Roman" w:hAnsi="Times New Roman" w:cs="Times New Roman"/>
                <w:b/>
                <w:bCs/>
              </w:rPr>
              <w:t>Sero</w:t>
            </w:r>
            <w:proofErr w:type="spellEnd"/>
            <w:r w:rsidRPr="00D52485">
              <w:rPr>
                <w:rFonts w:ascii="Times New Roman" w:hAnsi="Times New Roman" w:cs="Times New Roman"/>
                <w:b/>
                <w:bCs/>
              </w:rPr>
              <w:t>-prevalence before change, n/N (%)</w:t>
            </w:r>
          </w:p>
        </w:tc>
        <w:tc>
          <w:tcPr>
            <w:tcW w:w="806" w:type="pct"/>
            <w:gridSpan w:val="2"/>
          </w:tcPr>
          <w:p w14:paraId="42983752" w14:textId="77777777" w:rsidR="00362F07" w:rsidRPr="00D52485" w:rsidRDefault="00362F07" w:rsidP="00BB5F84">
            <w:pPr>
              <w:rPr>
                <w:rFonts w:ascii="Times New Roman" w:hAnsi="Times New Roman" w:cs="Times New Roman"/>
                <w:b/>
                <w:bCs/>
              </w:rPr>
            </w:pPr>
            <w:r w:rsidRPr="00D52485">
              <w:rPr>
                <w:rFonts w:ascii="Times New Roman" w:hAnsi="Times New Roman" w:cs="Times New Roman"/>
                <w:b/>
                <w:bCs/>
              </w:rPr>
              <w:t>Change point, p-value</w:t>
            </w:r>
          </w:p>
        </w:tc>
        <w:tc>
          <w:tcPr>
            <w:tcW w:w="968" w:type="pct"/>
            <w:gridSpan w:val="2"/>
          </w:tcPr>
          <w:p w14:paraId="648F1B54" w14:textId="77777777" w:rsidR="00362F07" w:rsidRPr="00D52485" w:rsidRDefault="00362F07" w:rsidP="00BB5F84">
            <w:pPr>
              <w:rPr>
                <w:rFonts w:ascii="Times New Roman" w:hAnsi="Times New Roman" w:cs="Times New Roman"/>
                <w:b/>
                <w:bCs/>
              </w:rPr>
            </w:pPr>
            <w:r w:rsidRPr="00D52485">
              <w:rPr>
                <w:rFonts w:ascii="Times New Roman" w:hAnsi="Times New Roman" w:cs="Times New Roman"/>
                <w:b/>
                <w:bCs/>
              </w:rPr>
              <w:t xml:space="preserve">Fold difference </w:t>
            </w:r>
            <w:proofErr w:type="spellStart"/>
            <w:r w:rsidRPr="00D52485">
              <w:rPr>
                <w:rFonts w:ascii="Times New Roman" w:hAnsi="Times New Roman" w:cs="Times New Roman"/>
                <w:b/>
                <w:bCs/>
              </w:rPr>
              <w:t>sero</w:t>
            </w:r>
            <w:proofErr w:type="spellEnd"/>
            <w:r w:rsidRPr="00D52485">
              <w:rPr>
                <w:rFonts w:ascii="Times New Roman" w:hAnsi="Times New Roman" w:cs="Times New Roman"/>
                <w:b/>
                <w:bCs/>
              </w:rPr>
              <w:t>-prevalence after/before change</w:t>
            </w:r>
          </w:p>
        </w:tc>
        <w:tc>
          <w:tcPr>
            <w:tcW w:w="582" w:type="pct"/>
          </w:tcPr>
          <w:p w14:paraId="61185DD9" w14:textId="77777777" w:rsidR="00362F07" w:rsidRPr="00D52485" w:rsidRDefault="00362F07" w:rsidP="00BB5F84">
            <w:pPr>
              <w:rPr>
                <w:rFonts w:ascii="Times New Roman" w:hAnsi="Times New Roman" w:cs="Times New Roman"/>
                <w:b/>
                <w:bCs/>
              </w:rPr>
            </w:pPr>
            <w:r w:rsidRPr="00D52485">
              <w:rPr>
                <w:rFonts w:ascii="Times New Roman" w:hAnsi="Times New Roman" w:cs="Times New Roman"/>
                <w:b/>
                <w:bCs/>
              </w:rPr>
              <w:t>SCR before/after change point</w:t>
            </w:r>
          </w:p>
        </w:tc>
      </w:tr>
      <w:tr w:rsidR="00362F07" w:rsidRPr="00D52485" w14:paraId="3CC20C92" w14:textId="77777777" w:rsidTr="00BB5F84">
        <w:tc>
          <w:tcPr>
            <w:tcW w:w="418" w:type="pct"/>
            <w:vMerge/>
          </w:tcPr>
          <w:p w14:paraId="567BD3D2" w14:textId="77777777" w:rsidR="00362F07" w:rsidRPr="00D52485" w:rsidRDefault="00362F07" w:rsidP="00BB5F84">
            <w:pPr>
              <w:rPr>
                <w:rFonts w:ascii="Times New Roman" w:hAnsi="Times New Roman" w:cs="Times New Roman"/>
              </w:rPr>
            </w:pPr>
          </w:p>
        </w:tc>
        <w:tc>
          <w:tcPr>
            <w:tcW w:w="613" w:type="pct"/>
            <w:vMerge/>
          </w:tcPr>
          <w:p w14:paraId="677A12E7" w14:textId="77777777" w:rsidR="00362F07" w:rsidRPr="00D52485" w:rsidRDefault="00362F07" w:rsidP="00BB5F84">
            <w:pPr>
              <w:rPr>
                <w:rFonts w:ascii="Times New Roman" w:hAnsi="Times New Roman" w:cs="Times New Roman"/>
              </w:rPr>
            </w:pPr>
          </w:p>
        </w:tc>
        <w:tc>
          <w:tcPr>
            <w:tcW w:w="548" w:type="pct"/>
            <w:vMerge/>
          </w:tcPr>
          <w:p w14:paraId="51340C2C" w14:textId="77777777" w:rsidR="00362F07" w:rsidRPr="00D52485" w:rsidRDefault="00362F07" w:rsidP="00BB5F84">
            <w:pPr>
              <w:rPr>
                <w:rFonts w:ascii="Times New Roman" w:hAnsi="Times New Roman" w:cs="Times New Roman"/>
              </w:rPr>
            </w:pPr>
          </w:p>
        </w:tc>
        <w:tc>
          <w:tcPr>
            <w:tcW w:w="581" w:type="pct"/>
            <w:vMerge/>
          </w:tcPr>
          <w:p w14:paraId="54C3CF2C" w14:textId="77777777" w:rsidR="00362F07" w:rsidRPr="00D52485" w:rsidRDefault="00362F07" w:rsidP="00BB5F84">
            <w:pPr>
              <w:rPr>
                <w:rFonts w:ascii="Times New Roman" w:hAnsi="Times New Roman" w:cs="Times New Roman"/>
              </w:rPr>
            </w:pPr>
          </w:p>
        </w:tc>
        <w:tc>
          <w:tcPr>
            <w:tcW w:w="484" w:type="pct"/>
            <w:vMerge/>
          </w:tcPr>
          <w:p w14:paraId="76EFA6FE" w14:textId="77777777" w:rsidR="00362F07" w:rsidRPr="00D52485" w:rsidRDefault="00362F07" w:rsidP="00BB5F84">
            <w:pPr>
              <w:rPr>
                <w:rFonts w:ascii="Times New Roman" w:hAnsi="Times New Roman" w:cs="Times New Roman"/>
              </w:rPr>
            </w:pPr>
          </w:p>
        </w:tc>
        <w:tc>
          <w:tcPr>
            <w:tcW w:w="419" w:type="pct"/>
          </w:tcPr>
          <w:p w14:paraId="62E66092" w14:textId="77777777" w:rsidR="00362F07" w:rsidRPr="00D52485" w:rsidRDefault="00362F07" w:rsidP="00BB5F84">
            <w:pPr>
              <w:rPr>
                <w:rFonts w:ascii="Times New Roman" w:hAnsi="Times New Roman" w:cs="Times New Roman"/>
              </w:rPr>
            </w:pPr>
            <w:r w:rsidRPr="00D52485">
              <w:rPr>
                <w:rFonts w:ascii="Times New Roman" w:hAnsi="Times New Roman" w:cs="Times New Roman"/>
                <w:b/>
                <w:bCs/>
              </w:rPr>
              <w:t>Men</w:t>
            </w:r>
          </w:p>
        </w:tc>
        <w:tc>
          <w:tcPr>
            <w:tcW w:w="387" w:type="pct"/>
          </w:tcPr>
          <w:p w14:paraId="3B13BC72" w14:textId="77777777" w:rsidR="00362F07" w:rsidRPr="00D52485" w:rsidRDefault="00362F07" w:rsidP="00BB5F84">
            <w:pPr>
              <w:rPr>
                <w:rFonts w:ascii="Times New Roman" w:hAnsi="Times New Roman" w:cs="Times New Roman"/>
              </w:rPr>
            </w:pPr>
            <w:r w:rsidRPr="00D52485">
              <w:rPr>
                <w:rFonts w:ascii="Times New Roman" w:hAnsi="Times New Roman" w:cs="Times New Roman"/>
                <w:b/>
                <w:bCs/>
              </w:rPr>
              <w:t>Women</w:t>
            </w:r>
          </w:p>
        </w:tc>
        <w:tc>
          <w:tcPr>
            <w:tcW w:w="484" w:type="pct"/>
          </w:tcPr>
          <w:p w14:paraId="7F314178" w14:textId="77777777" w:rsidR="00362F07" w:rsidRPr="00D52485" w:rsidRDefault="00362F07" w:rsidP="00BB5F84">
            <w:pPr>
              <w:rPr>
                <w:rFonts w:ascii="Times New Roman" w:hAnsi="Times New Roman" w:cs="Times New Roman"/>
              </w:rPr>
            </w:pPr>
            <w:r w:rsidRPr="00D52485">
              <w:rPr>
                <w:rFonts w:ascii="Times New Roman" w:hAnsi="Times New Roman" w:cs="Times New Roman"/>
                <w:b/>
                <w:bCs/>
              </w:rPr>
              <w:t>Men</w:t>
            </w:r>
          </w:p>
        </w:tc>
        <w:tc>
          <w:tcPr>
            <w:tcW w:w="484" w:type="pct"/>
          </w:tcPr>
          <w:p w14:paraId="1FA9938E" w14:textId="77777777" w:rsidR="00362F07" w:rsidRPr="00D52485" w:rsidRDefault="00362F07" w:rsidP="00BB5F84">
            <w:pPr>
              <w:rPr>
                <w:rFonts w:ascii="Times New Roman" w:hAnsi="Times New Roman" w:cs="Times New Roman"/>
              </w:rPr>
            </w:pPr>
            <w:r w:rsidRPr="00D52485">
              <w:rPr>
                <w:rFonts w:ascii="Times New Roman" w:hAnsi="Times New Roman" w:cs="Times New Roman"/>
                <w:b/>
                <w:bCs/>
              </w:rPr>
              <w:t>Women</w:t>
            </w:r>
          </w:p>
        </w:tc>
        <w:tc>
          <w:tcPr>
            <w:tcW w:w="582" w:type="pct"/>
          </w:tcPr>
          <w:p w14:paraId="478E64E9" w14:textId="77777777" w:rsidR="00362F07" w:rsidRPr="00D52485" w:rsidRDefault="00362F07" w:rsidP="00BB5F84">
            <w:pPr>
              <w:rPr>
                <w:rFonts w:ascii="Times New Roman" w:hAnsi="Times New Roman" w:cs="Times New Roman"/>
              </w:rPr>
            </w:pPr>
            <w:r w:rsidRPr="00D52485">
              <w:rPr>
                <w:rFonts w:ascii="Times New Roman" w:hAnsi="Times New Roman" w:cs="Times New Roman"/>
                <w:b/>
                <w:bCs/>
              </w:rPr>
              <w:t>Men</w:t>
            </w:r>
          </w:p>
        </w:tc>
      </w:tr>
      <w:tr w:rsidR="00362F07" w:rsidRPr="00D52485" w14:paraId="09158D9F" w14:textId="77777777" w:rsidTr="00BB5F84">
        <w:tc>
          <w:tcPr>
            <w:tcW w:w="5000" w:type="pct"/>
            <w:gridSpan w:val="10"/>
            <w:shd w:val="clear" w:color="auto" w:fill="BFBFBF" w:themeFill="background1" w:themeFillShade="BF"/>
          </w:tcPr>
          <w:p w14:paraId="7B691347" w14:textId="77777777" w:rsidR="00362F07" w:rsidRPr="00D52485" w:rsidRDefault="00362F07" w:rsidP="00BB5F84">
            <w:pPr>
              <w:rPr>
                <w:rFonts w:ascii="Times New Roman" w:hAnsi="Times New Roman" w:cs="Times New Roman"/>
                <w:b/>
                <w:bCs/>
              </w:rPr>
            </w:pPr>
            <w:r>
              <w:rPr>
                <w:rFonts w:ascii="Times New Roman" w:hAnsi="Times New Roman" w:cs="Times New Roman"/>
                <w:b/>
                <w:bCs/>
              </w:rPr>
              <w:t>Trinity Biotech</w:t>
            </w:r>
          </w:p>
        </w:tc>
      </w:tr>
      <w:tr w:rsidR="00362F07" w:rsidRPr="00D52485" w14:paraId="2A943D4B" w14:textId="77777777" w:rsidTr="00BB5F84">
        <w:tc>
          <w:tcPr>
            <w:tcW w:w="418" w:type="pct"/>
          </w:tcPr>
          <w:p w14:paraId="1AE6C5EF" w14:textId="77777777" w:rsidR="00362F07" w:rsidRPr="00D52485" w:rsidRDefault="00362F07" w:rsidP="00362F07">
            <w:pPr>
              <w:pStyle w:val="ListParagraph"/>
              <w:numPr>
                <w:ilvl w:val="0"/>
                <w:numId w:val="3"/>
              </w:numPr>
              <w:rPr>
                <w:rFonts w:ascii="Times New Roman" w:hAnsi="Times New Roman" w:cs="Times New Roman"/>
              </w:rPr>
            </w:pPr>
            <w:r w:rsidRPr="00D52485">
              <w:rPr>
                <w:rFonts w:ascii="Times New Roman" w:hAnsi="Times New Roman" w:cs="Times New Roman"/>
              </w:rPr>
              <w:t>FMM</w:t>
            </w:r>
          </w:p>
        </w:tc>
        <w:tc>
          <w:tcPr>
            <w:tcW w:w="613" w:type="pct"/>
          </w:tcPr>
          <w:p w14:paraId="22442C01"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 xml:space="preserve">0.0059 </w:t>
            </w:r>
          </w:p>
          <w:p w14:paraId="2C58F576"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(0.0039-0.0089)</w:t>
            </w:r>
          </w:p>
        </w:tc>
        <w:tc>
          <w:tcPr>
            <w:tcW w:w="548" w:type="pct"/>
          </w:tcPr>
          <w:p w14:paraId="6BCD7433"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2 (2-12) p=0.009</w:t>
            </w:r>
          </w:p>
        </w:tc>
        <w:tc>
          <w:tcPr>
            <w:tcW w:w="581" w:type="pct"/>
          </w:tcPr>
          <w:p w14:paraId="43EFBB8B"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0.0196/0.0030</w:t>
            </w:r>
          </w:p>
        </w:tc>
        <w:tc>
          <w:tcPr>
            <w:tcW w:w="484" w:type="pct"/>
          </w:tcPr>
          <w:p w14:paraId="5EFA9671"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 xml:space="preserve">1/26 </w:t>
            </w:r>
          </w:p>
          <w:p w14:paraId="4E6A49D0"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(3.7%)</w:t>
            </w:r>
          </w:p>
        </w:tc>
        <w:tc>
          <w:tcPr>
            <w:tcW w:w="419" w:type="pct"/>
          </w:tcPr>
          <w:p w14:paraId="5E9E8574"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20 p=0.337</w:t>
            </w:r>
          </w:p>
        </w:tc>
        <w:tc>
          <w:tcPr>
            <w:tcW w:w="387" w:type="pct"/>
          </w:tcPr>
          <w:p w14:paraId="0272ABA1"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20</w:t>
            </w:r>
          </w:p>
          <w:p w14:paraId="042EF5F7"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p=0.208</w:t>
            </w:r>
          </w:p>
        </w:tc>
        <w:tc>
          <w:tcPr>
            <w:tcW w:w="484" w:type="pct"/>
          </w:tcPr>
          <w:p w14:paraId="189EBA3C"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N/A</w:t>
            </w:r>
          </w:p>
        </w:tc>
        <w:tc>
          <w:tcPr>
            <w:tcW w:w="484" w:type="pct"/>
          </w:tcPr>
          <w:p w14:paraId="1C5B4E6E"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N/A</w:t>
            </w:r>
          </w:p>
        </w:tc>
        <w:tc>
          <w:tcPr>
            <w:tcW w:w="582" w:type="pct"/>
          </w:tcPr>
          <w:p w14:paraId="75DC96DB"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N/A</w:t>
            </w:r>
          </w:p>
        </w:tc>
      </w:tr>
      <w:tr w:rsidR="00362F07" w:rsidRPr="00D52485" w14:paraId="4F71EBF0" w14:textId="77777777" w:rsidTr="00BB5F84">
        <w:tc>
          <w:tcPr>
            <w:tcW w:w="418" w:type="pct"/>
          </w:tcPr>
          <w:p w14:paraId="14002D82" w14:textId="77777777" w:rsidR="00362F07" w:rsidRPr="00D52485" w:rsidRDefault="00362F07" w:rsidP="00362F07">
            <w:pPr>
              <w:pStyle w:val="ListParagraph"/>
              <w:numPr>
                <w:ilvl w:val="0"/>
                <w:numId w:val="3"/>
              </w:numPr>
              <w:rPr>
                <w:rFonts w:ascii="Times New Roman" w:hAnsi="Times New Roman" w:cs="Times New Roman"/>
              </w:rPr>
            </w:pPr>
            <w:r w:rsidRPr="00D52485">
              <w:rPr>
                <w:rFonts w:ascii="Times New Roman" w:hAnsi="Times New Roman" w:cs="Times New Roman"/>
              </w:rPr>
              <w:t>Kit</w:t>
            </w:r>
          </w:p>
        </w:tc>
        <w:tc>
          <w:tcPr>
            <w:tcW w:w="613" w:type="pct"/>
          </w:tcPr>
          <w:p w14:paraId="65DE7DBC"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 xml:space="preserve">0.0025 </w:t>
            </w:r>
          </w:p>
          <w:p w14:paraId="238A8744"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(0.0020-0.0030)</w:t>
            </w:r>
          </w:p>
        </w:tc>
        <w:tc>
          <w:tcPr>
            <w:tcW w:w="548" w:type="pct"/>
          </w:tcPr>
          <w:p w14:paraId="1473F9BF"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63 (55.5-74.5) p&lt;0.001</w:t>
            </w:r>
          </w:p>
        </w:tc>
        <w:tc>
          <w:tcPr>
            <w:tcW w:w="581" w:type="pct"/>
          </w:tcPr>
          <w:p w14:paraId="4040D726"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0.0027/0.0965</w:t>
            </w:r>
          </w:p>
        </w:tc>
        <w:tc>
          <w:tcPr>
            <w:tcW w:w="484" w:type="pct"/>
          </w:tcPr>
          <w:p w14:paraId="128AA094"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68/1309 (5.2%)</w:t>
            </w:r>
          </w:p>
        </w:tc>
        <w:tc>
          <w:tcPr>
            <w:tcW w:w="419" w:type="pct"/>
          </w:tcPr>
          <w:p w14:paraId="6B3F0416"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20</w:t>
            </w:r>
          </w:p>
          <w:p w14:paraId="6B8CB447"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p=0.026</w:t>
            </w:r>
          </w:p>
        </w:tc>
        <w:tc>
          <w:tcPr>
            <w:tcW w:w="387" w:type="pct"/>
          </w:tcPr>
          <w:p w14:paraId="0FED0467"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20</w:t>
            </w:r>
          </w:p>
          <w:p w14:paraId="12CE9998"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p=0.680</w:t>
            </w:r>
          </w:p>
        </w:tc>
        <w:tc>
          <w:tcPr>
            <w:tcW w:w="484" w:type="pct"/>
          </w:tcPr>
          <w:p w14:paraId="1AE71C36"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6.78</w:t>
            </w:r>
          </w:p>
        </w:tc>
        <w:tc>
          <w:tcPr>
            <w:tcW w:w="484" w:type="pct"/>
          </w:tcPr>
          <w:p w14:paraId="2F31FBBD"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2.16</w:t>
            </w:r>
          </w:p>
        </w:tc>
        <w:tc>
          <w:tcPr>
            <w:tcW w:w="582" w:type="pct"/>
          </w:tcPr>
          <w:p w14:paraId="2B935D60"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0.0025/0.1214</w:t>
            </w:r>
          </w:p>
        </w:tc>
      </w:tr>
      <w:tr w:rsidR="00362F07" w:rsidRPr="00D52485" w14:paraId="0C7DDA2C" w14:textId="77777777" w:rsidTr="00BB5F84">
        <w:tc>
          <w:tcPr>
            <w:tcW w:w="5000" w:type="pct"/>
            <w:gridSpan w:val="10"/>
            <w:shd w:val="clear" w:color="auto" w:fill="BFBFBF" w:themeFill="background1" w:themeFillShade="BF"/>
          </w:tcPr>
          <w:p w14:paraId="60753BA4" w14:textId="77777777" w:rsidR="00362F07" w:rsidRPr="00D52485" w:rsidRDefault="00362F07" w:rsidP="00BB5F84">
            <w:pPr>
              <w:rPr>
                <w:rFonts w:ascii="Times New Roman" w:hAnsi="Times New Roman" w:cs="Times New Roman"/>
                <w:b/>
                <w:bCs/>
              </w:rPr>
            </w:pPr>
            <w:proofErr w:type="spellStart"/>
            <w:r>
              <w:rPr>
                <w:rFonts w:ascii="Times New Roman" w:hAnsi="Times New Roman" w:cs="Times New Roman"/>
                <w:b/>
                <w:bCs/>
              </w:rPr>
              <w:t>NovaTec</w:t>
            </w:r>
            <w:proofErr w:type="spellEnd"/>
          </w:p>
        </w:tc>
      </w:tr>
      <w:tr w:rsidR="00362F07" w:rsidRPr="00D52485" w14:paraId="1ACDBAFE" w14:textId="77777777" w:rsidTr="00BB5F84">
        <w:tc>
          <w:tcPr>
            <w:tcW w:w="418" w:type="pct"/>
          </w:tcPr>
          <w:p w14:paraId="53278A6C" w14:textId="77777777" w:rsidR="00362F07" w:rsidRPr="00D52485" w:rsidRDefault="00362F07" w:rsidP="00362F07">
            <w:pPr>
              <w:pStyle w:val="ListParagraph"/>
              <w:numPr>
                <w:ilvl w:val="0"/>
                <w:numId w:val="2"/>
              </w:numPr>
              <w:rPr>
                <w:rFonts w:ascii="Times New Roman" w:hAnsi="Times New Roman" w:cs="Times New Roman"/>
              </w:rPr>
            </w:pPr>
            <w:r w:rsidRPr="00D52485">
              <w:rPr>
                <w:rFonts w:ascii="Times New Roman" w:hAnsi="Times New Roman" w:cs="Times New Roman"/>
              </w:rPr>
              <w:t>FMM</w:t>
            </w:r>
          </w:p>
        </w:tc>
        <w:tc>
          <w:tcPr>
            <w:tcW w:w="613" w:type="pct"/>
          </w:tcPr>
          <w:p w14:paraId="2EF6332B"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 xml:space="preserve">0.0323 </w:t>
            </w:r>
          </w:p>
          <w:p w14:paraId="3615BB9C"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(0.0218-0.0478)</w:t>
            </w:r>
          </w:p>
        </w:tc>
        <w:tc>
          <w:tcPr>
            <w:tcW w:w="548" w:type="pct"/>
          </w:tcPr>
          <w:p w14:paraId="7ACB11FB"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3 (2-15) p=0.025</w:t>
            </w:r>
          </w:p>
        </w:tc>
        <w:tc>
          <w:tcPr>
            <w:tcW w:w="581" w:type="pct"/>
          </w:tcPr>
          <w:p w14:paraId="5B7DC0DE"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0.0000/0.1211</w:t>
            </w:r>
          </w:p>
        </w:tc>
        <w:tc>
          <w:tcPr>
            <w:tcW w:w="484" w:type="pct"/>
          </w:tcPr>
          <w:p w14:paraId="025CFA11"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 xml:space="preserve">0/54 </w:t>
            </w:r>
          </w:p>
          <w:p w14:paraId="43F2037D"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(0.0%)</w:t>
            </w:r>
          </w:p>
        </w:tc>
        <w:tc>
          <w:tcPr>
            <w:tcW w:w="419" w:type="pct"/>
          </w:tcPr>
          <w:p w14:paraId="367CBDC9"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20 p=0.118</w:t>
            </w:r>
          </w:p>
        </w:tc>
        <w:tc>
          <w:tcPr>
            <w:tcW w:w="387" w:type="pct"/>
          </w:tcPr>
          <w:p w14:paraId="6A899DA9"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20</w:t>
            </w:r>
          </w:p>
          <w:p w14:paraId="3C724DD6"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p=0.438</w:t>
            </w:r>
          </w:p>
        </w:tc>
        <w:tc>
          <w:tcPr>
            <w:tcW w:w="484" w:type="pct"/>
          </w:tcPr>
          <w:p w14:paraId="0820E4BC"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N/A</w:t>
            </w:r>
          </w:p>
        </w:tc>
        <w:tc>
          <w:tcPr>
            <w:tcW w:w="484" w:type="pct"/>
          </w:tcPr>
          <w:p w14:paraId="70F3B98A"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N/A</w:t>
            </w:r>
          </w:p>
        </w:tc>
        <w:tc>
          <w:tcPr>
            <w:tcW w:w="582" w:type="pct"/>
          </w:tcPr>
          <w:p w14:paraId="5121DAA5"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N/A</w:t>
            </w:r>
          </w:p>
        </w:tc>
      </w:tr>
      <w:tr w:rsidR="00362F07" w:rsidRPr="00D52485" w14:paraId="12C09792" w14:textId="77777777" w:rsidTr="00BB5F84">
        <w:tc>
          <w:tcPr>
            <w:tcW w:w="418" w:type="pct"/>
          </w:tcPr>
          <w:p w14:paraId="618B6DF3" w14:textId="77777777" w:rsidR="00362F07" w:rsidRPr="00D52485" w:rsidRDefault="00362F07" w:rsidP="00362F07">
            <w:pPr>
              <w:pStyle w:val="ListParagraph"/>
              <w:numPr>
                <w:ilvl w:val="0"/>
                <w:numId w:val="2"/>
              </w:numPr>
              <w:rPr>
                <w:rFonts w:ascii="Times New Roman" w:hAnsi="Times New Roman" w:cs="Times New Roman"/>
              </w:rPr>
            </w:pPr>
            <w:r w:rsidRPr="00D52485">
              <w:rPr>
                <w:rFonts w:ascii="Times New Roman" w:hAnsi="Times New Roman" w:cs="Times New Roman"/>
              </w:rPr>
              <w:t>Kit</w:t>
            </w:r>
          </w:p>
        </w:tc>
        <w:tc>
          <w:tcPr>
            <w:tcW w:w="613" w:type="pct"/>
          </w:tcPr>
          <w:p w14:paraId="3D05EEA6"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 xml:space="preserve">0.1283 </w:t>
            </w:r>
          </w:p>
          <w:p w14:paraId="27A13B4F"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(0.0959-0.1716)</w:t>
            </w:r>
          </w:p>
        </w:tc>
        <w:tc>
          <w:tcPr>
            <w:tcW w:w="548" w:type="pct"/>
          </w:tcPr>
          <w:p w14:paraId="6F6D19D7"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 xml:space="preserve">14.5 </w:t>
            </w:r>
          </w:p>
          <w:p w14:paraId="47854CA2"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p=0.205</w:t>
            </w:r>
          </w:p>
        </w:tc>
        <w:tc>
          <w:tcPr>
            <w:tcW w:w="581" w:type="pct"/>
          </w:tcPr>
          <w:p w14:paraId="5FD9C2AF"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N/A</w:t>
            </w:r>
          </w:p>
        </w:tc>
        <w:tc>
          <w:tcPr>
            <w:tcW w:w="484" w:type="pct"/>
          </w:tcPr>
          <w:p w14:paraId="400E99A0"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N/A</w:t>
            </w:r>
          </w:p>
        </w:tc>
        <w:tc>
          <w:tcPr>
            <w:tcW w:w="419" w:type="pct"/>
          </w:tcPr>
          <w:p w14:paraId="0B28781A"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20 p=0.409</w:t>
            </w:r>
          </w:p>
        </w:tc>
        <w:tc>
          <w:tcPr>
            <w:tcW w:w="387" w:type="pct"/>
          </w:tcPr>
          <w:p w14:paraId="2A944348"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20</w:t>
            </w:r>
          </w:p>
          <w:p w14:paraId="14E5DFB9"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p=0.655</w:t>
            </w:r>
          </w:p>
        </w:tc>
        <w:tc>
          <w:tcPr>
            <w:tcW w:w="484" w:type="pct"/>
          </w:tcPr>
          <w:p w14:paraId="51C48962"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N/A</w:t>
            </w:r>
          </w:p>
        </w:tc>
        <w:tc>
          <w:tcPr>
            <w:tcW w:w="484" w:type="pct"/>
          </w:tcPr>
          <w:p w14:paraId="7BD751E2"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N/A</w:t>
            </w:r>
          </w:p>
        </w:tc>
        <w:tc>
          <w:tcPr>
            <w:tcW w:w="582" w:type="pct"/>
          </w:tcPr>
          <w:p w14:paraId="0E6D50C7"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N/A</w:t>
            </w:r>
          </w:p>
        </w:tc>
      </w:tr>
      <w:tr w:rsidR="00362F07" w:rsidRPr="00D52485" w14:paraId="2B3182ED" w14:textId="77777777" w:rsidTr="00BB5F84">
        <w:tc>
          <w:tcPr>
            <w:tcW w:w="5000" w:type="pct"/>
            <w:gridSpan w:val="10"/>
            <w:shd w:val="clear" w:color="auto" w:fill="BFBFBF" w:themeFill="background1" w:themeFillShade="BF"/>
          </w:tcPr>
          <w:p w14:paraId="01837523" w14:textId="77777777" w:rsidR="00362F07" w:rsidRPr="00D52485" w:rsidRDefault="00362F07" w:rsidP="00BB5F84">
            <w:pPr>
              <w:rPr>
                <w:rFonts w:ascii="Times New Roman" w:hAnsi="Times New Roman" w:cs="Times New Roman"/>
                <w:b/>
                <w:bCs/>
              </w:rPr>
            </w:pPr>
            <w:r w:rsidRPr="00D52485">
              <w:rPr>
                <w:rFonts w:ascii="Times New Roman" w:hAnsi="Times New Roman" w:cs="Times New Roman"/>
                <w:b/>
                <w:bCs/>
              </w:rPr>
              <w:t>RB-ELISA</w:t>
            </w:r>
          </w:p>
        </w:tc>
      </w:tr>
      <w:tr w:rsidR="00362F07" w:rsidRPr="00D52485" w14:paraId="5BA8EC23" w14:textId="77777777" w:rsidTr="00BB5F84">
        <w:tc>
          <w:tcPr>
            <w:tcW w:w="418" w:type="pct"/>
          </w:tcPr>
          <w:p w14:paraId="25789551" w14:textId="77777777" w:rsidR="00362F07" w:rsidRPr="00D52485" w:rsidRDefault="00362F07" w:rsidP="00362F07">
            <w:pPr>
              <w:pStyle w:val="ListParagraph"/>
              <w:numPr>
                <w:ilvl w:val="0"/>
                <w:numId w:val="2"/>
              </w:numPr>
              <w:rPr>
                <w:rFonts w:ascii="Times New Roman" w:hAnsi="Times New Roman" w:cs="Times New Roman"/>
              </w:rPr>
            </w:pPr>
            <w:r w:rsidRPr="00D52485">
              <w:rPr>
                <w:rFonts w:ascii="Times New Roman" w:hAnsi="Times New Roman" w:cs="Times New Roman"/>
              </w:rPr>
              <w:t>FMM</w:t>
            </w:r>
          </w:p>
        </w:tc>
        <w:tc>
          <w:tcPr>
            <w:tcW w:w="613" w:type="pct"/>
          </w:tcPr>
          <w:p w14:paraId="1E0513E4"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 xml:space="preserve">0.0030 </w:t>
            </w:r>
          </w:p>
          <w:p w14:paraId="43D8CA49"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(0.0014-0.0067)</w:t>
            </w:r>
          </w:p>
        </w:tc>
        <w:tc>
          <w:tcPr>
            <w:tcW w:w="548" w:type="pct"/>
          </w:tcPr>
          <w:p w14:paraId="6ED53A68"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3 (2-22) p=0.090</w:t>
            </w:r>
          </w:p>
        </w:tc>
        <w:tc>
          <w:tcPr>
            <w:tcW w:w="581" w:type="pct"/>
          </w:tcPr>
          <w:p w14:paraId="052E8EE3"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0.0068/0.0009</w:t>
            </w:r>
          </w:p>
          <w:p w14:paraId="662C4B8A" w14:textId="77777777" w:rsidR="00362F07" w:rsidRPr="00D52485" w:rsidRDefault="00362F07" w:rsidP="00BB5F84">
            <w:pPr>
              <w:rPr>
                <w:rFonts w:ascii="Times New Roman" w:hAnsi="Times New Roman" w:cs="Times New Roman"/>
              </w:rPr>
            </w:pPr>
          </w:p>
        </w:tc>
        <w:tc>
          <w:tcPr>
            <w:tcW w:w="484" w:type="pct"/>
          </w:tcPr>
          <w:p w14:paraId="4C5AEC5C"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 xml:space="preserve">1/54 </w:t>
            </w:r>
          </w:p>
          <w:p w14:paraId="572A6F98"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(1.9%)</w:t>
            </w:r>
          </w:p>
        </w:tc>
        <w:tc>
          <w:tcPr>
            <w:tcW w:w="419" w:type="pct"/>
          </w:tcPr>
          <w:p w14:paraId="120802D2"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20 p=0.060</w:t>
            </w:r>
          </w:p>
        </w:tc>
        <w:tc>
          <w:tcPr>
            <w:tcW w:w="387" w:type="pct"/>
          </w:tcPr>
          <w:p w14:paraId="5860FBA5"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20</w:t>
            </w:r>
          </w:p>
          <w:p w14:paraId="1BA2BC1D"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p=0.564</w:t>
            </w:r>
          </w:p>
        </w:tc>
        <w:tc>
          <w:tcPr>
            <w:tcW w:w="484" w:type="pct"/>
          </w:tcPr>
          <w:p w14:paraId="4D176FD6"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3.76</w:t>
            </w:r>
          </w:p>
        </w:tc>
        <w:tc>
          <w:tcPr>
            <w:tcW w:w="484" w:type="pct"/>
          </w:tcPr>
          <w:p w14:paraId="172A53A4"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1.63</w:t>
            </w:r>
          </w:p>
        </w:tc>
        <w:tc>
          <w:tcPr>
            <w:tcW w:w="582" w:type="pct"/>
          </w:tcPr>
          <w:p w14:paraId="4DD76776" w14:textId="77777777" w:rsidR="00362F07" w:rsidRPr="00D52485" w:rsidRDefault="00362F07" w:rsidP="00BB5F84">
            <w:pPr>
              <w:rPr>
                <w:rFonts w:ascii="Times New Roman" w:hAnsi="Times New Roman" w:cs="Times New Roman"/>
              </w:rPr>
            </w:pPr>
            <w:r w:rsidRPr="00D52485">
              <w:rPr>
                <w:rFonts w:ascii="Times New Roman" w:hAnsi="Times New Roman" w:cs="Times New Roman"/>
              </w:rPr>
              <w:t>0.0045/0.2180</w:t>
            </w:r>
          </w:p>
        </w:tc>
      </w:tr>
    </w:tbl>
    <w:p w14:paraId="655E2D1D" w14:textId="77777777" w:rsidR="00362F07" w:rsidRPr="0073355D" w:rsidRDefault="00362F07" w:rsidP="0073355D">
      <w:pPr>
        <w:spacing w:line="360" w:lineRule="auto"/>
        <w:rPr>
          <w:rFonts w:ascii="Times New Roman" w:hAnsi="Times New Roman" w:cs="Times New Roman"/>
          <w:iCs/>
          <w:color w:val="FF0000"/>
        </w:rPr>
      </w:pPr>
      <w:bookmarkStart w:id="1" w:name="_GoBack"/>
      <w:bookmarkEnd w:id="1"/>
    </w:p>
    <w:sectPr w:rsidR="00362F07" w:rsidRPr="0073355D" w:rsidSect="00B91BBA">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0C6BD" w14:textId="77777777" w:rsidR="00264DFE" w:rsidRDefault="00264DFE" w:rsidP="00362F07">
      <w:pPr>
        <w:spacing w:after="0" w:line="240" w:lineRule="auto"/>
      </w:pPr>
      <w:r>
        <w:separator/>
      </w:r>
    </w:p>
  </w:endnote>
  <w:endnote w:type="continuationSeparator" w:id="0">
    <w:p w14:paraId="159511D8" w14:textId="77777777" w:rsidR="00264DFE" w:rsidRDefault="00264DFE" w:rsidP="00362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123905"/>
      <w:docPartObj>
        <w:docPartGallery w:val="Page Numbers (Bottom of Page)"/>
        <w:docPartUnique/>
      </w:docPartObj>
    </w:sdtPr>
    <w:sdtEndPr>
      <w:rPr>
        <w:rFonts w:ascii="Times New Roman" w:hAnsi="Times New Roman" w:cs="Times New Roman"/>
        <w:noProof/>
      </w:rPr>
    </w:sdtEndPr>
    <w:sdtContent>
      <w:p w14:paraId="5DFBB1EC" w14:textId="5171B22C" w:rsidR="00362F07" w:rsidRDefault="00362F07">
        <w:pPr>
          <w:pStyle w:val="Footer"/>
          <w:jc w:val="right"/>
        </w:pPr>
        <w:r>
          <w:fldChar w:fldCharType="begin"/>
        </w:r>
        <w:r>
          <w:instrText xml:space="preserve"> PAGE   \* MERGEFORMAT </w:instrText>
        </w:r>
        <w:r>
          <w:fldChar w:fldCharType="separate"/>
        </w:r>
        <w:r w:rsidR="00B91BBA">
          <w:rPr>
            <w:noProof/>
          </w:rPr>
          <w:t>7</w:t>
        </w:r>
        <w:r>
          <w:rPr>
            <w:noProof/>
          </w:rPr>
          <w:fldChar w:fldCharType="end"/>
        </w:r>
      </w:p>
    </w:sdtContent>
  </w:sdt>
  <w:p w14:paraId="6F47FA7A" w14:textId="77777777" w:rsidR="00362F07" w:rsidRDefault="00362F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74E7EE" w14:textId="77777777" w:rsidR="00264DFE" w:rsidRDefault="00264DFE" w:rsidP="00362F07">
      <w:pPr>
        <w:spacing w:after="0" w:line="240" w:lineRule="auto"/>
      </w:pPr>
      <w:r>
        <w:separator/>
      </w:r>
    </w:p>
  </w:footnote>
  <w:footnote w:type="continuationSeparator" w:id="0">
    <w:p w14:paraId="178FE183" w14:textId="77777777" w:rsidR="00264DFE" w:rsidRDefault="00264DFE" w:rsidP="00362F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13600B"/>
    <w:multiLevelType w:val="hybridMultilevel"/>
    <w:tmpl w:val="ABEAD5A2"/>
    <w:lvl w:ilvl="0" w:tplc="775226D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DCF0E2C"/>
    <w:multiLevelType w:val="hybridMultilevel"/>
    <w:tmpl w:val="A71C5CD0"/>
    <w:lvl w:ilvl="0" w:tplc="B476B34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5105DE1"/>
    <w:multiLevelType w:val="hybridMultilevel"/>
    <w:tmpl w:val="CA1C0EFC"/>
    <w:lvl w:ilvl="0" w:tplc="35989A10">
      <w:start w:val="95"/>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A45"/>
    <w:rsid w:val="00133C8E"/>
    <w:rsid w:val="00264DFE"/>
    <w:rsid w:val="002B7422"/>
    <w:rsid w:val="002F3A45"/>
    <w:rsid w:val="00362F07"/>
    <w:rsid w:val="00587F34"/>
    <w:rsid w:val="006F60E4"/>
    <w:rsid w:val="0073355D"/>
    <w:rsid w:val="007428AC"/>
    <w:rsid w:val="007A5365"/>
    <w:rsid w:val="00B91BBA"/>
    <w:rsid w:val="00B95192"/>
    <w:rsid w:val="00F06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A3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A4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A45"/>
    <w:pPr>
      <w:ind w:left="720"/>
      <w:contextualSpacing/>
    </w:pPr>
  </w:style>
  <w:style w:type="paragraph" w:styleId="BalloonText">
    <w:name w:val="Balloon Text"/>
    <w:basedOn w:val="Normal"/>
    <w:link w:val="BalloonTextChar"/>
    <w:uiPriority w:val="99"/>
    <w:semiHidden/>
    <w:unhideWhenUsed/>
    <w:rsid w:val="00133C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C8E"/>
    <w:rPr>
      <w:rFonts w:ascii="Segoe UI" w:hAnsi="Segoe UI" w:cs="Segoe UI"/>
      <w:sz w:val="18"/>
      <w:szCs w:val="18"/>
      <w:lang w:val="en-GB"/>
    </w:rPr>
  </w:style>
  <w:style w:type="table" w:styleId="TableGrid">
    <w:name w:val="Table Grid"/>
    <w:basedOn w:val="TableNormal"/>
    <w:uiPriority w:val="39"/>
    <w:rsid w:val="00362F0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2F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F07"/>
    <w:rPr>
      <w:lang w:val="en-GB"/>
    </w:rPr>
  </w:style>
  <w:style w:type="paragraph" w:styleId="Footer">
    <w:name w:val="footer"/>
    <w:basedOn w:val="Normal"/>
    <w:link w:val="FooterChar"/>
    <w:uiPriority w:val="99"/>
    <w:unhideWhenUsed/>
    <w:rsid w:val="00362F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F07"/>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A4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A45"/>
    <w:pPr>
      <w:ind w:left="720"/>
      <w:contextualSpacing/>
    </w:pPr>
  </w:style>
  <w:style w:type="paragraph" w:styleId="BalloonText">
    <w:name w:val="Balloon Text"/>
    <w:basedOn w:val="Normal"/>
    <w:link w:val="BalloonTextChar"/>
    <w:uiPriority w:val="99"/>
    <w:semiHidden/>
    <w:unhideWhenUsed/>
    <w:rsid w:val="00133C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C8E"/>
    <w:rPr>
      <w:rFonts w:ascii="Segoe UI" w:hAnsi="Segoe UI" w:cs="Segoe UI"/>
      <w:sz w:val="18"/>
      <w:szCs w:val="18"/>
      <w:lang w:val="en-GB"/>
    </w:rPr>
  </w:style>
  <w:style w:type="table" w:styleId="TableGrid">
    <w:name w:val="Table Grid"/>
    <w:basedOn w:val="TableNormal"/>
    <w:uiPriority w:val="39"/>
    <w:rsid w:val="00362F0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2F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F07"/>
    <w:rPr>
      <w:lang w:val="en-GB"/>
    </w:rPr>
  </w:style>
  <w:style w:type="paragraph" w:styleId="Footer">
    <w:name w:val="footer"/>
    <w:basedOn w:val="Normal"/>
    <w:link w:val="FooterChar"/>
    <w:uiPriority w:val="99"/>
    <w:unhideWhenUsed/>
    <w:rsid w:val="00362F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F0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1517</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Lotus van den Hoogen</dc:creator>
  <cp:keywords/>
  <dc:description/>
  <cp:lastModifiedBy>, RevathiM</cp:lastModifiedBy>
  <cp:revision>3</cp:revision>
  <dcterms:created xsi:type="dcterms:W3CDTF">2020-07-18T10:02:00Z</dcterms:created>
  <dcterms:modified xsi:type="dcterms:W3CDTF">2020-09-07T17:47:00Z</dcterms:modified>
</cp:coreProperties>
</file>