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D" w:rsidRPr="00FE4B91" w:rsidRDefault="00EB385D" w:rsidP="000A759C">
      <w:pPr>
        <w:pStyle w:val="ac"/>
        <w:spacing w:beforeLines="50" w:before="156" w:afterLines="50" w:after="156"/>
        <w:ind w:left="357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4B91">
        <w:rPr>
          <w:rFonts w:ascii="Times New Roman" w:hAnsi="Times New Roman" w:cs="Times New Roman"/>
          <w:b/>
          <w:sz w:val="20"/>
          <w:szCs w:val="20"/>
        </w:rPr>
        <w:t>S</w:t>
      </w:r>
      <w:r w:rsidR="001116FF" w:rsidRPr="00FE4B91">
        <w:rPr>
          <w:rFonts w:ascii="Times New Roman" w:hAnsi="Times New Roman" w:cs="Times New Roman"/>
          <w:b/>
          <w:sz w:val="20"/>
          <w:szCs w:val="20"/>
        </w:rPr>
        <w:t>UPPLEMENTARY</w:t>
      </w:r>
      <w:r w:rsidRPr="00FE4B91">
        <w:rPr>
          <w:rFonts w:ascii="Times New Roman" w:hAnsi="Times New Roman" w:cs="Times New Roman"/>
          <w:b/>
          <w:sz w:val="20"/>
          <w:szCs w:val="20"/>
        </w:rPr>
        <w:t xml:space="preserve"> T</w:t>
      </w:r>
      <w:r w:rsidR="001116FF" w:rsidRPr="00FE4B91">
        <w:rPr>
          <w:rFonts w:ascii="Times New Roman" w:hAnsi="Times New Roman" w:cs="Times New Roman"/>
          <w:b/>
          <w:sz w:val="20"/>
          <w:szCs w:val="20"/>
        </w:rPr>
        <w:t>ABLE</w:t>
      </w:r>
      <w:r w:rsidRPr="00FE4B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6FF" w:rsidRPr="00FE4B91">
        <w:rPr>
          <w:rFonts w:ascii="Times New Roman" w:hAnsi="Times New Roman" w:cs="Times New Roman"/>
          <w:b/>
          <w:sz w:val="20"/>
          <w:szCs w:val="20"/>
        </w:rPr>
        <w:t>1 |</w:t>
      </w:r>
      <w:r w:rsidRPr="00FE4B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4B91">
        <w:rPr>
          <w:rFonts w:ascii="Times New Roman" w:hAnsi="Times New Roman" w:cs="Times New Roman"/>
          <w:sz w:val="20"/>
          <w:szCs w:val="20"/>
        </w:rPr>
        <w:t>The American Joint Committee on Cancer Classiﬁcation</w:t>
      </w:r>
    </w:p>
    <w:tbl>
      <w:tblPr>
        <w:tblStyle w:val="a3"/>
        <w:tblW w:w="134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33"/>
      </w:tblGrid>
      <w:tr w:rsidR="00FE4B91" w:rsidRPr="00FE4B91" w:rsidTr="0071078D">
        <w:tc>
          <w:tcPr>
            <w:tcW w:w="13433" w:type="dxa"/>
            <w:tcBorders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T – Primary tumor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tabs>
                <w:tab w:val="left" w:pos="1404"/>
              </w:tabs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TX  Primary tumor cannot be assessed.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T0  No evidence of primary tumor.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T1  Solitary tumor without vascular invasion.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leftChars="200" w:left="820" w:hangingChars="200" w:hanging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T2  Solitary tumor with vascular invasion or multiple tumors, none more than 5 cm in greatest dimension.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leftChars="200" w:left="820" w:hangingChars="200" w:hanging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T3  Multiple tumors any more than 5 cm or tumor involving a major branch of the portal or hepatic vein(s).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       T3a: Multiple tumors any more than 5 cm.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       T3b: Tumors involving a major branch of the portal or hepatic vein(s).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leftChars="200" w:left="820" w:hangingChars="200" w:hanging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T4  Tumor(s) with direct invasion of adjacent organs other than the gallbladder or with perforation of visceral peritoneum.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N – Regional lymph nodes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tabs>
                <w:tab w:val="left" w:pos="43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ab/>
              <w:t>NX  Regional lymph nodes cannot be assessed.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N0   No regional lymph node metastasis.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N1   Regional lymph node metastasis.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M – Distant metastasis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M0  No distant metastasis.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M1  Distant metastasis.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TNM staging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T1     T2     T3a     T3b     T4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   N0 and M0          I       II     IIIA     IIIB    IIIC</w:t>
            </w:r>
          </w:p>
        </w:tc>
      </w:tr>
      <w:tr w:rsidR="00FE4B91" w:rsidRPr="00FE4B91" w:rsidTr="0071078D">
        <w:tc>
          <w:tcPr>
            <w:tcW w:w="13433" w:type="dxa"/>
            <w:tcBorders>
              <w:top w:val="nil"/>
              <w:bottom w:val="nil"/>
            </w:tcBorders>
          </w:tcPr>
          <w:p w:rsidR="00EB385D" w:rsidRPr="00FE4B91" w:rsidRDefault="00EB385D" w:rsidP="000A75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   N1 and M0         IVA     IVA    IVA     IVA    IVA</w:t>
            </w:r>
          </w:p>
        </w:tc>
      </w:tr>
      <w:tr w:rsidR="00EB385D" w:rsidRPr="00FE4B91" w:rsidTr="0071078D">
        <w:tc>
          <w:tcPr>
            <w:tcW w:w="13433" w:type="dxa"/>
            <w:tcBorders>
              <w:top w:val="nil"/>
            </w:tcBorders>
          </w:tcPr>
          <w:p w:rsidR="00EB385D" w:rsidRPr="00FE4B91" w:rsidRDefault="00EB385D" w:rsidP="000A759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Any N and M1      IVB     IVB   IVB     IVB    IVB</w:t>
            </w:r>
          </w:p>
        </w:tc>
      </w:tr>
    </w:tbl>
    <w:p w:rsidR="00155552" w:rsidRDefault="00155552" w:rsidP="00155552">
      <w:pPr>
        <w:spacing w:beforeLines="50" w:before="156" w:afterLines="50" w:after="156"/>
        <w:rPr>
          <w:rFonts w:ascii="Times New Roman" w:hAnsi="Times New Roman" w:cs="Times New Roman"/>
          <w:sz w:val="20"/>
          <w:szCs w:val="20"/>
        </w:rPr>
      </w:pPr>
    </w:p>
    <w:p w:rsidR="000A759C" w:rsidRPr="00155552" w:rsidRDefault="00155552" w:rsidP="0015555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03B5A" w:rsidRPr="00FE4B91" w:rsidRDefault="00654C90" w:rsidP="000A759C">
      <w:pPr>
        <w:spacing w:beforeLines="50" w:before="156" w:afterLines="50" w:after="156"/>
        <w:jc w:val="center"/>
        <w:rPr>
          <w:rFonts w:ascii="Times New Roman" w:hAnsi="Times New Roman" w:cs="Times New Roman"/>
          <w:sz w:val="20"/>
          <w:szCs w:val="20"/>
        </w:rPr>
      </w:pPr>
      <w:r w:rsidRPr="00FE4B91">
        <w:rPr>
          <w:rFonts w:ascii="Times New Roman" w:hAnsi="Times New Roman" w:cs="Times New Roman"/>
          <w:b/>
          <w:sz w:val="20"/>
          <w:szCs w:val="20"/>
        </w:rPr>
        <w:lastRenderedPageBreak/>
        <w:t>SUPPLEMENTARY TABLE 2 |</w:t>
      </w:r>
      <w:r w:rsidR="00C61B96" w:rsidRPr="00FE4B91">
        <w:rPr>
          <w:rFonts w:ascii="Times New Roman" w:hAnsi="Times New Roman" w:cs="Times New Roman"/>
          <w:sz w:val="20"/>
          <w:szCs w:val="20"/>
        </w:rPr>
        <w:t xml:space="preserve"> </w:t>
      </w:r>
      <w:r w:rsidR="002B428C" w:rsidRPr="00FE4B91">
        <w:rPr>
          <w:rFonts w:ascii="Times New Roman" w:hAnsi="Times New Roman" w:cs="Times New Roman" w:hint="eastAsia"/>
          <w:sz w:val="20"/>
          <w:szCs w:val="20"/>
        </w:rPr>
        <w:t>C</w:t>
      </w:r>
      <w:r w:rsidR="002B428C" w:rsidRPr="00FE4B91">
        <w:rPr>
          <w:rFonts w:ascii="Times New Roman" w:hAnsi="Times New Roman" w:cs="Times New Roman"/>
          <w:sz w:val="20"/>
          <w:szCs w:val="20"/>
        </w:rPr>
        <w:t>omparison</w:t>
      </w:r>
      <w:r w:rsidR="002B428C" w:rsidRPr="00FE4B91">
        <w:rPr>
          <w:rFonts w:ascii="Times New Roman" w:hAnsi="Times New Roman" w:cs="Times New Roman" w:hint="eastAsia"/>
          <w:sz w:val="20"/>
          <w:szCs w:val="20"/>
        </w:rPr>
        <w:t xml:space="preserve"> of</w:t>
      </w:r>
      <w:r w:rsidR="002B428C" w:rsidRPr="00FE4B91">
        <w:rPr>
          <w:rFonts w:ascii="Times New Roman" w:hAnsi="Times New Roman" w:cs="Times New Roman"/>
          <w:sz w:val="20"/>
          <w:szCs w:val="20"/>
        </w:rPr>
        <w:t xml:space="preserve"> serum</w:t>
      </w:r>
      <w:r w:rsidR="00C61B96" w:rsidRPr="00FE4B91">
        <w:rPr>
          <w:rFonts w:ascii="Times New Roman" w:hAnsi="Times New Roman" w:cs="Times New Roman"/>
          <w:sz w:val="20"/>
          <w:szCs w:val="20"/>
        </w:rPr>
        <w:t xml:space="preserve"> sphingolipids between cirrhosis and HCC or </w:t>
      </w:r>
      <w:r w:rsidR="00713EF9" w:rsidRPr="00FE4B91">
        <w:rPr>
          <w:rFonts w:ascii="Times New Roman" w:hAnsi="Times New Roman" w:cs="Times New Roman"/>
          <w:sz w:val="20"/>
          <w:szCs w:val="20"/>
        </w:rPr>
        <w:t>AFP-</w:t>
      </w:r>
      <w:r w:rsidR="00C61B96" w:rsidRPr="00FE4B91">
        <w:rPr>
          <w:rFonts w:ascii="Times New Roman" w:hAnsi="Times New Roman" w:cs="Times New Roman"/>
          <w:sz w:val="20"/>
          <w:szCs w:val="20"/>
        </w:rPr>
        <w:t>negative HCC</w:t>
      </w:r>
      <w:r w:rsidR="002B428C" w:rsidRPr="00FE4B91">
        <w:rPr>
          <w:rFonts w:ascii="Times New Roman" w:hAnsi="Times New Roman" w:cs="Times New Roman"/>
          <w:sz w:val="20"/>
          <w:szCs w:val="20"/>
        </w:rPr>
        <w:t xml:space="preserve"> </w:t>
      </w:r>
      <w:r w:rsidR="002B428C" w:rsidRPr="00FE4B91">
        <w:rPr>
          <w:rFonts w:ascii="Times New Roman" w:hAnsi="Times New Roman" w:cs="Times New Roman" w:hint="eastAsia"/>
          <w:sz w:val="20"/>
          <w:szCs w:val="20"/>
        </w:rPr>
        <w:t>patients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2766"/>
        <w:gridCol w:w="2466"/>
        <w:gridCol w:w="850"/>
        <w:gridCol w:w="851"/>
        <w:gridCol w:w="2766"/>
        <w:gridCol w:w="851"/>
        <w:gridCol w:w="843"/>
      </w:tblGrid>
      <w:tr w:rsidR="00FE4B91" w:rsidRPr="00FE4B91" w:rsidTr="00673681">
        <w:trPr>
          <w:trHeight w:val="454"/>
          <w:jc w:val="center"/>
        </w:trPr>
        <w:tc>
          <w:tcPr>
            <w:tcW w:w="24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Sphingolipid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925" w:rsidRPr="00FE4B91" w:rsidRDefault="00F54925" w:rsidP="00024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Cirrhosis  (N=104)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925" w:rsidRPr="00FE4B91" w:rsidRDefault="00F54925" w:rsidP="00024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HCC  (N=72)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</w:t>
            </w: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925" w:rsidRPr="00FE4B91" w:rsidRDefault="00F54925" w:rsidP="00024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sz w:val="20"/>
                <w:szCs w:val="20"/>
              </w:rPr>
              <w:t>AFP-negative HCC  (N=24)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</w:t>
            </w: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4925" w:rsidRPr="00FE4B91" w:rsidRDefault="00F54925" w:rsidP="000A75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FE4B9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‡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10:0)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205.13(205.1-211.03)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205.14(205.11-207.34)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205.15(205.11-205.33)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-1.92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0.06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12:0)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168.59(168.43-172.46)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168.67(168.45-172.91)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168.63(168.45-170.17)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-1.03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0.30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14:0)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139.66(91.51-817.98)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145.22(77.38-253.62)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-0.46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0.65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145.07(107.37-213.05)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-0.09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0.93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884.88(329.09-4652.65)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786.3(117.23-3007.8)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-1.77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0.08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733.73(323.73-3007.8)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-2.42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117.14(13.65-1807.99)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142.63(7.41-1411.56)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121.59(38.38-1411.56)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-0.26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0.79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103.42(9.06-1524.57)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138.05(1.92-1507.33)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-2.02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113.31(20.53-1507.33)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-0.84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0.40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18.08(0-2941.1)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69.9(0-1617.48)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-1.97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26.94(0-1617.48)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-0.41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0.69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22:0)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3682.83(1057.92-22532.13)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3522.52(0-18915.22)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3502.13(1497.96-18915.22)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0.49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10096.32(1433.58-34343.97)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10146.95(245.34-89430.63)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0.87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10451.39(3735.8-89430.63)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-0.41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0.68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24344.61(3001.57-87356.87)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25066.25(0-227631.52)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0.95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25929.75(8299.57-227631.52)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0.58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26:0)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384.8(123.07-1745.91)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655.54(70.75-4583.91)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594.05(179.54-4583.91)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-2.73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26:1)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904.13(215.88-4666.05)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1536.52(85.84-12766.88)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1436.24(356.92-12766.88)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-2.59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12:1)-1-P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82.9(79.03-235.91)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84.4(79.32-631.88)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0.07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85.79(80.26-107.17)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-2.75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14:1)-1-P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59.72(59.06-64.8)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59.94(59.11-64.41)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60.02(59.11-63.16)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-1.34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14:0)-1-Pa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60.38(59.22-71.09)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60.49(59.36-70.36)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60.35(59.36-65.08)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0.34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lastRenderedPageBreak/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14:0)-1-Pb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85.55(61.91-390.16)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93.55(59.73-180.03)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94.49(65.78-180.03)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-1.69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0.09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  <w:highlight w:val="cyan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71.9(59.57-351.01)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75.88(60.06-185.03)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72.57(60.51-133.69)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-0.08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0.93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63.18(59.2-243.99)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67.34(59.34-147.75)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68.68(59.37-124.7)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-2.42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4210.6(1745.57-32192.67)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4703.36(125.34-17601.75)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4548.47(2058.24-17601.75)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-0.47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0.64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468.57(165.4-7878.09)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602.77(61.74-2539.12)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0.06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576.78(192.64-2216.08)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-0.85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0.40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251.65(104.5-3622.69)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283.48(60.51-1188.99)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0.42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233.88(90.98-1079.78)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0.87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73.62(60.55-1511.68)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87.69(60.13-216.47)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86.3(62.08-142.09)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-1.75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22:0)-1-P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72.35(60.55-166.01)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77.23(60.85-337.1)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0.04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76.34(60.85-205.76)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0.35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22:1)-1-P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60.16(59-67.61)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60.4(59.22-67.31)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60.6(59.3-67.31)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-2.34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26:0)-1-P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516.87(189.74-2958.24)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658.34(64.81-3033.7)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572.72(287.9-1555.19)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-0.88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26:1)-1-P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474.38(151.7-2566.19)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589.55(66.18-2582.93)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502(257.06-1374.65)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0.27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28:0)-1-P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212.44(101.3-1283.09)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256.23(62.89-1975.61)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229.2(103.68-765.68)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-0.51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0.61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28:1)-1-P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363.51(126.69-1637.51)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486.64(61.27-2053.08)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435.63(206.12-1028.54)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-1.54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 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8:0)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184.27(184.22-186)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184.32(184.23-201.05)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184.31(184.23-185.5)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0.06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12:0)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63.33(63.09-78.46)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63.37(63.11-68.68)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0.82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63.25(63.13-68.22)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-1.33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14:0)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210.37(206.4-239.56)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211.12(206.86-257.09)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0.14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209.48(207.7-213.95)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-1.54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0.13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14:1)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213.03(206.88-267.83)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214.9(208.92-314.7)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212.79(209.49-222.56)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0.73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17010.25(6981.37-82297.98)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15565.12(138.86-63466.28)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0.16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12960.89(7318.84-30826.31)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0.03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563.6(290.14-4207.56)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602.88(206.84-1909.08)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542.47(365.41-876.1)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-0.67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0.51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343.17(165.47-1298.07)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322.45(84.18-3464.06)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313.28(173.9-456.75)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-2.39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474.92(176.39-2092.78)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395.75(66.67-6444.01)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395.75(210.57-685.74)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-2.45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188.95(108.93-519.85)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203.52(69.61-1116.98)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0.73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201.99(112.18-275.81)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-0.23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0.82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383.06(167.67-1052.18)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391.52(80.54-2762.2)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0.74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381.46(192.99-597.97)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0.75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22:0)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1290.44(389.18-4577.75)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1372.84(66.04-5941.23)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1753.82(408.53-2798)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0.33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22:1)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168.08(74.73-1334.6)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190.2(61.3-775.58)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0.59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191.94(79.25-593.39)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-0.23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0.82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3495.17(857.77-9131.55)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3176.82(81.22-12081.43)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0.73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3625.48(1292.38-10656.07)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-0.08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0.94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HexCer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61707.52(15222.56-151402.39)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46412.97(0-144596.58)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47517.08(27581.79-144596.58)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-1.78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dhS</w:t>
            </w: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ph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24.14(18.79-81.61)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29.56(19.18-176.67)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-4.89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29.75(19.42-128.31)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-3.04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dhSph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(d18:1/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56.03(55.89-58.98)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56.46(55.93-60.01)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-5.61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56.32(56-58.02)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-3.56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60.32(59.11-81.33)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60.69(59.06-71.91)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60.76(59.06-71.91)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0.26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</w:t>
            </w: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62.32(59.33-153.02)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62.08(59.12-97.34)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0.92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61.18(59.12-79.22)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-1.06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0.29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</w:t>
            </w: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20:0)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61.15(59.19-108.81)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62.4(59.45-83.77)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61.5(59.45-83.77)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-0.17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0.87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dhC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24:0)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614.63(156.08-4343.21)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531.45(137.82-1955.56)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478.64(252.07-1184.92)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0.04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</w:t>
            </w: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1415.43(172.52-6220.29)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1559.88(78.06-16626.77)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0.37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61.55(59.3-69.69)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-1.07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0.28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195.26(69.1-1880.24)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172.3(63.52-641.53)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197.17(97.45-620.76)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-0.58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0.56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16:1)-1-P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117.98(68.15-980.21)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140.1(59.71-802.81)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144.1(86.85-802.81)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0.02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dhCer(d18:0/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18:0)-1-P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137.43(75.08-970.98)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157.01(62.37-504.63)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0.37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136.37(69.74-287.56)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-0.31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0.76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18:1)-1-P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67.26(61.24-768.87)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68.84(59.99-96.73)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0.35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69.8(60.26-96.73)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-0.76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0.45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dhCer(d18:0/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24:1)-1-P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59.63(59.08-72.41)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61(59.08-69.69)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-4.94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61.55(59.3-69.69)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-3.93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HexSph(d18:1)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45.1(44.64-76.62)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46.02(44.71-225.41)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-4.85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46.31(44.71-105.12)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-2.92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Sphingosine(d18:1)</w:t>
            </w:r>
            <w:r w:rsidRPr="00FE4B91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-1-P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55.96(55.89-59.12)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57.13(55.89-67.94)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-7.83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56.94(55.89-64.44)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-4.41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</w:tr>
      <w:tr w:rsidR="00673681" w:rsidRPr="00FE4B91" w:rsidTr="00673681">
        <w:trPr>
          <w:trHeight w:val="454"/>
          <w:jc w:val="center"/>
        </w:trPr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91">
              <w:rPr>
                <w:rFonts w:ascii="Times New Roman" w:hAnsi="Times New Roman" w:cs="Times New Roman"/>
                <w:sz w:val="20"/>
                <w:szCs w:val="20"/>
              </w:rPr>
              <w:t>Sphingosine (d18:1)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69.04(59.16-198.47)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80.84(56.2-241.79)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-4.17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&lt;0.01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73.85(57.44-183.81)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FE4B91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FE4B9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-1.76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81" w:rsidRPr="00052323" w:rsidRDefault="00673681" w:rsidP="0067368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052323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0.08</w:t>
            </w:r>
          </w:p>
        </w:tc>
      </w:tr>
    </w:tbl>
    <w:bookmarkEnd w:id="0"/>
    <w:p w:rsidR="00DE5CFB" w:rsidRPr="00FE4B91" w:rsidRDefault="00DE5CFB" w:rsidP="000A759C">
      <w:pPr>
        <w:rPr>
          <w:rFonts w:ascii="Times New Roman" w:hAnsi="Times New Roman" w:cs="Times New Roman"/>
          <w:i/>
          <w:sz w:val="20"/>
          <w:szCs w:val="20"/>
        </w:rPr>
      </w:pPr>
      <w:r w:rsidRPr="00FE4B91">
        <w:rPr>
          <w:rFonts w:ascii="Times New Roman" w:hAnsi="Times New Roman" w:cs="Times New Roman"/>
          <w:i/>
          <w:sz w:val="20"/>
          <w:szCs w:val="20"/>
        </w:rPr>
        <w:t>Unit of sphingolipid levels: pmol/0.1 mL serum.</w:t>
      </w:r>
    </w:p>
    <w:p w:rsidR="00C423FC" w:rsidRPr="00FE4B91" w:rsidRDefault="00C423FC" w:rsidP="000A759C">
      <w:pPr>
        <w:rPr>
          <w:rFonts w:ascii="Times New Roman" w:hAnsi="Times New Roman" w:cs="Times New Roman"/>
          <w:i/>
          <w:sz w:val="20"/>
          <w:szCs w:val="20"/>
        </w:rPr>
      </w:pPr>
      <w:r w:rsidRPr="00FE4B91">
        <w:rPr>
          <w:rFonts w:ascii="Times New Roman" w:hAnsi="Times New Roman" w:cs="Times New Roman"/>
          <w:i/>
          <w:sz w:val="20"/>
          <w:szCs w:val="20"/>
        </w:rPr>
        <w:t xml:space="preserve">Data are expressed as </w:t>
      </w:r>
      <w:r w:rsidR="001C221A" w:rsidRPr="00FE4B91">
        <w:rPr>
          <w:rFonts w:ascii="Times New Roman" w:hAnsi="Times New Roman" w:cs="Times New Roman" w:hint="eastAsia"/>
          <w:i/>
          <w:sz w:val="20"/>
          <w:szCs w:val="20"/>
        </w:rPr>
        <w:t>m</w:t>
      </w:r>
      <w:r w:rsidR="001C221A" w:rsidRPr="00FE4B91">
        <w:rPr>
          <w:rFonts w:ascii="Times New Roman" w:hAnsi="Times New Roman" w:cs="Times New Roman"/>
          <w:i/>
          <w:sz w:val="20"/>
          <w:szCs w:val="20"/>
        </w:rPr>
        <w:t>edian(range)</w:t>
      </w:r>
      <w:r w:rsidRPr="00FE4B91">
        <w:rPr>
          <w:rFonts w:ascii="Times New Roman" w:hAnsi="Times New Roman" w:cs="Times New Roman"/>
          <w:i/>
          <w:sz w:val="20"/>
          <w:szCs w:val="20"/>
        </w:rPr>
        <w:t>.</w:t>
      </w:r>
    </w:p>
    <w:p w:rsidR="00DE5CFB" w:rsidRPr="00FE4B91" w:rsidRDefault="00DE5CFB" w:rsidP="000A759C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E4B91">
        <w:rPr>
          <w:rFonts w:ascii="Times New Roman" w:hAnsi="Times New Roman" w:cs="Times New Roman"/>
          <w:i/>
          <w:sz w:val="20"/>
          <w:szCs w:val="20"/>
        </w:rPr>
        <w:t>P</w:t>
      </w:r>
      <w:r w:rsidR="00F6384F" w:rsidRPr="00FE4B91">
        <w:rPr>
          <w:rFonts w:ascii="Times New Roman" w:hAnsi="Times New Roman" w:cs="Times New Roman"/>
          <w:i/>
          <w:sz w:val="20"/>
          <w:szCs w:val="20"/>
          <w:vertAlign w:val="superscript"/>
        </w:rPr>
        <w:t>†</w:t>
      </w:r>
      <w:r w:rsidRPr="00FE4B9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5B29F5" w:rsidRPr="00FE4B91">
        <w:rPr>
          <w:rFonts w:ascii="Times New Roman" w:hAnsi="Times New Roman" w:cs="Times New Roman"/>
          <w:i/>
          <w:sz w:val="20"/>
          <w:szCs w:val="20"/>
        </w:rPr>
        <w:t>indicates</w:t>
      </w:r>
      <w:r w:rsidRPr="00FE4B91">
        <w:rPr>
          <w:rFonts w:ascii="Times New Roman" w:hAnsi="Times New Roman" w:cs="Times New Roman"/>
          <w:i/>
          <w:sz w:val="20"/>
          <w:szCs w:val="20"/>
        </w:rPr>
        <w:t xml:space="preserve"> the comparison between cirrhosis and HCC.</w:t>
      </w:r>
    </w:p>
    <w:p w:rsidR="00DE5CFB" w:rsidRPr="00FE4B91" w:rsidRDefault="00DE5CFB" w:rsidP="000A759C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E4B91">
        <w:rPr>
          <w:rFonts w:ascii="Times New Roman" w:hAnsi="Times New Roman" w:cs="Times New Roman"/>
          <w:i/>
          <w:sz w:val="20"/>
          <w:szCs w:val="20"/>
        </w:rPr>
        <w:t>P</w:t>
      </w:r>
      <w:r w:rsidR="00F6384F" w:rsidRPr="00FE4B91">
        <w:rPr>
          <w:rFonts w:ascii="Times New Roman" w:hAnsi="Times New Roman" w:cs="Times New Roman"/>
          <w:i/>
          <w:sz w:val="20"/>
          <w:szCs w:val="20"/>
          <w:vertAlign w:val="superscript"/>
        </w:rPr>
        <w:t>‡</w:t>
      </w:r>
      <w:r w:rsidRPr="00FE4B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29F5" w:rsidRPr="00FE4B91">
        <w:rPr>
          <w:rFonts w:ascii="Times New Roman" w:hAnsi="Times New Roman" w:cs="Times New Roman"/>
          <w:i/>
          <w:sz w:val="20"/>
          <w:szCs w:val="20"/>
        </w:rPr>
        <w:t>indicates</w:t>
      </w:r>
      <w:r w:rsidRPr="00FE4B91">
        <w:rPr>
          <w:rFonts w:ascii="Times New Roman" w:hAnsi="Times New Roman" w:cs="Times New Roman"/>
          <w:i/>
          <w:sz w:val="20"/>
          <w:szCs w:val="20"/>
        </w:rPr>
        <w:t xml:space="preserve"> the comparison between cirrhosis and AFP</w:t>
      </w:r>
      <w:r w:rsidR="00960EBB" w:rsidRPr="00FE4B91">
        <w:rPr>
          <w:rFonts w:ascii="Times New Roman" w:hAnsi="Times New Roman" w:cs="Times New Roman"/>
          <w:i/>
          <w:sz w:val="20"/>
          <w:szCs w:val="20"/>
        </w:rPr>
        <w:t>-</w:t>
      </w:r>
      <w:r w:rsidR="00E17A2E" w:rsidRPr="00FE4B91">
        <w:rPr>
          <w:rFonts w:ascii="Times New Roman" w:hAnsi="Times New Roman" w:cs="Times New Roman"/>
          <w:i/>
          <w:sz w:val="20"/>
          <w:szCs w:val="20"/>
        </w:rPr>
        <w:t>negative HCC.</w:t>
      </w:r>
    </w:p>
    <w:p w:rsidR="00DA378E" w:rsidRPr="00FE4B91" w:rsidRDefault="00DE5CFB" w:rsidP="000A759C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E4B91">
        <w:rPr>
          <w:rFonts w:ascii="Times New Roman" w:hAnsi="Times New Roman" w:cs="Times New Roman"/>
          <w:i/>
          <w:sz w:val="20"/>
          <w:szCs w:val="20"/>
        </w:rPr>
        <w:t xml:space="preserve">P&lt;0.05 </w:t>
      </w:r>
      <w:r w:rsidR="005B29F5" w:rsidRPr="00FE4B9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FE4B91">
        <w:rPr>
          <w:rFonts w:ascii="Times New Roman" w:hAnsi="Times New Roman" w:cs="Times New Roman"/>
          <w:i/>
          <w:sz w:val="20"/>
          <w:szCs w:val="20"/>
        </w:rPr>
        <w:t>considered to be statistically significant.</w:t>
      </w:r>
    </w:p>
    <w:sectPr w:rsidR="00DA378E" w:rsidRPr="00FE4B91" w:rsidSect="00F705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48" w:rsidRDefault="001E0848" w:rsidP="00483B72">
      <w:r>
        <w:separator/>
      </w:r>
    </w:p>
  </w:endnote>
  <w:endnote w:type="continuationSeparator" w:id="0">
    <w:p w:rsidR="001E0848" w:rsidRDefault="001E0848" w:rsidP="0048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ADB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48" w:rsidRDefault="001E0848" w:rsidP="00483B72">
      <w:r>
        <w:separator/>
      </w:r>
    </w:p>
  </w:footnote>
  <w:footnote w:type="continuationSeparator" w:id="0">
    <w:p w:rsidR="001E0848" w:rsidRDefault="001E0848" w:rsidP="0048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84A"/>
    <w:rsid w:val="00015977"/>
    <w:rsid w:val="00024DAA"/>
    <w:rsid w:val="000252E8"/>
    <w:rsid w:val="00033F08"/>
    <w:rsid w:val="0005708E"/>
    <w:rsid w:val="00060A67"/>
    <w:rsid w:val="000A759C"/>
    <w:rsid w:val="000D2B71"/>
    <w:rsid w:val="000D5578"/>
    <w:rsid w:val="000E7C7A"/>
    <w:rsid w:val="001116FF"/>
    <w:rsid w:val="00140B8A"/>
    <w:rsid w:val="00143CDF"/>
    <w:rsid w:val="0014427D"/>
    <w:rsid w:val="00155552"/>
    <w:rsid w:val="00184FDC"/>
    <w:rsid w:val="001C221A"/>
    <w:rsid w:val="001E0848"/>
    <w:rsid w:val="001E3AC9"/>
    <w:rsid w:val="001F4A4E"/>
    <w:rsid w:val="00205474"/>
    <w:rsid w:val="00207280"/>
    <w:rsid w:val="0022475B"/>
    <w:rsid w:val="00240402"/>
    <w:rsid w:val="00244FDD"/>
    <w:rsid w:val="0024563B"/>
    <w:rsid w:val="002816E1"/>
    <w:rsid w:val="0028346D"/>
    <w:rsid w:val="00297790"/>
    <w:rsid w:val="002B428C"/>
    <w:rsid w:val="002D3634"/>
    <w:rsid w:val="0033365D"/>
    <w:rsid w:val="003439E7"/>
    <w:rsid w:val="00352C05"/>
    <w:rsid w:val="00357669"/>
    <w:rsid w:val="00367DBA"/>
    <w:rsid w:val="0037341C"/>
    <w:rsid w:val="00374A32"/>
    <w:rsid w:val="003A32F9"/>
    <w:rsid w:val="003B1401"/>
    <w:rsid w:val="003D0491"/>
    <w:rsid w:val="003D7ACA"/>
    <w:rsid w:val="004229CD"/>
    <w:rsid w:val="00483B72"/>
    <w:rsid w:val="00510B2B"/>
    <w:rsid w:val="00515F32"/>
    <w:rsid w:val="00533AC7"/>
    <w:rsid w:val="00543136"/>
    <w:rsid w:val="005454C8"/>
    <w:rsid w:val="005603D9"/>
    <w:rsid w:val="00584E87"/>
    <w:rsid w:val="005B1532"/>
    <w:rsid w:val="005B29F5"/>
    <w:rsid w:val="005D0D17"/>
    <w:rsid w:val="005E48DA"/>
    <w:rsid w:val="005E5A05"/>
    <w:rsid w:val="005F4A9E"/>
    <w:rsid w:val="00613D60"/>
    <w:rsid w:val="00630838"/>
    <w:rsid w:val="0064468B"/>
    <w:rsid w:val="00654C90"/>
    <w:rsid w:val="00673681"/>
    <w:rsid w:val="00677A3C"/>
    <w:rsid w:val="006B3B26"/>
    <w:rsid w:val="006E323D"/>
    <w:rsid w:val="006E5744"/>
    <w:rsid w:val="006F5D81"/>
    <w:rsid w:val="0071078D"/>
    <w:rsid w:val="00713EF9"/>
    <w:rsid w:val="007B41AA"/>
    <w:rsid w:val="0080546A"/>
    <w:rsid w:val="00813F24"/>
    <w:rsid w:val="00871243"/>
    <w:rsid w:val="00875CF8"/>
    <w:rsid w:val="00882358"/>
    <w:rsid w:val="008A01FB"/>
    <w:rsid w:val="008B787D"/>
    <w:rsid w:val="008D0289"/>
    <w:rsid w:val="008D5526"/>
    <w:rsid w:val="008D77A1"/>
    <w:rsid w:val="008F453F"/>
    <w:rsid w:val="0090084A"/>
    <w:rsid w:val="0092044B"/>
    <w:rsid w:val="009226A6"/>
    <w:rsid w:val="0094314C"/>
    <w:rsid w:val="00953901"/>
    <w:rsid w:val="00960EBB"/>
    <w:rsid w:val="009704E5"/>
    <w:rsid w:val="009A2B66"/>
    <w:rsid w:val="009E5B89"/>
    <w:rsid w:val="00A31B6F"/>
    <w:rsid w:val="00A37C1E"/>
    <w:rsid w:val="00A61CB0"/>
    <w:rsid w:val="00A73F0C"/>
    <w:rsid w:val="00A972AA"/>
    <w:rsid w:val="00AB1602"/>
    <w:rsid w:val="00AC5870"/>
    <w:rsid w:val="00AD5CFE"/>
    <w:rsid w:val="00AE3E1B"/>
    <w:rsid w:val="00AE5999"/>
    <w:rsid w:val="00B0247A"/>
    <w:rsid w:val="00B036C2"/>
    <w:rsid w:val="00B03CD3"/>
    <w:rsid w:val="00B05549"/>
    <w:rsid w:val="00B16DB9"/>
    <w:rsid w:val="00B24C5A"/>
    <w:rsid w:val="00B67A43"/>
    <w:rsid w:val="00B70970"/>
    <w:rsid w:val="00B978F7"/>
    <w:rsid w:val="00BC4A61"/>
    <w:rsid w:val="00BD17AB"/>
    <w:rsid w:val="00BD3ECF"/>
    <w:rsid w:val="00C31A88"/>
    <w:rsid w:val="00C36976"/>
    <w:rsid w:val="00C423FC"/>
    <w:rsid w:val="00C61B96"/>
    <w:rsid w:val="00C76C5E"/>
    <w:rsid w:val="00C81F38"/>
    <w:rsid w:val="00C843D3"/>
    <w:rsid w:val="00C8784F"/>
    <w:rsid w:val="00CF4D22"/>
    <w:rsid w:val="00D23B0C"/>
    <w:rsid w:val="00D60B63"/>
    <w:rsid w:val="00D87C89"/>
    <w:rsid w:val="00D947E9"/>
    <w:rsid w:val="00DA378E"/>
    <w:rsid w:val="00DC4A69"/>
    <w:rsid w:val="00DD3D51"/>
    <w:rsid w:val="00DE5CFB"/>
    <w:rsid w:val="00DE6A5D"/>
    <w:rsid w:val="00DF407F"/>
    <w:rsid w:val="00E17A2E"/>
    <w:rsid w:val="00E20AA7"/>
    <w:rsid w:val="00E635CA"/>
    <w:rsid w:val="00E955C1"/>
    <w:rsid w:val="00EA35BA"/>
    <w:rsid w:val="00EA75D3"/>
    <w:rsid w:val="00EB385D"/>
    <w:rsid w:val="00EE1A8F"/>
    <w:rsid w:val="00EE34BA"/>
    <w:rsid w:val="00EF1BB7"/>
    <w:rsid w:val="00F03B5A"/>
    <w:rsid w:val="00F056AF"/>
    <w:rsid w:val="00F54925"/>
    <w:rsid w:val="00F6384F"/>
    <w:rsid w:val="00F705DC"/>
    <w:rsid w:val="00F83BE5"/>
    <w:rsid w:val="00F92D4D"/>
    <w:rsid w:val="00F92FEF"/>
    <w:rsid w:val="00F95FEF"/>
    <w:rsid w:val="00FC1175"/>
    <w:rsid w:val="00FC6486"/>
    <w:rsid w:val="00FE4B91"/>
    <w:rsid w:val="00FE670B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54FC6-9F89-4119-AA19-49ABEEA0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unhideWhenUsed/>
    <w:rsid w:val="00483B7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83B72"/>
    <w:rPr>
      <w:rFonts w:ascii="宋体" w:eastAsia="宋体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483B72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uiPriority w:val="99"/>
    <w:semiHidden/>
    <w:rsid w:val="00483B72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483B72"/>
    <w:rPr>
      <w:vertAlign w:val="superscript"/>
    </w:rPr>
  </w:style>
  <w:style w:type="paragraph" w:styleId="a7">
    <w:name w:val="endnote text"/>
    <w:basedOn w:val="a"/>
    <w:link w:val="Char1"/>
    <w:uiPriority w:val="99"/>
    <w:semiHidden/>
    <w:unhideWhenUsed/>
    <w:rsid w:val="00483B72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483B72"/>
  </w:style>
  <w:style w:type="character" w:styleId="a8">
    <w:name w:val="endnote reference"/>
    <w:basedOn w:val="a0"/>
    <w:uiPriority w:val="99"/>
    <w:semiHidden/>
    <w:unhideWhenUsed/>
    <w:rsid w:val="00483B72"/>
    <w:rPr>
      <w:vertAlign w:val="superscript"/>
    </w:rPr>
  </w:style>
  <w:style w:type="character" w:styleId="a9">
    <w:name w:val="Strong"/>
    <w:uiPriority w:val="22"/>
    <w:qFormat/>
    <w:rsid w:val="00B978F7"/>
    <w:rPr>
      <w:rFonts w:cs="Times New Roman"/>
      <w:b/>
      <w:bCs/>
    </w:rPr>
  </w:style>
  <w:style w:type="character" w:customStyle="1" w:styleId="fontstyle01">
    <w:name w:val="fontstyle01"/>
    <w:basedOn w:val="a0"/>
    <w:rsid w:val="00B978F7"/>
    <w:rPr>
      <w:rFonts w:ascii="AdvPADBA" w:hAnsi="AdvPADBA" w:hint="default"/>
      <w:b w:val="0"/>
      <w:bCs w:val="0"/>
      <w:i w:val="0"/>
      <w:iCs w:val="0"/>
      <w:color w:val="231F20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DF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F407F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F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F407F"/>
    <w:rPr>
      <w:sz w:val="18"/>
      <w:szCs w:val="18"/>
    </w:rPr>
  </w:style>
  <w:style w:type="paragraph" w:styleId="ac">
    <w:name w:val="List Paragraph"/>
    <w:basedOn w:val="a"/>
    <w:uiPriority w:val="34"/>
    <w:qFormat/>
    <w:rsid w:val="005D0D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7139-7590-4B0F-9071-1075223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ChengXuan</dc:creator>
  <cp:keywords/>
  <dc:description/>
  <cp:lastModifiedBy>小小蚂蚁大大爱</cp:lastModifiedBy>
  <cp:revision>95</cp:revision>
  <dcterms:created xsi:type="dcterms:W3CDTF">2018-07-21T08:25:00Z</dcterms:created>
  <dcterms:modified xsi:type="dcterms:W3CDTF">2020-08-02T03:54:00Z</dcterms:modified>
</cp:coreProperties>
</file>