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C992" w14:textId="77777777" w:rsidR="0035674B" w:rsidRDefault="0035674B" w:rsidP="0035674B">
      <w:pPr>
        <w:pStyle w:val="berschrift1"/>
        <w:numPr>
          <w:ilvl w:val="0"/>
          <w:numId w:val="0"/>
        </w:numPr>
        <w:jc w:val="center"/>
      </w:pPr>
      <w:r>
        <w:t>Supplementary Material</w:t>
      </w:r>
    </w:p>
    <w:p w14:paraId="0DC5C61A" w14:textId="5E20078E" w:rsidR="0035674B" w:rsidRPr="007E7670" w:rsidRDefault="001C636A" w:rsidP="001C636A">
      <w:pPr>
        <w:pStyle w:val="berschrift2"/>
        <w:numPr>
          <w:ilvl w:val="0"/>
          <w:numId w:val="0"/>
        </w:numPr>
      </w:pPr>
      <w:r>
        <w:t>Table 1</w:t>
      </w:r>
    </w:p>
    <w:p w14:paraId="774D81AC" w14:textId="77777777" w:rsidR="0035674B" w:rsidRPr="007E7670" w:rsidRDefault="0035674B" w:rsidP="0035674B">
      <w:pPr>
        <w:rPr>
          <w:rFonts w:eastAsia="Calibri" w:cstheme="minorHAnsi"/>
        </w:rPr>
      </w:pPr>
      <w:r w:rsidRPr="007E7670">
        <w:rPr>
          <w:rFonts w:eastAsia="Calibri" w:cstheme="minorHAnsi"/>
        </w:rPr>
        <w:t>Neighborhood Risk Characteristics for the City Average as well as the Participants’ Neighborhoods of City 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8"/>
        <w:gridCol w:w="1256"/>
        <w:gridCol w:w="1264"/>
        <w:gridCol w:w="1264"/>
        <w:gridCol w:w="1266"/>
        <w:gridCol w:w="1266"/>
        <w:gridCol w:w="1266"/>
      </w:tblGrid>
      <w:tr w:rsidR="0035674B" w:rsidRPr="007E7670" w14:paraId="7AAF42E8" w14:textId="77777777" w:rsidTr="00A316D6">
        <w:tc>
          <w:tcPr>
            <w:tcW w:w="1778" w:type="dxa"/>
            <w:tcBorders>
              <w:top w:val="single" w:sz="8" w:space="0" w:color="000000"/>
              <w:bottom w:val="single" w:sz="8" w:space="0" w:color="000000"/>
            </w:tcBorders>
          </w:tcPr>
          <w:p w14:paraId="7374A675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Risk characteristics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</w:tcBorders>
          </w:tcPr>
          <w:p w14:paraId="5D22C3D3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A</w:t>
            </w:r>
            <w:r>
              <w:rPr>
                <w:rFonts w:eastAsia="MS Mincho" w:cstheme="minorHAnsi"/>
                <w:bCs/>
                <w:lang w:eastAsia="de-DE"/>
              </w:rPr>
              <w:t xml:space="preserve"> </w:t>
            </w:r>
            <w:r w:rsidRPr="007E7670">
              <w:rPr>
                <w:rFonts w:eastAsia="MS Mincho" w:cstheme="minorHAnsi"/>
                <w:bCs/>
                <w:lang w:eastAsia="de-DE"/>
              </w:rPr>
              <w:t>(total)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14:paraId="19BF5018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A1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14:paraId="5B706569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A2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</w:tcPr>
          <w:p w14:paraId="01EF4BEF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A3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</w:tcPr>
          <w:p w14:paraId="5440BAAF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A4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</w:tcPr>
          <w:p w14:paraId="5246A185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A5</w:t>
            </w:r>
          </w:p>
        </w:tc>
      </w:tr>
      <w:tr w:rsidR="0035674B" w:rsidRPr="007E7670" w14:paraId="02CBFBF8" w14:textId="77777777" w:rsidTr="00A316D6">
        <w:trPr>
          <w:trHeight w:val="385"/>
        </w:trPr>
        <w:tc>
          <w:tcPr>
            <w:tcW w:w="1778" w:type="dxa"/>
            <w:tcBorders>
              <w:top w:val="single" w:sz="8" w:space="0" w:color="000000"/>
            </w:tcBorders>
          </w:tcPr>
          <w:p w14:paraId="30A6A516" w14:textId="77777777" w:rsidR="0035674B" w:rsidRPr="007E7670" w:rsidRDefault="0035674B" w:rsidP="00A316D6">
            <w:pPr>
              <w:spacing w:after="120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 xml:space="preserve">Ratio of unemployment </w:t>
            </w:r>
          </w:p>
        </w:tc>
        <w:tc>
          <w:tcPr>
            <w:tcW w:w="1256" w:type="dxa"/>
            <w:tcBorders>
              <w:top w:val="single" w:sz="8" w:space="0" w:color="000000"/>
            </w:tcBorders>
            <w:vAlign w:val="center"/>
          </w:tcPr>
          <w:p w14:paraId="0417F890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4.2 %</w:t>
            </w:r>
          </w:p>
        </w:tc>
        <w:tc>
          <w:tcPr>
            <w:tcW w:w="1264" w:type="dxa"/>
            <w:tcBorders>
              <w:top w:val="single" w:sz="8" w:space="0" w:color="000000"/>
            </w:tcBorders>
            <w:vAlign w:val="center"/>
          </w:tcPr>
          <w:p w14:paraId="26A76F4D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3.5 %</w:t>
            </w:r>
          </w:p>
        </w:tc>
        <w:tc>
          <w:tcPr>
            <w:tcW w:w="1264" w:type="dxa"/>
            <w:tcBorders>
              <w:top w:val="single" w:sz="8" w:space="0" w:color="000000"/>
            </w:tcBorders>
            <w:vAlign w:val="center"/>
          </w:tcPr>
          <w:p w14:paraId="00659F4A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2.1 %</w:t>
            </w:r>
          </w:p>
        </w:tc>
        <w:tc>
          <w:tcPr>
            <w:tcW w:w="1266" w:type="dxa"/>
            <w:tcBorders>
              <w:top w:val="single" w:sz="8" w:space="0" w:color="000000"/>
            </w:tcBorders>
            <w:vAlign w:val="center"/>
          </w:tcPr>
          <w:p w14:paraId="559C83D7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6.0 %</w:t>
            </w:r>
          </w:p>
        </w:tc>
        <w:tc>
          <w:tcPr>
            <w:tcW w:w="1266" w:type="dxa"/>
            <w:tcBorders>
              <w:top w:val="single" w:sz="8" w:space="0" w:color="000000"/>
            </w:tcBorders>
            <w:vAlign w:val="center"/>
          </w:tcPr>
          <w:p w14:paraId="707AC484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7.8 %</w:t>
            </w:r>
          </w:p>
        </w:tc>
        <w:tc>
          <w:tcPr>
            <w:tcW w:w="1266" w:type="dxa"/>
            <w:tcBorders>
              <w:top w:val="single" w:sz="8" w:space="0" w:color="000000"/>
            </w:tcBorders>
            <w:vAlign w:val="center"/>
          </w:tcPr>
          <w:p w14:paraId="30D1FC62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6.8 %</w:t>
            </w:r>
          </w:p>
        </w:tc>
      </w:tr>
      <w:tr w:rsidR="0035674B" w:rsidRPr="007E7670" w14:paraId="06F2C915" w14:textId="77777777" w:rsidTr="00A316D6">
        <w:trPr>
          <w:trHeight w:val="963"/>
        </w:trPr>
        <w:tc>
          <w:tcPr>
            <w:tcW w:w="1778" w:type="dxa"/>
          </w:tcPr>
          <w:p w14:paraId="668E0DB1" w14:textId="77777777" w:rsidR="0035674B" w:rsidRPr="007E7670" w:rsidRDefault="0035674B" w:rsidP="00A316D6">
            <w:pPr>
              <w:spacing w:after="120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Calibri" w:cstheme="minorHAnsi"/>
                <w:bCs/>
              </w:rPr>
              <w:t>Ratio young people with migration backgroun</w:t>
            </w:r>
            <w:r w:rsidRPr="007E7670">
              <w:rPr>
                <w:rFonts w:eastAsia="MS Mincho" w:cstheme="minorHAnsi"/>
                <w:bCs/>
                <w:lang w:eastAsia="de-DE"/>
              </w:rPr>
              <w:t>d</w:t>
            </w:r>
          </w:p>
        </w:tc>
        <w:tc>
          <w:tcPr>
            <w:tcW w:w="1256" w:type="dxa"/>
            <w:vAlign w:val="center"/>
          </w:tcPr>
          <w:p w14:paraId="72B02CC5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52.0 %</w:t>
            </w:r>
          </w:p>
        </w:tc>
        <w:tc>
          <w:tcPr>
            <w:tcW w:w="1264" w:type="dxa"/>
            <w:vAlign w:val="center"/>
          </w:tcPr>
          <w:p w14:paraId="6BB280DE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43.0 %</w:t>
            </w:r>
          </w:p>
        </w:tc>
        <w:tc>
          <w:tcPr>
            <w:tcW w:w="1264" w:type="dxa"/>
            <w:vAlign w:val="center"/>
          </w:tcPr>
          <w:p w14:paraId="3A06B5DE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26.0 %</w:t>
            </w:r>
          </w:p>
        </w:tc>
        <w:tc>
          <w:tcPr>
            <w:tcW w:w="1266" w:type="dxa"/>
            <w:vAlign w:val="center"/>
          </w:tcPr>
          <w:p w14:paraId="2E7BCACF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39.0 %</w:t>
            </w:r>
          </w:p>
        </w:tc>
        <w:tc>
          <w:tcPr>
            <w:tcW w:w="1266" w:type="dxa"/>
            <w:vAlign w:val="center"/>
          </w:tcPr>
          <w:p w14:paraId="5E2033C6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67.0 %</w:t>
            </w:r>
          </w:p>
        </w:tc>
        <w:tc>
          <w:tcPr>
            <w:tcW w:w="1266" w:type="dxa"/>
            <w:vAlign w:val="center"/>
          </w:tcPr>
          <w:p w14:paraId="146F2533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78.0 %</w:t>
            </w:r>
          </w:p>
        </w:tc>
      </w:tr>
      <w:tr w:rsidR="0035674B" w:rsidRPr="007E7670" w14:paraId="45AAC338" w14:textId="77777777" w:rsidTr="00A316D6">
        <w:trPr>
          <w:trHeight w:val="996"/>
        </w:trPr>
        <w:tc>
          <w:tcPr>
            <w:tcW w:w="1778" w:type="dxa"/>
          </w:tcPr>
          <w:p w14:paraId="2B18DCE8" w14:textId="77777777" w:rsidR="0035674B" w:rsidRPr="007E7670" w:rsidRDefault="0035674B" w:rsidP="00A316D6">
            <w:pPr>
              <w:spacing w:after="120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Ratio</w:t>
            </w:r>
            <w:r w:rsidRPr="007E7670">
              <w:rPr>
                <w:rFonts w:eastAsia="Calibri" w:cstheme="minorHAnsi"/>
                <w:bCs/>
              </w:rPr>
              <w:t xml:space="preserve"> of single-parent households</w:t>
            </w:r>
          </w:p>
        </w:tc>
        <w:tc>
          <w:tcPr>
            <w:tcW w:w="1256" w:type="dxa"/>
            <w:vAlign w:val="center"/>
          </w:tcPr>
          <w:p w14:paraId="73DF858C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22.0 %</w:t>
            </w:r>
          </w:p>
        </w:tc>
        <w:tc>
          <w:tcPr>
            <w:tcW w:w="1264" w:type="dxa"/>
            <w:vAlign w:val="center"/>
          </w:tcPr>
          <w:p w14:paraId="611340D2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21.0 %</w:t>
            </w:r>
          </w:p>
        </w:tc>
        <w:tc>
          <w:tcPr>
            <w:tcW w:w="1264" w:type="dxa"/>
            <w:vAlign w:val="center"/>
          </w:tcPr>
          <w:p w14:paraId="3AAAA6F5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22.5 %</w:t>
            </w:r>
          </w:p>
        </w:tc>
        <w:tc>
          <w:tcPr>
            <w:tcW w:w="1266" w:type="dxa"/>
            <w:vAlign w:val="center"/>
          </w:tcPr>
          <w:p w14:paraId="3FD3E9B5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27.7 %</w:t>
            </w:r>
          </w:p>
        </w:tc>
        <w:tc>
          <w:tcPr>
            <w:tcW w:w="1266" w:type="dxa"/>
            <w:vAlign w:val="center"/>
          </w:tcPr>
          <w:p w14:paraId="3FB9A364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28.3 %</w:t>
            </w:r>
          </w:p>
        </w:tc>
        <w:tc>
          <w:tcPr>
            <w:tcW w:w="1266" w:type="dxa"/>
            <w:vAlign w:val="center"/>
          </w:tcPr>
          <w:p w14:paraId="4FBDF69D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27.1 %</w:t>
            </w:r>
          </w:p>
        </w:tc>
      </w:tr>
      <w:tr w:rsidR="0035674B" w:rsidRPr="007E7670" w14:paraId="5065DF93" w14:textId="77777777" w:rsidTr="00A316D6">
        <w:trPr>
          <w:trHeight w:val="604"/>
        </w:trPr>
        <w:tc>
          <w:tcPr>
            <w:tcW w:w="1778" w:type="dxa"/>
            <w:tcBorders>
              <w:bottom w:val="single" w:sz="8" w:space="0" w:color="000000"/>
            </w:tcBorders>
          </w:tcPr>
          <w:p w14:paraId="4310218C" w14:textId="77777777" w:rsidR="0035674B" w:rsidRPr="007E7670" w:rsidRDefault="0035674B" w:rsidP="00A316D6">
            <w:pPr>
              <w:spacing w:after="120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Ratio of children of households in need of financial aid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  <w:vAlign w:val="center"/>
          </w:tcPr>
          <w:p w14:paraId="5CE3C868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21.2 %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vAlign w:val="center"/>
          </w:tcPr>
          <w:p w14:paraId="298C21BD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4.9 %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vAlign w:val="center"/>
          </w:tcPr>
          <w:p w14:paraId="7FF70EF9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5.8 %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  <w:vAlign w:val="center"/>
          </w:tcPr>
          <w:p w14:paraId="440652F4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34.0 %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  <w:vAlign w:val="center"/>
          </w:tcPr>
          <w:p w14:paraId="41A93514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45.9 %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  <w:vAlign w:val="center"/>
          </w:tcPr>
          <w:p w14:paraId="13662353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35.6 %</w:t>
            </w:r>
          </w:p>
        </w:tc>
      </w:tr>
      <w:tr w:rsidR="0035674B" w:rsidRPr="007E7670" w14:paraId="7FE39D3D" w14:textId="77777777" w:rsidTr="00A316D6">
        <w:trPr>
          <w:trHeight w:val="388"/>
        </w:trPr>
        <w:tc>
          <w:tcPr>
            <w:tcW w:w="1778" w:type="dxa"/>
            <w:tcBorders>
              <w:top w:val="single" w:sz="8" w:space="0" w:color="000000"/>
              <w:bottom w:val="single" w:sz="8" w:space="0" w:color="000000"/>
            </w:tcBorders>
          </w:tcPr>
          <w:p w14:paraId="6F3EDB9F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>Risk of neighborhood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</w:tcBorders>
          </w:tcPr>
          <w:p w14:paraId="597C5F11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14:paraId="1357F635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Low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14:paraId="308CF95D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Low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</w:tcPr>
          <w:p w14:paraId="2B4741C6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High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</w:tcPr>
          <w:p w14:paraId="67B30C5D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High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</w:tcPr>
          <w:p w14:paraId="5AEE37E8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High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</w:tr>
    </w:tbl>
    <w:p w14:paraId="5A1424D2" w14:textId="77777777" w:rsidR="0035674B" w:rsidRPr="007E7670" w:rsidRDefault="0035674B" w:rsidP="0035674B">
      <w:pPr>
        <w:rPr>
          <w:rFonts w:eastAsia="Calibri" w:cstheme="minorHAnsi"/>
        </w:rPr>
      </w:pPr>
      <w:r w:rsidRPr="007E7670">
        <w:rPr>
          <w:rFonts w:eastAsia="Calibri" w:cstheme="minorHAnsi"/>
          <w:i/>
          <w:iCs/>
        </w:rPr>
        <w:t xml:space="preserve">Note. </w:t>
      </w:r>
      <w:r w:rsidRPr="007E7670">
        <w:rPr>
          <w:rFonts w:eastAsia="Calibri" w:cstheme="minorHAnsi"/>
        </w:rPr>
        <w:t>Statistical values according to the federal and municipal statistical data in the year 2013</w:t>
      </w:r>
      <w:r>
        <w:rPr>
          <w:rFonts w:eastAsia="Calibri" w:cstheme="minorHAnsi"/>
        </w:rPr>
        <w:t xml:space="preserve"> (</w:t>
      </w:r>
      <w:r w:rsidRPr="007E7670">
        <w:rPr>
          <w:rFonts w:eastAsia="Calibri" w:cstheme="minorHAnsi"/>
        </w:rPr>
        <w:t>City A (2013)</w:t>
      </w:r>
      <w:r>
        <w:rPr>
          <w:rFonts w:eastAsia="Calibri" w:cstheme="minorHAnsi"/>
        </w:rPr>
        <w:t>)</w:t>
      </w:r>
      <w:r w:rsidRPr="007E7670">
        <w:rPr>
          <w:rFonts w:eastAsia="Calibri" w:cstheme="minorHAnsi"/>
        </w:rPr>
        <w:t>. Italicized numbers indicate that the ratio is above the city’s average.</w:t>
      </w:r>
    </w:p>
    <w:p w14:paraId="51D56946" w14:textId="77777777" w:rsidR="0035674B" w:rsidRPr="007E7670" w:rsidRDefault="0035674B" w:rsidP="0035674B">
      <w:pPr>
        <w:rPr>
          <w:rFonts w:eastAsia="Calibri" w:cstheme="minorHAnsi"/>
          <w:iCs/>
        </w:rPr>
      </w:pPr>
      <w:r w:rsidRPr="007E7670">
        <w:rPr>
          <w:rFonts w:eastAsia="Calibri" w:cstheme="minorHAnsi"/>
          <w:i/>
        </w:rPr>
        <w:br w:type="page"/>
      </w:r>
    </w:p>
    <w:p w14:paraId="03348C3C" w14:textId="2A8D65A8" w:rsidR="0035674B" w:rsidRPr="007E7670" w:rsidRDefault="001C636A" w:rsidP="001C636A">
      <w:pPr>
        <w:pStyle w:val="berschrift2"/>
        <w:numPr>
          <w:ilvl w:val="0"/>
          <w:numId w:val="0"/>
        </w:numPr>
      </w:pPr>
      <w:r>
        <w:lastRenderedPageBreak/>
        <w:t>Table 2</w:t>
      </w:r>
    </w:p>
    <w:p w14:paraId="11F47932" w14:textId="77777777" w:rsidR="0035674B" w:rsidRPr="007E7670" w:rsidRDefault="0035674B" w:rsidP="0035674B">
      <w:pPr>
        <w:rPr>
          <w:rFonts w:eastAsia="Calibri" w:cstheme="minorHAnsi"/>
        </w:rPr>
      </w:pPr>
      <w:r w:rsidRPr="007E7670">
        <w:rPr>
          <w:rFonts w:eastAsia="Calibri" w:cstheme="minorHAnsi"/>
        </w:rPr>
        <w:t>Neighborhood Risk Characteristics for the City Average as well as the Participants’ Neighborhoods of City B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276"/>
        <w:gridCol w:w="1275"/>
        <w:gridCol w:w="1276"/>
        <w:gridCol w:w="1280"/>
      </w:tblGrid>
      <w:tr w:rsidR="0035674B" w:rsidRPr="007E7670" w14:paraId="40028B0C" w14:textId="77777777" w:rsidTr="00A316D6"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14:paraId="6ADA2AC3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Risk characteristics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4EA76324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B (total)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06932FED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B1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57A25463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B2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14:paraId="098C4A23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B3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6604D0F7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B4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 w14:paraId="61D19308" w14:textId="77777777" w:rsidR="0035674B" w:rsidRPr="007E7670" w:rsidRDefault="0035674B" w:rsidP="00A316D6">
            <w:pPr>
              <w:jc w:val="center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City District B5</w:t>
            </w:r>
          </w:p>
        </w:tc>
      </w:tr>
      <w:tr w:rsidR="0035674B" w:rsidRPr="007E7670" w14:paraId="3F21BA0A" w14:textId="77777777" w:rsidTr="00A316D6">
        <w:trPr>
          <w:trHeight w:val="20"/>
        </w:trPr>
        <w:tc>
          <w:tcPr>
            <w:tcW w:w="1843" w:type="dxa"/>
            <w:tcBorders>
              <w:top w:val="single" w:sz="8" w:space="0" w:color="000000"/>
            </w:tcBorders>
          </w:tcPr>
          <w:p w14:paraId="3C9D2FD7" w14:textId="77777777" w:rsidR="0035674B" w:rsidRPr="007E7670" w:rsidRDefault="0035674B" w:rsidP="00A316D6">
            <w:pPr>
              <w:spacing w:after="120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 xml:space="preserve">Ratio of unemployment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754114D5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2.8 %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14:paraId="5CC92564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1.6 %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14:paraId="2BAC4A77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2.4 %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vAlign w:val="center"/>
          </w:tcPr>
          <w:p w14:paraId="0BB1889B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2.9 %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14:paraId="34D25FD3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3.6 %</w:t>
            </w:r>
          </w:p>
        </w:tc>
        <w:tc>
          <w:tcPr>
            <w:tcW w:w="1280" w:type="dxa"/>
            <w:tcBorders>
              <w:top w:val="single" w:sz="8" w:space="0" w:color="000000"/>
            </w:tcBorders>
            <w:vAlign w:val="center"/>
          </w:tcPr>
          <w:p w14:paraId="05B3005E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3.9 %</w:t>
            </w:r>
          </w:p>
        </w:tc>
      </w:tr>
      <w:tr w:rsidR="0035674B" w:rsidRPr="007E7670" w14:paraId="54E0EC0B" w14:textId="77777777" w:rsidTr="00A316D6">
        <w:trPr>
          <w:trHeight w:val="20"/>
        </w:trPr>
        <w:tc>
          <w:tcPr>
            <w:tcW w:w="1843" w:type="dxa"/>
          </w:tcPr>
          <w:p w14:paraId="0BEAEBB3" w14:textId="77777777" w:rsidR="0035674B" w:rsidRPr="007E7670" w:rsidRDefault="0035674B" w:rsidP="00A316D6">
            <w:pPr>
              <w:spacing w:after="120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Calibri" w:cstheme="minorHAnsi"/>
                <w:bCs/>
              </w:rPr>
              <w:t>Ratio young people with migration backgroun</w:t>
            </w:r>
            <w:r w:rsidRPr="007E7670">
              <w:rPr>
                <w:rFonts w:eastAsia="MS Mincho" w:cstheme="minorHAnsi"/>
                <w:bCs/>
                <w:lang w:eastAsia="de-DE"/>
              </w:rPr>
              <w:t>d</w:t>
            </w:r>
          </w:p>
        </w:tc>
        <w:tc>
          <w:tcPr>
            <w:tcW w:w="1134" w:type="dxa"/>
            <w:vAlign w:val="center"/>
          </w:tcPr>
          <w:p w14:paraId="4E60F23E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38.0 %</w:t>
            </w:r>
          </w:p>
        </w:tc>
        <w:tc>
          <w:tcPr>
            <w:tcW w:w="1276" w:type="dxa"/>
            <w:vAlign w:val="center"/>
          </w:tcPr>
          <w:p w14:paraId="783A018C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30.0 %</w:t>
            </w:r>
          </w:p>
        </w:tc>
        <w:tc>
          <w:tcPr>
            <w:tcW w:w="1276" w:type="dxa"/>
            <w:vAlign w:val="center"/>
          </w:tcPr>
          <w:p w14:paraId="645A4D92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36.0 %</w:t>
            </w:r>
          </w:p>
        </w:tc>
        <w:tc>
          <w:tcPr>
            <w:tcW w:w="1275" w:type="dxa"/>
            <w:vAlign w:val="center"/>
          </w:tcPr>
          <w:p w14:paraId="775EC1A9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39.0 %</w:t>
            </w:r>
          </w:p>
        </w:tc>
        <w:tc>
          <w:tcPr>
            <w:tcW w:w="1276" w:type="dxa"/>
            <w:vAlign w:val="center"/>
          </w:tcPr>
          <w:p w14:paraId="0938789E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52.0 %</w:t>
            </w:r>
          </w:p>
        </w:tc>
        <w:tc>
          <w:tcPr>
            <w:tcW w:w="1280" w:type="dxa"/>
            <w:vAlign w:val="center"/>
          </w:tcPr>
          <w:p w14:paraId="56780191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46.0 %</w:t>
            </w:r>
          </w:p>
        </w:tc>
      </w:tr>
      <w:tr w:rsidR="0035674B" w:rsidRPr="007E7670" w14:paraId="1BB08133" w14:textId="77777777" w:rsidTr="00A316D6">
        <w:trPr>
          <w:trHeight w:val="20"/>
        </w:trPr>
        <w:tc>
          <w:tcPr>
            <w:tcW w:w="1843" w:type="dxa"/>
          </w:tcPr>
          <w:p w14:paraId="53CC5011" w14:textId="77777777" w:rsidR="0035674B" w:rsidRPr="007E7670" w:rsidRDefault="0035674B" w:rsidP="00A316D6">
            <w:pPr>
              <w:spacing w:after="120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Ratio</w:t>
            </w:r>
            <w:r w:rsidRPr="007E7670">
              <w:rPr>
                <w:rFonts w:eastAsia="Calibri" w:cstheme="minorHAnsi"/>
                <w:bCs/>
              </w:rPr>
              <w:t xml:space="preserve"> of single-parent households</w:t>
            </w:r>
          </w:p>
        </w:tc>
        <w:tc>
          <w:tcPr>
            <w:tcW w:w="1134" w:type="dxa"/>
            <w:vAlign w:val="center"/>
          </w:tcPr>
          <w:p w14:paraId="60286F7F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26 %</w:t>
            </w:r>
          </w:p>
        </w:tc>
        <w:tc>
          <w:tcPr>
            <w:tcW w:w="1276" w:type="dxa"/>
            <w:vAlign w:val="center"/>
          </w:tcPr>
          <w:p w14:paraId="0A4A3461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18.7 %</w:t>
            </w:r>
          </w:p>
        </w:tc>
        <w:tc>
          <w:tcPr>
            <w:tcW w:w="1276" w:type="dxa"/>
            <w:vAlign w:val="center"/>
          </w:tcPr>
          <w:p w14:paraId="5BC82D86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25.6 %</w:t>
            </w:r>
          </w:p>
        </w:tc>
        <w:tc>
          <w:tcPr>
            <w:tcW w:w="1275" w:type="dxa"/>
            <w:vAlign w:val="center"/>
          </w:tcPr>
          <w:p w14:paraId="2987680A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23.4 %</w:t>
            </w:r>
          </w:p>
        </w:tc>
        <w:tc>
          <w:tcPr>
            <w:tcW w:w="1276" w:type="dxa"/>
            <w:vAlign w:val="center"/>
          </w:tcPr>
          <w:p w14:paraId="4AAF12DC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29.2 %</w:t>
            </w:r>
          </w:p>
        </w:tc>
        <w:tc>
          <w:tcPr>
            <w:tcW w:w="1280" w:type="dxa"/>
            <w:vAlign w:val="center"/>
          </w:tcPr>
          <w:p w14:paraId="397369D9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lang w:eastAsia="de-DE"/>
              </w:rPr>
            </w:pPr>
            <w:r w:rsidRPr="007E7670">
              <w:rPr>
                <w:rFonts w:eastAsia="MS Mincho" w:cstheme="minorHAnsi"/>
                <w:i/>
                <w:lang w:eastAsia="de-DE"/>
              </w:rPr>
              <w:t>29.3 %</w:t>
            </w:r>
          </w:p>
        </w:tc>
      </w:tr>
      <w:tr w:rsidR="0035674B" w:rsidRPr="007E7670" w14:paraId="4497746A" w14:textId="77777777" w:rsidTr="00A316D6">
        <w:trPr>
          <w:trHeight w:val="20"/>
        </w:trPr>
        <w:tc>
          <w:tcPr>
            <w:tcW w:w="1843" w:type="dxa"/>
            <w:tcBorders>
              <w:bottom w:val="single" w:sz="8" w:space="0" w:color="000000"/>
            </w:tcBorders>
          </w:tcPr>
          <w:p w14:paraId="5D59536C" w14:textId="77777777" w:rsidR="0035674B" w:rsidRPr="007E7670" w:rsidRDefault="0035674B" w:rsidP="00A316D6">
            <w:pPr>
              <w:spacing w:after="120"/>
              <w:rPr>
                <w:rFonts w:eastAsia="MS Mincho" w:cstheme="minorHAnsi"/>
                <w:bCs/>
                <w:lang w:eastAsia="de-DE"/>
              </w:rPr>
            </w:pPr>
            <w:r w:rsidRPr="007E7670">
              <w:rPr>
                <w:rFonts w:eastAsia="MS Mincho" w:cstheme="minorHAnsi"/>
                <w:bCs/>
                <w:lang w:eastAsia="de-DE"/>
              </w:rPr>
              <w:t>Ratio of children of households in need of financial aid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46E24487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8.0 %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716BD744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2.4 %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512E3EF1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lang w:eastAsia="de-DE"/>
              </w:rPr>
            </w:pPr>
            <w:r w:rsidRPr="007E7670">
              <w:rPr>
                <w:rFonts w:eastAsia="MS Mincho" w:cstheme="minorHAnsi"/>
                <w:lang w:eastAsia="de-DE"/>
              </w:rPr>
              <w:t>6.0 %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vAlign w:val="center"/>
          </w:tcPr>
          <w:p w14:paraId="76318B79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iCs/>
                <w:lang w:eastAsia="de-DE"/>
              </w:rPr>
            </w:pPr>
            <w:r w:rsidRPr="007E7670">
              <w:rPr>
                <w:rFonts w:eastAsia="MS Mincho" w:cstheme="minorHAnsi"/>
                <w:i/>
                <w:iCs/>
                <w:lang w:eastAsia="de-DE"/>
              </w:rPr>
              <w:t>10.5 %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65C09EAF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iCs/>
                <w:lang w:eastAsia="de-DE"/>
              </w:rPr>
            </w:pPr>
            <w:r w:rsidRPr="007E7670">
              <w:rPr>
                <w:rFonts w:eastAsia="MS Mincho" w:cstheme="minorHAnsi"/>
                <w:i/>
                <w:iCs/>
                <w:lang w:eastAsia="de-DE"/>
              </w:rPr>
              <w:t>9.4 %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  <w:vAlign w:val="center"/>
          </w:tcPr>
          <w:p w14:paraId="299497FC" w14:textId="77777777" w:rsidR="0035674B" w:rsidRPr="007E7670" w:rsidRDefault="0035674B" w:rsidP="00A316D6">
            <w:pPr>
              <w:spacing w:after="120"/>
              <w:jc w:val="center"/>
              <w:rPr>
                <w:rFonts w:eastAsia="MS Mincho" w:cstheme="minorHAnsi"/>
                <w:i/>
                <w:iCs/>
                <w:lang w:eastAsia="de-DE"/>
              </w:rPr>
            </w:pPr>
            <w:r w:rsidRPr="007E7670">
              <w:rPr>
                <w:rFonts w:eastAsia="MS Mincho" w:cstheme="minorHAnsi"/>
                <w:i/>
                <w:iCs/>
                <w:lang w:eastAsia="de-DE"/>
              </w:rPr>
              <w:t>8.5 %</w:t>
            </w:r>
          </w:p>
        </w:tc>
      </w:tr>
      <w:tr w:rsidR="0035674B" w:rsidRPr="007E7670" w14:paraId="2E72D599" w14:textId="77777777" w:rsidTr="00A316D6"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14:paraId="0159E67F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>Risk of neighborhood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70EC3D66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31FC52CA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Low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3800E194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Low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14:paraId="14DACE93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High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29338EC8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High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 w14:paraId="39F95D08" w14:textId="77777777" w:rsidR="0035674B" w:rsidRPr="007E7670" w:rsidRDefault="0035674B" w:rsidP="00A316D6">
            <w:pPr>
              <w:rPr>
                <w:rFonts w:eastAsia="MS Mincho" w:cstheme="minorHAnsi"/>
                <w:b/>
                <w:lang w:eastAsia="de-DE"/>
              </w:rPr>
            </w:pPr>
            <w:r w:rsidRPr="007E7670">
              <w:rPr>
                <w:rFonts w:eastAsia="MS Mincho" w:cstheme="minorHAnsi"/>
                <w:b/>
                <w:lang w:eastAsia="de-DE"/>
              </w:rPr>
              <w:t xml:space="preserve">High risk </w:t>
            </w:r>
            <w:proofErr w:type="gramStart"/>
            <w:r w:rsidRPr="007E7670">
              <w:rPr>
                <w:rFonts w:eastAsia="MS Mincho" w:cstheme="minorHAnsi"/>
                <w:b/>
                <w:lang w:eastAsia="de-DE"/>
              </w:rPr>
              <w:t>neighbor-hood</w:t>
            </w:r>
            <w:proofErr w:type="gramEnd"/>
          </w:p>
        </w:tc>
      </w:tr>
    </w:tbl>
    <w:p w14:paraId="06791252" w14:textId="63324DC3" w:rsidR="0035674B" w:rsidRPr="007E7670" w:rsidRDefault="0035674B" w:rsidP="0035674B">
      <w:r w:rsidRPr="007E7670">
        <w:rPr>
          <w:rFonts w:eastAsia="Calibri" w:cstheme="minorHAnsi"/>
          <w:i/>
          <w:iCs/>
        </w:rPr>
        <w:t xml:space="preserve">Note. </w:t>
      </w:r>
      <w:r w:rsidRPr="007E7670">
        <w:rPr>
          <w:rFonts w:eastAsia="Calibri" w:cstheme="minorHAnsi"/>
        </w:rPr>
        <w:t>Statistical values according to the federal and municipal statistical data in the years 2013-2018</w:t>
      </w:r>
      <w:r>
        <w:rPr>
          <w:rFonts w:eastAsia="Calibri" w:cstheme="minorHAnsi"/>
        </w:rPr>
        <w:t xml:space="preserve"> (</w:t>
      </w:r>
      <w:proofErr w:type="spellStart"/>
      <w:r w:rsidRPr="007E7670">
        <w:rPr>
          <w:rFonts w:eastAsia="Calibri" w:cstheme="minorHAnsi"/>
        </w:rPr>
        <w:t>Bundesagentur</w:t>
      </w:r>
      <w:proofErr w:type="spellEnd"/>
      <w:r w:rsidRPr="007E7670">
        <w:rPr>
          <w:rFonts w:eastAsia="Calibri" w:cstheme="minorHAnsi"/>
        </w:rPr>
        <w:t xml:space="preserve"> </w:t>
      </w:r>
      <w:proofErr w:type="spellStart"/>
      <w:r w:rsidRPr="007E7670">
        <w:rPr>
          <w:rFonts w:eastAsia="Calibri" w:cstheme="minorHAnsi"/>
        </w:rPr>
        <w:t>für</w:t>
      </w:r>
      <w:proofErr w:type="spellEnd"/>
      <w:r w:rsidRPr="007E7670">
        <w:rPr>
          <w:rFonts w:eastAsia="Calibri" w:cstheme="minorHAnsi"/>
        </w:rPr>
        <w:t xml:space="preserve"> Arbeit</w:t>
      </w:r>
      <w:r>
        <w:rPr>
          <w:rFonts w:eastAsia="Calibri" w:cstheme="minorHAnsi"/>
        </w:rPr>
        <w:t xml:space="preserve"> (</w:t>
      </w:r>
      <w:r w:rsidRPr="007E7670">
        <w:rPr>
          <w:rFonts w:eastAsia="Calibri" w:cstheme="minorHAnsi"/>
        </w:rPr>
        <w:t>2015)</w:t>
      </w:r>
      <w:r>
        <w:rPr>
          <w:rFonts w:eastAsia="Calibri" w:cstheme="minorHAnsi"/>
        </w:rPr>
        <w:t>;</w:t>
      </w:r>
      <w:r w:rsidRPr="007E7670">
        <w:rPr>
          <w:rFonts w:eastAsia="Calibri" w:cstheme="minorHAnsi"/>
        </w:rPr>
        <w:t xml:space="preserve"> City B (201</w:t>
      </w:r>
      <w:r w:rsidR="00870692">
        <w:rPr>
          <w:rFonts w:eastAsia="Calibri" w:cstheme="minorHAnsi"/>
        </w:rPr>
        <w:t>3</w:t>
      </w:r>
      <w:r w:rsidRPr="007E7670">
        <w:rPr>
          <w:rFonts w:eastAsia="Calibri" w:cstheme="minorHAnsi"/>
        </w:rPr>
        <w:t>)</w:t>
      </w:r>
      <w:r>
        <w:rPr>
          <w:rFonts w:eastAsia="Calibri" w:cstheme="minorHAnsi"/>
        </w:rPr>
        <w:t>;</w:t>
      </w:r>
      <w:r w:rsidRPr="007E7670">
        <w:rPr>
          <w:rFonts w:eastAsia="Calibri" w:cstheme="minorHAnsi"/>
        </w:rPr>
        <w:t xml:space="preserve"> City B (201</w:t>
      </w:r>
      <w:r w:rsidR="00870692">
        <w:rPr>
          <w:rFonts w:eastAsia="Calibri" w:cstheme="minorHAnsi"/>
        </w:rPr>
        <w:t>4</w:t>
      </w:r>
      <w:r w:rsidRPr="007E7670">
        <w:rPr>
          <w:rFonts w:eastAsia="Calibri" w:cstheme="minorHAnsi"/>
        </w:rPr>
        <w:t>)</w:t>
      </w:r>
      <w:r>
        <w:rPr>
          <w:rFonts w:eastAsia="Calibri" w:cstheme="minorHAnsi"/>
        </w:rPr>
        <w:t>;</w:t>
      </w:r>
      <w:r w:rsidRPr="007E7670">
        <w:rPr>
          <w:rFonts w:eastAsia="Calibri" w:cstheme="minorHAnsi"/>
        </w:rPr>
        <w:t xml:space="preserve"> City B (201</w:t>
      </w:r>
      <w:r w:rsidR="00870692">
        <w:rPr>
          <w:rFonts w:eastAsia="Calibri" w:cstheme="minorHAnsi"/>
        </w:rPr>
        <w:t>8</w:t>
      </w:r>
      <w:r w:rsidRPr="007E7670">
        <w:rPr>
          <w:rFonts w:eastAsia="Calibri" w:cstheme="minorHAnsi"/>
        </w:rPr>
        <w:t>)</w:t>
      </w:r>
      <w:r>
        <w:rPr>
          <w:rFonts w:eastAsia="Calibri" w:cstheme="minorHAnsi"/>
        </w:rPr>
        <w:t>)</w:t>
      </w:r>
      <w:r w:rsidRPr="007E7670">
        <w:rPr>
          <w:rFonts w:eastAsia="Calibri" w:cstheme="minorHAnsi"/>
        </w:rPr>
        <w:t>. Italicized numbers indicate that the ratio is above the city’s average.</w:t>
      </w:r>
    </w:p>
    <w:p w14:paraId="6DC08F0E" w14:textId="77777777" w:rsidR="000F7663" w:rsidRDefault="00F27E99"/>
    <w:sectPr w:rsidR="000F7663" w:rsidSect="00281D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4B"/>
    <w:rsid w:val="00000125"/>
    <w:rsid w:val="00007558"/>
    <w:rsid w:val="0001562E"/>
    <w:rsid w:val="00017BBA"/>
    <w:rsid w:val="00025B66"/>
    <w:rsid w:val="00037010"/>
    <w:rsid w:val="00070B42"/>
    <w:rsid w:val="00074F47"/>
    <w:rsid w:val="000832E8"/>
    <w:rsid w:val="00094857"/>
    <w:rsid w:val="00097977"/>
    <w:rsid w:val="000A2FF1"/>
    <w:rsid w:val="000A5143"/>
    <w:rsid w:val="000B0900"/>
    <w:rsid w:val="000B0EC4"/>
    <w:rsid w:val="000C1203"/>
    <w:rsid w:val="000C30A1"/>
    <w:rsid w:val="000C485C"/>
    <w:rsid w:val="000F10E1"/>
    <w:rsid w:val="000F22AF"/>
    <w:rsid w:val="001017E3"/>
    <w:rsid w:val="00114260"/>
    <w:rsid w:val="00122B94"/>
    <w:rsid w:val="0012471B"/>
    <w:rsid w:val="001276B5"/>
    <w:rsid w:val="0012792F"/>
    <w:rsid w:val="00131103"/>
    <w:rsid w:val="00136CB3"/>
    <w:rsid w:val="00145107"/>
    <w:rsid w:val="00153524"/>
    <w:rsid w:val="00156E3B"/>
    <w:rsid w:val="00164FD4"/>
    <w:rsid w:val="001813AB"/>
    <w:rsid w:val="0019507C"/>
    <w:rsid w:val="00195ACE"/>
    <w:rsid w:val="00196C6B"/>
    <w:rsid w:val="001A587E"/>
    <w:rsid w:val="001B370F"/>
    <w:rsid w:val="001B6EDD"/>
    <w:rsid w:val="001C636A"/>
    <w:rsid w:val="001C7AE7"/>
    <w:rsid w:val="001D2305"/>
    <w:rsid w:val="001E3A95"/>
    <w:rsid w:val="001E73E8"/>
    <w:rsid w:val="001F163F"/>
    <w:rsid w:val="001F4288"/>
    <w:rsid w:val="001F4AA3"/>
    <w:rsid w:val="001F7703"/>
    <w:rsid w:val="001F7A91"/>
    <w:rsid w:val="00202484"/>
    <w:rsid w:val="0020378C"/>
    <w:rsid w:val="002068B8"/>
    <w:rsid w:val="0021506F"/>
    <w:rsid w:val="0022214C"/>
    <w:rsid w:val="00232789"/>
    <w:rsid w:val="00242CC5"/>
    <w:rsid w:val="0025680C"/>
    <w:rsid w:val="00281D9A"/>
    <w:rsid w:val="00292F0D"/>
    <w:rsid w:val="002930F1"/>
    <w:rsid w:val="00293709"/>
    <w:rsid w:val="0029446A"/>
    <w:rsid w:val="002A30AA"/>
    <w:rsid w:val="002A67AF"/>
    <w:rsid w:val="002A7676"/>
    <w:rsid w:val="002C4CA3"/>
    <w:rsid w:val="002D3FE6"/>
    <w:rsid w:val="002D60B5"/>
    <w:rsid w:val="002D7A3C"/>
    <w:rsid w:val="002E5765"/>
    <w:rsid w:val="002E5C9C"/>
    <w:rsid w:val="002E5F94"/>
    <w:rsid w:val="002F3BDE"/>
    <w:rsid w:val="002F62EF"/>
    <w:rsid w:val="00300E22"/>
    <w:rsid w:val="00310A73"/>
    <w:rsid w:val="00310AD6"/>
    <w:rsid w:val="003112EF"/>
    <w:rsid w:val="00324B9D"/>
    <w:rsid w:val="00332C9D"/>
    <w:rsid w:val="00342756"/>
    <w:rsid w:val="0034432A"/>
    <w:rsid w:val="00350CC4"/>
    <w:rsid w:val="0035674B"/>
    <w:rsid w:val="00356839"/>
    <w:rsid w:val="003602D6"/>
    <w:rsid w:val="0038181D"/>
    <w:rsid w:val="00393FA7"/>
    <w:rsid w:val="00395543"/>
    <w:rsid w:val="00397EB6"/>
    <w:rsid w:val="003B1B3B"/>
    <w:rsid w:val="003C0A3A"/>
    <w:rsid w:val="003C1261"/>
    <w:rsid w:val="003C1A59"/>
    <w:rsid w:val="003D1036"/>
    <w:rsid w:val="003D4645"/>
    <w:rsid w:val="003D5216"/>
    <w:rsid w:val="003E0634"/>
    <w:rsid w:val="003E1C5B"/>
    <w:rsid w:val="003E76C4"/>
    <w:rsid w:val="003F13BF"/>
    <w:rsid w:val="003F55B4"/>
    <w:rsid w:val="00402DE0"/>
    <w:rsid w:val="004238F8"/>
    <w:rsid w:val="0043182F"/>
    <w:rsid w:val="004341EB"/>
    <w:rsid w:val="0044259A"/>
    <w:rsid w:val="004466AB"/>
    <w:rsid w:val="00455E15"/>
    <w:rsid w:val="00461688"/>
    <w:rsid w:val="00462572"/>
    <w:rsid w:val="004711EC"/>
    <w:rsid w:val="00485B8C"/>
    <w:rsid w:val="004B619D"/>
    <w:rsid w:val="004C2BDA"/>
    <w:rsid w:val="004C49F0"/>
    <w:rsid w:val="004E12EB"/>
    <w:rsid w:val="004E6421"/>
    <w:rsid w:val="004E7B19"/>
    <w:rsid w:val="004E7C13"/>
    <w:rsid w:val="004E7CD8"/>
    <w:rsid w:val="004F0BDB"/>
    <w:rsid w:val="004F5ED8"/>
    <w:rsid w:val="004F5FF8"/>
    <w:rsid w:val="00500C02"/>
    <w:rsid w:val="0050166A"/>
    <w:rsid w:val="0050716C"/>
    <w:rsid w:val="005108C1"/>
    <w:rsid w:val="00513A5E"/>
    <w:rsid w:val="00513D1B"/>
    <w:rsid w:val="00517D44"/>
    <w:rsid w:val="005253A8"/>
    <w:rsid w:val="00531F04"/>
    <w:rsid w:val="00532457"/>
    <w:rsid w:val="0053303A"/>
    <w:rsid w:val="00546394"/>
    <w:rsid w:val="00564C78"/>
    <w:rsid w:val="00577BD5"/>
    <w:rsid w:val="005A7A11"/>
    <w:rsid w:val="005C444D"/>
    <w:rsid w:val="005D1276"/>
    <w:rsid w:val="005D354D"/>
    <w:rsid w:val="005E42D4"/>
    <w:rsid w:val="00611681"/>
    <w:rsid w:val="00615622"/>
    <w:rsid w:val="00620978"/>
    <w:rsid w:val="006238C8"/>
    <w:rsid w:val="00627BCC"/>
    <w:rsid w:val="00647D70"/>
    <w:rsid w:val="00653F3E"/>
    <w:rsid w:val="006556EE"/>
    <w:rsid w:val="00665C32"/>
    <w:rsid w:val="006748EC"/>
    <w:rsid w:val="00675F62"/>
    <w:rsid w:val="00687144"/>
    <w:rsid w:val="006903DC"/>
    <w:rsid w:val="0069532A"/>
    <w:rsid w:val="006970A7"/>
    <w:rsid w:val="006A2DDD"/>
    <w:rsid w:val="006A457E"/>
    <w:rsid w:val="006B654F"/>
    <w:rsid w:val="006C114D"/>
    <w:rsid w:val="006C3E3A"/>
    <w:rsid w:val="006D7A64"/>
    <w:rsid w:val="006E0849"/>
    <w:rsid w:val="006E2405"/>
    <w:rsid w:val="006E31AB"/>
    <w:rsid w:val="006F6C9F"/>
    <w:rsid w:val="006F7912"/>
    <w:rsid w:val="00700450"/>
    <w:rsid w:val="00703708"/>
    <w:rsid w:val="00705529"/>
    <w:rsid w:val="0071000D"/>
    <w:rsid w:val="00715FEE"/>
    <w:rsid w:val="00717E4A"/>
    <w:rsid w:val="00723FBF"/>
    <w:rsid w:val="00726ED2"/>
    <w:rsid w:val="007275BC"/>
    <w:rsid w:val="00733E49"/>
    <w:rsid w:val="00740083"/>
    <w:rsid w:val="0074095A"/>
    <w:rsid w:val="00740BE1"/>
    <w:rsid w:val="00745859"/>
    <w:rsid w:val="0075378D"/>
    <w:rsid w:val="00773998"/>
    <w:rsid w:val="00787BD0"/>
    <w:rsid w:val="00792E85"/>
    <w:rsid w:val="007A55C5"/>
    <w:rsid w:val="007B474D"/>
    <w:rsid w:val="007B4C19"/>
    <w:rsid w:val="007D2520"/>
    <w:rsid w:val="007E298A"/>
    <w:rsid w:val="007E4597"/>
    <w:rsid w:val="007E58A4"/>
    <w:rsid w:val="008152A4"/>
    <w:rsid w:val="00815E51"/>
    <w:rsid w:val="008200AF"/>
    <w:rsid w:val="008213DF"/>
    <w:rsid w:val="00825B1F"/>
    <w:rsid w:val="00843552"/>
    <w:rsid w:val="00844C4D"/>
    <w:rsid w:val="008478B6"/>
    <w:rsid w:val="00853EA0"/>
    <w:rsid w:val="008553C4"/>
    <w:rsid w:val="00870692"/>
    <w:rsid w:val="008753BC"/>
    <w:rsid w:val="008851B6"/>
    <w:rsid w:val="00893051"/>
    <w:rsid w:val="008B66EE"/>
    <w:rsid w:val="008D3B11"/>
    <w:rsid w:val="00905918"/>
    <w:rsid w:val="009103DD"/>
    <w:rsid w:val="009112F5"/>
    <w:rsid w:val="00925336"/>
    <w:rsid w:val="009310E7"/>
    <w:rsid w:val="009327FE"/>
    <w:rsid w:val="00940E62"/>
    <w:rsid w:val="00941C86"/>
    <w:rsid w:val="00942287"/>
    <w:rsid w:val="00942D44"/>
    <w:rsid w:val="009700B4"/>
    <w:rsid w:val="009716EA"/>
    <w:rsid w:val="009743EE"/>
    <w:rsid w:val="009850DA"/>
    <w:rsid w:val="00995529"/>
    <w:rsid w:val="009A349A"/>
    <w:rsid w:val="009B05F4"/>
    <w:rsid w:val="009B14A8"/>
    <w:rsid w:val="009B6399"/>
    <w:rsid w:val="009C1048"/>
    <w:rsid w:val="009C1B71"/>
    <w:rsid w:val="009D463C"/>
    <w:rsid w:val="009D6148"/>
    <w:rsid w:val="009E0875"/>
    <w:rsid w:val="009F11A5"/>
    <w:rsid w:val="009F65B3"/>
    <w:rsid w:val="009F7F3E"/>
    <w:rsid w:val="00A1187A"/>
    <w:rsid w:val="00A2141B"/>
    <w:rsid w:val="00A24198"/>
    <w:rsid w:val="00A6024A"/>
    <w:rsid w:val="00A67158"/>
    <w:rsid w:val="00A7007F"/>
    <w:rsid w:val="00A711BF"/>
    <w:rsid w:val="00A76665"/>
    <w:rsid w:val="00A9437D"/>
    <w:rsid w:val="00A950F7"/>
    <w:rsid w:val="00A96042"/>
    <w:rsid w:val="00AA08AF"/>
    <w:rsid w:val="00AB1961"/>
    <w:rsid w:val="00AB55BF"/>
    <w:rsid w:val="00AD7091"/>
    <w:rsid w:val="00AF0A1C"/>
    <w:rsid w:val="00AF2703"/>
    <w:rsid w:val="00B1103A"/>
    <w:rsid w:val="00B12203"/>
    <w:rsid w:val="00B164DE"/>
    <w:rsid w:val="00B17876"/>
    <w:rsid w:val="00B20544"/>
    <w:rsid w:val="00B236E1"/>
    <w:rsid w:val="00B27765"/>
    <w:rsid w:val="00B57E04"/>
    <w:rsid w:val="00B64AD1"/>
    <w:rsid w:val="00B66398"/>
    <w:rsid w:val="00B720C6"/>
    <w:rsid w:val="00B84A4B"/>
    <w:rsid w:val="00B90950"/>
    <w:rsid w:val="00B90FED"/>
    <w:rsid w:val="00B976FC"/>
    <w:rsid w:val="00BA1253"/>
    <w:rsid w:val="00BA63A6"/>
    <w:rsid w:val="00BC3665"/>
    <w:rsid w:val="00BD532C"/>
    <w:rsid w:val="00BD6D7E"/>
    <w:rsid w:val="00BE0CBD"/>
    <w:rsid w:val="00BE6372"/>
    <w:rsid w:val="00C031AC"/>
    <w:rsid w:val="00C05162"/>
    <w:rsid w:val="00C07EAD"/>
    <w:rsid w:val="00C10ADC"/>
    <w:rsid w:val="00C15A30"/>
    <w:rsid w:val="00C243BD"/>
    <w:rsid w:val="00C307E6"/>
    <w:rsid w:val="00C3612A"/>
    <w:rsid w:val="00C40825"/>
    <w:rsid w:val="00C42BA2"/>
    <w:rsid w:val="00C47A0D"/>
    <w:rsid w:val="00C552FA"/>
    <w:rsid w:val="00C5678C"/>
    <w:rsid w:val="00C65369"/>
    <w:rsid w:val="00C73A44"/>
    <w:rsid w:val="00C77192"/>
    <w:rsid w:val="00C77270"/>
    <w:rsid w:val="00CB0878"/>
    <w:rsid w:val="00CB0FCF"/>
    <w:rsid w:val="00CC74E3"/>
    <w:rsid w:val="00CD41DD"/>
    <w:rsid w:val="00CE113F"/>
    <w:rsid w:val="00CF0DA2"/>
    <w:rsid w:val="00CF1162"/>
    <w:rsid w:val="00CF435A"/>
    <w:rsid w:val="00CF4EA4"/>
    <w:rsid w:val="00D07703"/>
    <w:rsid w:val="00D17573"/>
    <w:rsid w:val="00D17697"/>
    <w:rsid w:val="00D23D17"/>
    <w:rsid w:val="00D348B4"/>
    <w:rsid w:val="00D42AF7"/>
    <w:rsid w:val="00D503CE"/>
    <w:rsid w:val="00D52884"/>
    <w:rsid w:val="00D555D0"/>
    <w:rsid w:val="00D576E0"/>
    <w:rsid w:val="00D630B4"/>
    <w:rsid w:val="00D66096"/>
    <w:rsid w:val="00D751F3"/>
    <w:rsid w:val="00D81B8F"/>
    <w:rsid w:val="00D86236"/>
    <w:rsid w:val="00D90F2B"/>
    <w:rsid w:val="00D92A33"/>
    <w:rsid w:val="00DA2E03"/>
    <w:rsid w:val="00DB100B"/>
    <w:rsid w:val="00DB19E5"/>
    <w:rsid w:val="00DB1A76"/>
    <w:rsid w:val="00DC35A4"/>
    <w:rsid w:val="00DD6151"/>
    <w:rsid w:val="00DE195D"/>
    <w:rsid w:val="00DF6251"/>
    <w:rsid w:val="00E1493A"/>
    <w:rsid w:val="00E14CB7"/>
    <w:rsid w:val="00E25B2B"/>
    <w:rsid w:val="00E272BD"/>
    <w:rsid w:val="00E40BD2"/>
    <w:rsid w:val="00E606E8"/>
    <w:rsid w:val="00E652A9"/>
    <w:rsid w:val="00E66DD5"/>
    <w:rsid w:val="00E72823"/>
    <w:rsid w:val="00EA0415"/>
    <w:rsid w:val="00EA0DED"/>
    <w:rsid w:val="00EA1578"/>
    <w:rsid w:val="00EB0D36"/>
    <w:rsid w:val="00EB2D75"/>
    <w:rsid w:val="00EB78C5"/>
    <w:rsid w:val="00EC01A1"/>
    <w:rsid w:val="00EC62CA"/>
    <w:rsid w:val="00EE0728"/>
    <w:rsid w:val="00EE7DE9"/>
    <w:rsid w:val="00F2061C"/>
    <w:rsid w:val="00F27E99"/>
    <w:rsid w:val="00F30DF0"/>
    <w:rsid w:val="00F45401"/>
    <w:rsid w:val="00F4742A"/>
    <w:rsid w:val="00F572F3"/>
    <w:rsid w:val="00F60D1F"/>
    <w:rsid w:val="00F60DFE"/>
    <w:rsid w:val="00F63FC1"/>
    <w:rsid w:val="00F666E8"/>
    <w:rsid w:val="00F71C4A"/>
    <w:rsid w:val="00F95934"/>
    <w:rsid w:val="00FE0FB1"/>
    <w:rsid w:val="00FE30DC"/>
    <w:rsid w:val="00FE6324"/>
    <w:rsid w:val="00FF553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2FA0B"/>
  <w15:chartTrackingRefBased/>
  <w15:docId w15:val="{E44B55B7-5303-614A-9FD5-03937499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5674B"/>
    <w:pPr>
      <w:spacing w:before="120" w:after="240"/>
    </w:pPr>
    <w:rPr>
      <w:rFonts w:ascii="Times New Roman" w:hAnsi="Times New Roman"/>
      <w:szCs w:val="22"/>
      <w:lang w:val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35674B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35674B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35674B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35674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35674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5674B"/>
    <w:rPr>
      <w:rFonts w:ascii="Times New Roman" w:eastAsia="Cambria" w:hAnsi="Times New Roman" w:cs="Times New Roman"/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35674B"/>
    <w:rPr>
      <w:rFonts w:ascii="Times New Roman" w:eastAsia="Cambria" w:hAnsi="Times New Roman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35674B"/>
    <w:rPr>
      <w:rFonts w:ascii="Times New Roman" w:eastAsiaTheme="majorEastAsia" w:hAnsi="Times New Roman" w:cstheme="majorBidi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35674B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35674B"/>
    <w:rPr>
      <w:rFonts w:ascii="Times New Roman" w:eastAsiaTheme="majorEastAsia" w:hAnsi="Times New Roman" w:cstheme="majorBidi"/>
      <w:b/>
      <w:iCs/>
      <w:lang w:val="en-US"/>
    </w:rPr>
  </w:style>
  <w:style w:type="numbering" w:customStyle="1" w:styleId="Headings">
    <w:name w:val="Headings"/>
    <w:uiPriority w:val="99"/>
    <w:rsid w:val="0035674B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567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74B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74B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Deffaa</dc:creator>
  <cp:keywords/>
  <dc:description/>
  <cp:lastModifiedBy>Mirjam Deffaa</cp:lastModifiedBy>
  <cp:revision>3</cp:revision>
  <dcterms:created xsi:type="dcterms:W3CDTF">2020-08-12T07:01:00Z</dcterms:created>
  <dcterms:modified xsi:type="dcterms:W3CDTF">2020-08-12T08:47:00Z</dcterms:modified>
</cp:coreProperties>
</file>