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0FD" w:rsidRDefault="00C210FD" w:rsidP="00C210FD">
      <w:pPr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  <w:lang w:val="en-US"/>
        </w:rPr>
      </w:pPr>
      <w:proofErr w:type="spellStart"/>
      <w:r w:rsidRPr="00933322">
        <w:rPr>
          <w:rFonts w:ascii="Arial" w:hAnsi="Arial" w:cs="Arial"/>
          <w:b/>
          <w:color w:val="222222"/>
          <w:sz w:val="24"/>
          <w:szCs w:val="24"/>
          <w:shd w:val="clear" w:color="auto" w:fill="FFFFFF"/>
          <w:lang w:val="en-US"/>
        </w:rPr>
        <w:t>Celastrol</w:t>
      </w:r>
      <w:proofErr w:type="spellEnd"/>
      <w:r w:rsidRPr="00933322">
        <w:rPr>
          <w:rFonts w:ascii="Arial" w:hAnsi="Arial" w:cs="Arial"/>
          <w:b/>
          <w:color w:val="222222"/>
          <w:sz w:val="24"/>
          <w:szCs w:val="24"/>
          <w:shd w:val="clear" w:color="auto" w:fill="FFFFFF"/>
          <w:lang w:val="en-US"/>
        </w:rPr>
        <w:t xml:space="preserve"> efficacy by oral administration in the</w:t>
      </w:r>
    </w:p>
    <w:p w:rsidR="00C210FD" w:rsidRDefault="00C210FD" w:rsidP="00C210FD">
      <w:pPr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  <w:lang w:val="en-US"/>
        </w:rPr>
      </w:pPr>
      <w:proofErr w:type="gramStart"/>
      <w:r w:rsidRPr="00933322">
        <w:rPr>
          <w:rFonts w:ascii="Arial" w:hAnsi="Arial" w:cs="Arial"/>
          <w:b/>
          <w:color w:val="222222"/>
          <w:sz w:val="24"/>
          <w:szCs w:val="24"/>
          <w:shd w:val="clear" w:color="auto" w:fill="FFFFFF"/>
          <w:lang w:val="en-US"/>
        </w:rPr>
        <w:t>adjuvant-induced</w:t>
      </w:r>
      <w:proofErr w:type="gramEnd"/>
      <w:r w:rsidRPr="00933322">
        <w:rPr>
          <w:rFonts w:ascii="Arial" w:hAnsi="Arial" w:cs="Arial"/>
          <w:b/>
          <w:color w:val="222222"/>
          <w:sz w:val="24"/>
          <w:szCs w:val="24"/>
          <w:shd w:val="clear" w:color="auto" w:fill="FFFFFF"/>
          <w:lang w:val="en-US"/>
        </w:rPr>
        <w:t xml:space="preserve"> arthritis model</w:t>
      </w:r>
    </w:p>
    <w:p w:rsidR="00C210FD" w:rsidRDefault="00C210FD" w:rsidP="00C210FD">
      <w:pPr>
        <w:spacing w:after="160" w:line="480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</w:p>
    <w:p w:rsidR="00C210FD" w:rsidRDefault="00C210FD" w:rsidP="00C210FD">
      <w:pPr>
        <w:spacing w:after="160" w:line="480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bookmarkStart w:id="0" w:name="_GoBack"/>
      <w:bookmarkEnd w:id="0"/>
    </w:p>
    <w:p w:rsidR="00C210FD" w:rsidRDefault="00C210FD" w:rsidP="00C210FD">
      <w:pPr>
        <w:spacing w:after="160" w:line="480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C210FD">
        <w:rPr>
          <w:rFonts w:ascii="Arial" w:eastAsia="Calibri" w:hAnsi="Arial" w:cs="Arial"/>
          <w:b/>
          <w:sz w:val="24"/>
          <w:szCs w:val="24"/>
          <w:lang w:val="en-US"/>
        </w:rPr>
        <w:t>SUPPLEMENTARY MATERIAL</w:t>
      </w:r>
    </w:p>
    <w:p w:rsidR="00C210FD" w:rsidRDefault="00C210FD" w:rsidP="00C210FD">
      <w:pPr>
        <w:spacing w:after="160" w:line="480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</w:p>
    <w:p w:rsidR="00C210FD" w:rsidRPr="00C210FD" w:rsidRDefault="00D118A4" w:rsidP="00C210FD">
      <w:pPr>
        <w:spacing w:after="160" w:line="480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400040" cy="3905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 Fig final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0FD" w:rsidRPr="00C210FD">
        <w:rPr>
          <w:rFonts w:ascii="Arial" w:eastAsia="Calibri" w:hAnsi="Arial" w:cs="Arial"/>
          <w:b/>
          <w:sz w:val="24"/>
          <w:szCs w:val="24"/>
          <w:lang w:val="en-US"/>
        </w:rPr>
        <w:t xml:space="preserve">S1 Fig – </w:t>
      </w:r>
      <w:r w:rsidR="00C210FD" w:rsidRPr="00C210FD">
        <w:rPr>
          <w:rFonts w:ascii="Arial" w:eastAsia="Calibri" w:hAnsi="Arial" w:cs="Arial"/>
          <w:b/>
          <w:iCs/>
          <w:sz w:val="24"/>
          <w:szCs w:val="24"/>
          <w:lang w:val="en-US" w:eastAsia="pt-PT"/>
        </w:rPr>
        <w:t xml:space="preserve">Oral </w:t>
      </w:r>
      <w:proofErr w:type="spellStart"/>
      <w:r w:rsidR="00C210FD" w:rsidRPr="00C210FD">
        <w:rPr>
          <w:rFonts w:ascii="Arial" w:eastAsia="Calibri" w:hAnsi="Arial" w:cs="Arial"/>
          <w:b/>
          <w:iCs/>
          <w:sz w:val="24"/>
          <w:szCs w:val="24"/>
          <w:lang w:val="en-US" w:eastAsia="pt-PT"/>
        </w:rPr>
        <w:t>celastrol</w:t>
      </w:r>
      <w:proofErr w:type="spellEnd"/>
      <w:r w:rsidR="00C210FD" w:rsidRPr="00C210FD">
        <w:rPr>
          <w:rFonts w:ascii="Arial" w:eastAsia="Calibri" w:hAnsi="Arial" w:cs="Arial"/>
          <w:b/>
          <w:iCs/>
          <w:sz w:val="24"/>
          <w:szCs w:val="24"/>
          <w:lang w:val="en-US" w:eastAsia="pt-PT"/>
        </w:rPr>
        <w:t xml:space="preserve"> treatment is not associated with weight loss at </w:t>
      </w:r>
      <w:r w:rsidR="00C210FD" w:rsidRPr="00C210FD">
        <w:rPr>
          <w:rFonts w:ascii="Arial" w:eastAsia="Calibri" w:hAnsi="Arial" w:cs="Arial"/>
          <w:b/>
          <w:sz w:val="24"/>
          <w:szCs w:val="24"/>
        </w:rPr>
        <w:t xml:space="preserve">doses below </w:t>
      </w:r>
      <w:r w:rsidR="00C210FD" w:rsidRPr="00C210FD">
        <w:rPr>
          <w:rFonts w:ascii="Arial" w:eastAsia="Calibri" w:hAnsi="Arial" w:cs="Arial"/>
          <w:b/>
          <w:sz w:val="24"/>
          <w:szCs w:val="24"/>
          <w:lang w:val="en-US"/>
        </w:rPr>
        <w:t>7.5µg/g/day</w:t>
      </w:r>
      <w:r w:rsidR="00C210FD" w:rsidRPr="00C210FD">
        <w:rPr>
          <w:rFonts w:ascii="Arial" w:eastAsia="Calibri" w:hAnsi="Arial" w:cs="Arial"/>
          <w:b/>
          <w:iCs/>
          <w:sz w:val="24"/>
          <w:szCs w:val="24"/>
          <w:lang w:val="en-US" w:eastAsia="pt-PT"/>
        </w:rPr>
        <w:t>.</w:t>
      </w:r>
      <w:r w:rsidR="00C210FD" w:rsidRPr="00C210FD">
        <w:rPr>
          <w:rFonts w:ascii="Arial" w:eastAsia="Calibri" w:hAnsi="Arial" w:cs="Arial"/>
          <w:iCs/>
          <w:sz w:val="24"/>
          <w:szCs w:val="24"/>
          <w:lang w:val="en-US" w:eastAsia="pt-PT"/>
        </w:rPr>
        <w:t xml:space="preserve"> (A) Body weight variations throughout treatment period. (B-G) Body weight measurement at baseline (day 4) and at the first day of </w:t>
      </w:r>
      <w:proofErr w:type="spellStart"/>
      <w:r w:rsidR="00C210FD" w:rsidRPr="00C210FD">
        <w:rPr>
          <w:rFonts w:ascii="Arial" w:eastAsia="Calibri" w:hAnsi="Arial" w:cs="Arial"/>
          <w:iCs/>
          <w:sz w:val="24"/>
          <w:szCs w:val="24"/>
          <w:lang w:val="en-US" w:eastAsia="pt-PT"/>
        </w:rPr>
        <w:t>celastrol</w:t>
      </w:r>
      <w:proofErr w:type="spellEnd"/>
      <w:r w:rsidR="00C210FD" w:rsidRPr="00C210FD">
        <w:rPr>
          <w:rFonts w:ascii="Arial" w:eastAsia="Calibri" w:hAnsi="Arial" w:cs="Arial"/>
          <w:iCs/>
          <w:sz w:val="24"/>
          <w:szCs w:val="24"/>
          <w:lang w:val="en-US" w:eastAsia="pt-PT"/>
        </w:rPr>
        <w:t xml:space="preserve"> administration (day 8) comparing with the last day of treatment (day 22) in each group. Notice that </w:t>
      </w:r>
      <w:r w:rsidR="00C210FD" w:rsidRPr="00C210FD">
        <w:rPr>
          <w:rFonts w:ascii="Arial" w:eastAsia="Calibri" w:hAnsi="Arial" w:cs="Arial"/>
          <w:sz w:val="24"/>
          <w:szCs w:val="24"/>
        </w:rPr>
        <w:t xml:space="preserve">no weight loss was observed due to </w:t>
      </w:r>
      <w:proofErr w:type="spellStart"/>
      <w:r w:rsidR="00C210FD" w:rsidRPr="00C210FD">
        <w:rPr>
          <w:rFonts w:ascii="Arial" w:eastAsia="Calibri" w:hAnsi="Arial" w:cs="Arial"/>
          <w:sz w:val="24"/>
          <w:szCs w:val="24"/>
        </w:rPr>
        <w:t>celastrol</w:t>
      </w:r>
      <w:proofErr w:type="spellEnd"/>
      <w:r w:rsidR="00C210FD" w:rsidRPr="00C210FD">
        <w:rPr>
          <w:rFonts w:ascii="Arial" w:eastAsia="Calibri" w:hAnsi="Arial" w:cs="Arial"/>
          <w:sz w:val="24"/>
          <w:szCs w:val="24"/>
        </w:rPr>
        <w:t xml:space="preserve"> administration. Contrarily, there was an association between disease severity and weight loss in arthritic rats. </w:t>
      </w:r>
      <w:r w:rsidR="00A13274" w:rsidRPr="00C210FD">
        <w:rPr>
          <w:rFonts w:ascii="Arial" w:eastAsia="Calibri" w:hAnsi="Arial" w:cs="Arial"/>
          <w:sz w:val="24"/>
          <w:szCs w:val="24"/>
          <w:lang w:val="en-US"/>
        </w:rPr>
        <w:t xml:space="preserve">Healthy N=8, Arthritic N=17, </w:t>
      </w:r>
      <w:proofErr w:type="spellStart"/>
      <w:r w:rsidR="00A13274" w:rsidRPr="00C210FD">
        <w:rPr>
          <w:rFonts w:ascii="Arial" w:eastAsia="Calibri" w:hAnsi="Arial" w:cs="Arial"/>
          <w:sz w:val="24"/>
          <w:szCs w:val="24"/>
          <w:lang w:val="en-US"/>
        </w:rPr>
        <w:t>Celastrol</w:t>
      </w:r>
      <w:proofErr w:type="spellEnd"/>
      <w:r w:rsidR="00A13274" w:rsidRPr="00C210FD">
        <w:rPr>
          <w:rFonts w:ascii="Arial" w:eastAsia="Calibri" w:hAnsi="Arial" w:cs="Arial"/>
          <w:sz w:val="24"/>
          <w:szCs w:val="24"/>
          <w:lang w:val="en-US"/>
        </w:rPr>
        <w:t xml:space="preserve"> 1µg/g/day </w:t>
      </w:r>
      <w:r w:rsidR="00A13274" w:rsidRPr="00C210FD">
        <w:rPr>
          <w:rFonts w:ascii="Arial" w:eastAsia="Calibri" w:hAnsi="Arial" w:cs="Arial"/>
          <w:sz w:val="24"/>
          <w:szCs w:val="24"/>
          <w:lang w:val="en-US"/>
        </w:rPr>
        <w:lastRenderedPageBreak/>
        <w:t xml:space="preserve">N=5, </w:t>
      </w:r>
      <w:proofErr w:type="spellStart"/>
      <w:r w:rsidR="00A13274" w:rsidRPr="00C210FD">
        <w:rPr>
          <w:rFonts w:ascii="Arial" w:eastAsia="Calibri" w:hAnsi="Arial" w:cs="Arial"/>
          <w:sz w:val="24"/>
          <w:szCs w:val="24"/>
          <w:lang w:val="en-US"/>
        </w:rPr>
        <w:t>Celastrol</w:t>
      </w:r>
      <w:proofErr w:type="spellEnd"/>
      <w:r w:rsidR="00A13274" w:rsidRPr="00C210FD">
        <w:rPr>
          <w:rFonts w:ascii="Arial" w:eastAsia="Calibri" w:hAnsi="Arial" w:cs="Arial"/>
          <w:sz w:val="24"/>
          <w:szCs w:val="24"/>
          <w:lang w:val="en-US"/>
        </w:rPr>
        <w:t xml:space="preserve"> 2.5µg/g/day N=5, </w:t>
      </w:r>
      <w:proofErr w:type="spellStart"/>
      <w:r w:rsidR="00A13274" w:rsidRPr="00C210FD">
        <w:rPr>
          <w:rFonts w:ascii="Arial" w:eastAsia="Calibri" w:hAnsi="Arial" w:cs="Arial"/>
          <w:sz w:val="24"/>
          <w:szCs w:val="24"/>
          <w:lang w:val="en-US"/>
        </w:rPr>
        <w:t>Celastrol</w:t>
      </w:r>
      <w:proofErr w:type="spellEnd"/>
      <w:r w:rsidR="00A13274" w:rsidRPr="00C210FD">
        <w:rPr>
          <w:rFonts w:ascii="Arial" w:eastAsia="Calibri" w:hAnsi="Arial" w:cs="Arial"/>
          <w:sz w:val="24"/>
          <w:szCs w:val="24"/>
          <w:lang w:val="en-US"/>
        </w:rPr>
        <w:t xml:space="preserve"> 5µg/g/day N=5 and </w:t>
      </w:r>
      <w:proofErr w:type="spellStart"/>
      <w:r w:rsidR="00A13274" w:rsidRPr="00C210FD">
        <w:rPr>
          <w:rFonts w:ascii="Arial" w:eastAsia="Calibri" w:hAnsi="Arial" w:cs="Arial"/>
          <w:sz w:val="24"/>
          <w:szCs w:val="24"/>
          <w:lang w:val="en-US"/>
        </w:rPr>
        <w:t>Celastrol</w:t>
      </w:r>
      <w:proofErr w:type="spellEnd"/>
      <w:r w:rsidR="00A13274" w:rsidRPr="00C210FD">
        <w:rPr>
          <w:rFonts w:ascii="Arial" w:eastAsia="Calibri" w:hAnsi="Arial" w:cs="Arial"/>
          <w:sz w:val="24"/>
          <w:szCs w:val="24"/>
          <w:lang w:val="en-US"/>
        </w:rPr>
        <w:t xml:space="preserve"> 7.5µg/g/day N=</w:t>
      </w:r>
      <w:r w:rsidR="00A13274">
        <w:rPr>
          <w:rFonts w:ascii="Arial" w:eastAsia="Calibri" w:hAnsi="Arial" w:cs="Arial"/>
          <w:sz w:val="24"/>
          <w:szCs w:val="24"/>
          <w:lang w:val="en-US"/>
        </w:rPr>
        <w:t>4</w:t>
      </w:r>
      <w:r w:rsidR="00A13274" w:rsidRPr="00C210FD">
        <w:rPr>
          <w:rFonts w:ascii="Arial" w:eastAsia="Calibri" w:hAnsi="Arial" w:cs="Arial"/>
          <w:sz w:val="24"/>
          <w:szCs w:val="24"/>
          <w:lang w:val="en-US"/>
        </w:rPr>
        <w:t>.</w:t>
      </w:r>
      <w:r w:rsidR="00A13274">
        <w:rPr>
          <w:rFonts w:ascii="Arial" w:eastAsia="Calibri" w:hAnsi="Arial" w:cs="Arial"/>
          <w:sz w:val="24"/>
          <w:szCs w:val="24"/>
          <w:lang w:val="en-US"/>
        </w:rPr>
        <w:t xml:space="preserve"> </w:t>
      </w:r>
      <w:r w:rsidR="00C210FD" w:rsidRPr="00C210FD">
        <w:rPr>
          <w:rFonts w:ascii="Arial" w:eastAsia="Calibri" w:hAnsi="Arial" w:cs="Arial"/>
          <w:iCs/>
          <w:sz w:val="24"/>
          <w:szCs w:val="24"/>
          <w:lang w:val="en-US" w:eastAsia="pt-PT"/>
        </w:rPr>
        <w:t>Data are expressed as median with interquartile range. Differences were considered statistically significant for p-values</w:t>
      </w:r>
      <w:r w:rsidR="007A5601">
        <w:rPr>
          <w:rFonts w:ascii="Arial" w:eastAsia="Calibri" w:hAnsi="Arial" w:cs="Arial"/>
          <w:iCs/>
          <w:sz w:val="24"/>
          <w:szCs w:val="24"/>
          <w:lang w:val="en-US" w:eastAsia="pt-PT"/>
        </w:rPr>
        <w:t xml:space="preserve"> of p</w:t>
      </w:r>
      <w:r w:rsidR="00C210FD" w:rsidRPr="00C210FD">
        <w:rPr>
          <w:rFonts w:ascii="Arial" w:eastAsia="Calibri" w:hAnsi="Arial" w:cs="Arial"/>
          <w:iCs/>
          <w:sz w:val="24"/>
          <w:szCs w:val="24"/>
          <w:lang w:val="en-US" w:eastAsia="pt-PT"/>
        </w:rPr>
        <w:t xml:space="preserve">&lt;0.05, according to </w:t>
      </w:r>
      <w:r w:rsidR="00C210FD" w:rsidRPr="00C210FD">
        <w:rPr>
          <w:rFonts w:ascii="Arial" w:eastAsia="Calibri" w:hAnsi="Arial" w:cs="Arial"/>
          <w:sz w:val="24"/>
          <w:szCs w:val="24"/>
          <w:lang w:val="en-US"/>
        </w:rPr>
        <w:t>the Mann–Whitney tests</w:t>
      </w:r>
      <w:r w:rsidR="007A5601">
        <w:rPr>
          <w:rFonts w:ascii="Arial" w:eastAsia="Calibri" w:hAnsi="Arial" w:cs="Arial"/>
          <w:sz w:val="24"/>
          <w:szCs w:val="24"/>
          <w:lang w:val="en-US"/>
        </w:rPr>
        <w:t xml:space="preserve"> for figure 1A and Wilcoxon matched-pairs signed rank test for figure 1B, C, D, E, F and G.</w:t>
      </w:r>
    </w:p>
    <w:p w:rsidR="00C210FD" w:rsidRDefault="00C210FD" w:rsidP="00C210FD">
      <w:pPr>
        <w:spacing w:after="160" w:line="480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:rsidR="00C210FD" w:rsidRPr="00C210FD" w:rsidRDefault="00C210FD" w:rsidP="00C210FD">
      <w:pPr>
        <w:spacing w:after="160" w:line="480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>
        <w:rPr>
          <w:rFonts w:ascii="Arial" w:eastAsia="Calibri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400040" cy="1295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 Fig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FD" w:rsidRPr="00C210FD" w:rsidRDefault="00C210FD" w:rsidP="00C210FD">
      <w:pPr>
        <w:spacing w:after="160" w:line="480" w:lineRule="auto"/>
        <w:jc w:val="both"/>
        <w:rPr>
          <w:rFonts w:ascii="Arial" w:eastAsia="Calibri" w:hAnsi="Arial" w:cs="Arial"/>
          <w:noProof/>
          <w:sz w:val="24"/>
          <w:szCs w:val="24"/>
          <w:lang w:val="en-US" w:eastAsia="pt-PT"/>
        </w:rPr>
      </w:pPr>
      <w:r w:rsidRPr="00C210FD">
        <w:rPr>
          <w:rFonts w:ascii="Arial" w:eastAsia="Calibri" w:hAnsi="Arial" w:cs="Arial"/>
          <w:b/>
          <w:noProof/>
          <w:sz w:val="24"/>
          <w:szCs w:val="24"/>
          <w:lang w:val="en-US" w:eastAsia="pt-PT"/>
        </w:rPr>
        <w:t xml:space="preserve">S2 Fig </w:t>
      </w:r>
      <w:r w:rsidRPr="00C210FD">
        <w:rPr>
          <w:rFonts w:ascii="Arial" w:eastAsia="Calibri" w:hAnsi="Arial" w:cs="Arial"/>
          <w:b/>
          <w:sz w:val="24"/>
          <w:szCs w:val="24"/>
          <w:lang w:val="en-US"/>
        </w:rPr>
        <w:t>–</w:t>
      </w:r>
      <w:r w:rsidRPr="00C210FD">
        <w:rPr>
          <w:rFonts w:ascii="Arial" w:eastAsia="Calibri" w:hAnsi="Arial" w:cs="Arial"/>
          <w:b/>
          <w:noProof/>
          <w:sz w:val="24"/>
          <w:szCs w:val="24"/>
          <w:lang w:val="en-US" w:eastAsia="pt-PT"/>
        </w:rPr>
        <w:t xml:space="preserve"> Incidence of giant-cell granulomas in liver, lung and spleen of rats. </w:t>
      </w:r>
      <w:r w:rsidRPr="00C210FD">
        <w:rPr>
          <w:rFonts w:ascii="Arial" w:eastAsia="Calibri" w:hAnsi="Arial" w:cs="Arial"/>
          <w:noProof/>
          <w:sz w:val="24"/>
          <w:szCs w:val="24"/>
          <w:lang w:val="en-US" w:eastAsia="pt-PT"/>
        </w:rPr>
        <w:t>Changes were associated with the disease (arthritis) and were not dose dependent.</w:t>
      </w:r>
    </w:p>
    <w:p w:rsidR="00C210FD" w:rsidRDefault="00C210FD" w:rsidP="00C210FD">
      <w:pPr>
        <w:spacing w:after="160" w:line="480" w:lineRule="auto"/>
        <w:jc w:val="both"/>
        <w:rPr>
          <w:rFonts w:ascii="Arial" w:eastAsia="Calibri" w:hAnsi="Arial" w:cs="Arial"/>
          <w:noProof/>
          <w:sz w:val="24"/>
          <w:szCs w:val="24"/>
          <w:lang w:val="en-US" w:eastAsia="pt-PT"/>
        </w:rPr>
      </w:pPr>
    </w:p>
    <w:p w:rsidR="00C210FD" w:rsidRPr="00C210FD" w:rsidRDefault="00C210FD" w:rsidP="00C210FD">
      <w:pPr>
        <w:spacing w:after="160" w:line="480" w:lineRule="auto"/>
        <w:jc w:val="both"/>
        <w:rPr>
          <w:rFonts w:ascii="Arial" w:eastAsia="Calibri" w:hAnsi="Arial" w:cs="Arial"/>
          <w:noProof/>
          <w:sz w:val="24"/>
          <w:szCs w:val="24"/>
          <w:lang w:val="en-US" w:eastAsia="pt-PT"/>
        </w:rPr>
      </w:pPr>
      <w:r>
        <w:rPr>
          <w:rFonts w:ascii="Arial" w:eastAsia="Calibri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400040" cy="1837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 Fig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FD" w:rsidRPr="00C210FD" w:rsidRDefault="00C210FD" w:rsidP="00C210FD">
      <w:pPr>
        <w:spacing w:after="160" w:line="480" w:lineRule="auto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  <w:r w:rsidRPr="00C210FD">
        <w:rPr>
          <w:rFonts w:ascii="Arial" w:eastAsia="Calibri" w:hAnsi="Arial" w:cs="Arial"/>
          <w:b/>
          <w:sz w:val="24"/>
          <w:szCs w:val="24"/>
          <w:lang w:val="en-US"/>
        </w:rPr>
        <w:t>S3 Fig – Representative microphotographs of arthritis-associated lesions in the liver, lung and spleen.</w:t>
      </w:r>
      <w:r w:rsidRPr="00C210FD">
        <w:rPr>
          <w:rFonts w:ascii="Arial" w:eastAsia="Calibri" w:hAnsi="Arial" w:cs="Arial"/>
          <w:sz w:val="24"/>
          <w:szCs w:val="24"/>
          <w:lang w:val="en-US"/>
        </w:rPr>
        <w:t xml:space="preserve"> Multifocal to coalescing granulomas were seen in liver (A), lung (B) and spleen (C), and the lesions were characterized by dense aggregates mostly of macrophages (asterisk), admixed with frequent </w:t>
      </w:r>
      <w:r w:rsidRPr="00C210FD">
        <w:rPr>
          <w:rFonts w:ascii="Arial" w:eastAsia="Calibri" w:hAnsi="Arial" w:cs="Arial"/>
          <w:sz w:val="24"/>
          <w:szCs w:val="24"/>
          <w:lang w:val="en-US"/>
        </w:rPr>
        <w:lastRenderedPageBreak/>
        <w:t xml:space="preserve">multinucleated giant cells (arrowhead), with fewer lymphoid cells. H&amp;E, original magnification, </w:t>
      </w:r>
      <w:proofErr w:type="gramStart"/>
      <w:r w:rsidRPr="00C210FD">
        <w:rPr>
          <w:rFonts w:ascii="Arial" w:eastAsia="Calibri" w:hAnsi="Arial" w:cs="Arial"/>
          <w:sz w:val="24"/>
          <w:szCs w:val="24"/>
          <w:lang w:val="en-US"/>
        </w:rPr>
        <w:t>20x</w:t>
      </w:r>
      <w:proofErr w:type="gramEnd"/>
      <w:r w:rsidRPr="00C210FD">
        <w:rPr>
          <w:rFonts w:ascii="Arial" w:eastAsia="Calibri" w:hAnsi="Arial" w:cs="Arial"/>
          <w:sz w:val="24"/>
          <w:szCs w:val="24"/>
          <w:lang w:val="en-US"/>
        </w:rPr>
        <w:t>.</w:t>
      </w:r>
    </w:p>
    <w:p w:rsidR="00C210FD" w:rsidRDefault="00C210FD" w:rsidP="00C210FD">
      <w:pPr>
        <w:spacing w:after="160" w:line="480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:rsidR="00C210FD" w:rsidRPr="00C210FD" w:rsidRDefault="00C210FD" w:rsidP="00C210FD">
      <w:pPr>
        <w:spacing w:after="160" w:line="480" w:lineRule="auto"/>
        <w:jc w:val="both"/>
        <w:rPr>
          <w:rFonts w:ascii="Arial" w:eastAsia="Calibri" w:hAnsi="Arial" w:cs="Arial"/>
          <w:sz w:val="24"/>
          <w:szCs w:val="24"/>
          <w:lang w:val="en-US"/>
        </w:rPr>
      </w:pPr>
      <w:r>
        <w:rPr>
          <w:rFonts w:ascii="Arial" w:eastAsia="Calibri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400040" cy="20758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 Fig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FD" w:rsidRPr="00C210FD" w:rsidRDefault="00C210FD" w:rsidP="00A13274">
      <w:pPr>
        <w:spacing w:after="160" w:line="480" w:lineRule="auto"/>
        <w:jc w:val="both"/>
        <w:rPr>
          <w:rFonts w:ascii="Calibri" w:eastAsia="Calibri" w:hAnsi="Calibri" w:cs="Times New Roman"/>
          <w:lang w:val="en-US"/>
        </w:rPr>
      </w:pPr>
      <w:r w:rsidRPr="00C210FD">
        <w:rPr>
          <w:rFonts w:ascii="Arial" w:eastAsia="Calibri" w:hAnsi="Arial" w:cs="Arial"/>
          <w:b/>
          <w:sz w:val="24"/>
          <w:szCs w:val="24"/>
          <w:lang w:val="en-US"/>
        </w:rPr>
        <w:t xml:space="preserve">S4 Fig – Representative microphotographs of </w:t>
      </w:r>
      <w:proofErr w:type="spellStart"/>
      <w:r w:rsidRPr="00C210FD">
        <w:rPr>
          <w:rFonts w:ascii="Arial" w:eastAsia="Calibri" w:hAnsi="Arial" w:cs="Arial"/>
          <w:b/>
          <w:sz w:val="24"/>
          <w:szCs w:val="24"/>
          <w:lang w:val="en-US"/>
        </w:rPr>
        <w:t>celastrol</w:t>
      </w:r>
      <w:proofErr w:type="spellEnd"/>
      <w:r w:rsidRPr="00C210FD">
        <w:rPr>
          <w:rFonts w:ascii="Arial" w:eastAsia="Calibri" w:hAnsi="Arial" w:cs="Arial"/>
          <w:b/>
          <w:sz w:val="24"/>
          <w:szCs w:val="24"/>
          <w:lang w:val="en-US"/>
        </w:rPr>
        <w:t xml:space="preserve">-associated lesions in the thymus and liver. </w:t>
      </w:r>
      <w:r w:rsidRPr="00C210FD">
        <w:rPr>
          <w:rFonts w:ascii="Arial" w:eastAsia="Calibri" w:hAnsi="Arial" w:cs="Arial"/>
          <w:sz w:val="24"/>
          <w:szCs w:val="24"/>
          <w:lang w:val="en-US"/>
        </w:rPr>
        <w:t xml:space="preserve">Thymus showed moderate to severe lymphocyte necrosis (arrowhead), with loss of demarcation between cortical (c) and medullary (m) areas, exclusively in the high dose group (7.5µg/g/day). The liver shows lymphocyte-rich </w:t>
      </w:r>
      <w:proofErr w:type="spellStart"/>
      <w:r w:rsidRPr="00C210FD">
        <w:rPr>
          <w:rFonts w:ascii="Arial" w:eastAsia="Calibri" w:hAnsi="Arial" w:cs="Arial"/>
          <w:sz w:val="24"/>
          <w:szCs w:val="24"/>
          <w:lang w:val="en-US"/>
        </w:rPr>
        <w:t>peribiliary</w:t>
      </w:r>
      <w:proofErr w:type="spellEnd"/>
      <w:r w:rsidRPr="00C210FD">
        <w:rPr>
          <w:rFonts w:ascii="Arial" w:eastAsia="Calibri" w:hAnsi="Arial" w:cs="Arial"/>
          <w:sz w:val="24"/>
          <w:szCs w:val="24"/>
          <w:lang w:val="en-US"/>
        </w:rPr>
        <w:t xml:space="preserve"> inflammation (asterisk) and biliary hyperplasia (arrowhead) at the dose levels of 2.5 to 7.5µg/g/day, ranging from mild to moderate severity, the later only seen in the high dose group. H&amp;E, original magnification, </w:t>
      </w:r>
      <w:proofErr w:type="gramStart"/>
      <w:r w:rsidRPr="00C210FD">
        <w:rPr>
          <w:rFonts w:ascii="Arial" w:eastAsia="Calibri" w:hAnsi="Arial" w:cs="Arial"/>
          <w:sz w:val="24"/>
          <w:szCs w:val="24"/>
          <w:lang w:val="en-US"/>
        </w:rPr>
        <w:t>10x</w:t>
      </w:r>
      <w:proofErr w:type="gramEnd"/>
      <w:r w:rsidRPr="00C210FD">
        <w:rPr>
          <w:rFonts w:ascii="Arial" w:eastAsia="Calibri" w:hAnsi="Arial" w:cs="Arial"/>
          <w:sz w:val="24"/>
          <w:szCs w:val="24"/>
          <w:lang w:val="en-US"/>
        </w:rPr>
        <w:t>.</w:t>
      </w:r>
    </w:p>
    <w:p w:rsidR="00BF10D8" w:rsidRDefault="00BF10D8"/>
    <w:sectPr w:rsidR="00BF10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FD"/>
    <w:rsid w:val="001B6822"/>
    <w:rsid w:val="00221FF6"/>
    <w:rsid w:val="007675E9"/>
    <w:rsid w:val="007A5601"/>
    <w:rsid w:val="00A13274"/>
    <w:rsid w:val="00BF10D8"/>
    <w:rsid w:val="00C210FD"/>
    <w:rsid w:val="00D1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Vidal</dc:creator>
  <cp:lastModifiedBy>Bruno Vidal</cp:lastModifiedBy>
  <cp:revision>2</cp:revision>
  <dcterms:created xsi:type="dcterms:W3CDTF">2020-08-17T13:28:00Z</dcterms:created>
  <dcterms:modified xsi:type="dcterms:W3CDTF">2020-08-17T13:28:00Z</dcterms:modified>
</cp:coreProperties>
</file>