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A6E7" w14:textId="77E07BFA" w:rsidR="00A90DE6" w:rsidRDefault="00654E8F" w:rsidP="00A90DE6">
      <w:pPr>
        <w:pStyle w:val="SupplementaryMaterial"/>
        <w:rPr>
          <w:b w:val="0"/>
          <w:szCs w:val="24"/>
          <w:u w:val="single"/>
          <w:lang w:val="en-GB"/>
        </w:rPr>
      </w:pPr>
      <w:r w:rsidRPr="001549D3">
        <w:t>Supplement</w:t>
      </w:r>
      <w:r w:rsidR="00F00663">
        <w:t xml:space="preserve"> </w:t>
      </w:r>
      <w:r w:rsidR="00F85120">
        <w:t>2</w:t>
      </w:r>
      <w:r w:rsidR="00A90DE6" w:rsidRPr="00A90DE6">
        <w:rPr>
          <w:b w:val="0"/>
          <w:szCs w:val="24"/>
          <w:u w:val="single"/>
          <w:lang w:val="en-GB"/>
        </w:rPr>
        <w:t xml:space="preserve"> </w:t>
      </w:r>
    </w:p>
    <w:p w14:paraId="5DDA9203" w14:textId="77777777" w:rsidR="001B7CF4" w:rsidRPr="00180D0C" w:rsidRDefault="001B7CF4" w:rsidP="001B7CF4">
      <w:pPr>
        <w:jc w:val="center"/>
        <w:rPr>
          <w:rFonts w:eastAsia="Times New Roman" w:cs="Times New Roman"/>
          <w:b/>
          <w:i/>
          <w:color w:val="000000" w:themeColor="text1"/>
          <w:sz w:val="32"/>
          <w:szCs w:val="32"/>
          <w:lang w:eastAsia="de-DE"/>
        </w:rPr>
      </w:pPr>
      <w:r w:rsidRPr="00077BE9">
        <w:rPr>
          <w:rFonts w:eastAsia="Times New Roman" w:cs="Times New Roman"/>
          <w:b/>
          <w:i/>
          <w:color w:val="000000" w:themeColor="text1"/>
          <w:sz w:val="32"/>
          <w:szCs w:val="32"/>
          <w:lang w:eastAsia="de-DE"/>
        </w:rPr>
        <w:t>Differences in the fMRI protocols and the scanner hardware between the current study and</w:t>
      </w:r>
      <w:r>
        <w:rPr>
          <w:rFonts w:eastAsia="Times New Roman" w:cs="Times New Roman"/>
          <w:b/>
          <w:i/>
          <w:color w:val="000000" w:themeColor="text1"/>
          <w:sz w:val="32"/>
          <w:szCs w:val="32"/>
          <w:lang w:eastAsia="de-DE"/>
        </w:rPr>
        <w:t xml:space="preserve"> </w:t>
      </w:r>
      <w:proofErr w:type="spellStart"/>
      <w:r>
        <w:rPr>
          <w:rFonts w:eastAsia="Times New Roman" w:cs="Times New Roman"/>
          <w:b/>
          <w:i/>
          <w:color w:val="000000" w:themeColor="text1"/>
          <w:sz w:val="32"/>
          <w:szCs w:val="32"/>
          <w:lang w:eastAsia="de-DE"/>
        </w:rPr>
        <w:t>Joos</w:t>
      </w:r>
      <w:proofErr w:type="spellEnd"/>
      <w:r>
        <w:rPr>
          <w:rFonts w:eastAsia="Times New Roman" w:cs="Times New Roman"/>
          <w:b/>
          <w:i/>
          <w:color w:val="000000" w:themeColor="text1"/>
          <w:sz w:val="32"/>
          <w:szCs w:val="32"/>
          <w:lang w:eastAsia="de-DE"/>
        </w:rPr>
        <w:t xml:space="preserve"> et al.</w:t>
      </w:r>
      <w:r w:rsidRPr="00077BE9">
        <w:rPr>
          <w:rFonts w:eastAsia="Times New Roman" w:cs="Times New Roman"/>
          <w:b/>
          <w:i/>
          <w:color w:val="000000" w:themeColor="text1"/>
          <w:sz w:val="32"/>
          <w:szCs w:val="32"/>
          <w:lang w:eastAsia="de-DE"/>
        </w:rPr>
        <w:t xml:space="preserve"> </w:t>
      </w:r>
      <w:r w:rsidRPr="00180D0C">
        <w:rPr>
          <w:rFonts w:eastAsia="Times New Roman" w:cs="Times New Roman"/>
          <w:b/>
          <w:i/>
          <w:color w:val="000000" w:themeColor="text1"/>
          <w:sz w:val="32"/>
          <w:szCs w:val="32"/>
          <w:lang w:eastAsia="de-DE"/>
        </w:rPr>
        <w:fldChar w:fldCharType="begin"/>
      </w:r>
      <w:r w:rsidRPr="00180D0C">
        <w:rPr>
          <w:rFonts w:eastAsia="Times New Roman" w:cs="Times New Roman"/>
          <w:b/>
          <w:i/>
          <w:color w:val="000000" w:themeColor="text1"/>
          <w:sz w:val="32"/>
          <w:szCs w:val="32"/>
          <w:lang w:eastAsia="de-DE"/>
        </w:rPr>
        <w:instrText xml:space="preserve"> ADDIN ZOTERO_ITEM CSL_CITATION {"citationID":"UNdJeFZX","properties":{"formattedCitation":"(Joos et al., 2011)","plainCitation":"(Joos et al., 2011)","noteIndex":0},"citationItems":[{"id":27,"uris":["http://zotero.org/users/6101452/items/62CECZP8"],"uri":["http://zotero.org/users/6101452/items/62CECZP8"],"itemData":{"id":27,"type":"article-journal","abstract":"Functional imaging studies had often investigated heterogeneous samples of anorexia nervosa (AN) patients with varying paradigms and methodologies that had resulted in divergent results. The present study aimed to examine these issues by studying a well-defined sample of restrictive AN patients with a disorder-specific paradigm which had been used previously. Subjects showed increased blood oxygen level dependent responses of the cingulate, frontal, insular and parietal cortices. Group comparisons demonstrated increased activity of the right amygdala in the sample of restrictive AN patients. Our results are in support of other recently published functional imaging studies and point to a pivotal role of the right amygdala in AN. Signals of the midcingulum were reduced in comparison to healthy controls. The constellation of increased activity of the amygdala and decreased activity of the cingulate cortex likely represents parts of a negative feedback loop of emotional processing. Disgust ratings correlated with the amygdala signal negatively, which points to the complex role of this structure within eating disorders.","container-title":"Psychiatry Research: Neuroimaging","DOI":"10.1016/j.pscychresns.2010.11.008","ISSN":"0925-4927","issue":"3","journalAbbreviation":"Psychiatry Research: Neuroimaging","language":"en","page":"189-195","source":"ScienceDirect","title":"Amygdala hyperreactivity in restrictive anorexia nervosa","volume":"191","author":[{"family":"Joos","given":"Andreas A. B."},{"family":"Saum","given":"Barbara"},{"family":"Elst","given":"Ludger Tebartz","non-dropping-particle":"van"},{"family":"Perlov","given":"Evgeniy"},{"family":"Glauche","given":"Volkmar"},{"family":"Hartmann","given":"Armin"},{"family":"Freyer","given":"Tobias"},{"family":"Tüscher","given":"Oliver"},{"family":"Zeeck","given":"Almut"}],"issued":{"date-parts":[["2011",3,31]]}}}],"schema":"https://github.com/citation-style-language/schema/raw/master/csl-citation.json"} </w:instrText>
      </w:r>
      <w:r w:rsidRPr="00180D0C">
        <w:rPr>
          <w:rFonts w:eastAsia="Times New Roman" w:cs="Times New Roman"/>
          <w:b/>
          <w:i/>
          <w:color w:val="000000" w:themeColor="text1"/>
          <w:sz w:val="32"/>
          <w:szCs w:val="32"/>
          <w:lang w:eastAsia="de-DE"/>
        </w:rPr>
        <w:fldChar w:fldCharType="separate"/>
      </w:r>
      <w:r w:rsidRPr="00180D0C">
        <w:rPr>
          <w:rFonts w:eastAsia="Times New Roman" w:cs="Times New Roman"/>
          <w:b/>
          <w:i/>
          <w:color w:val="000000" w:themeColor="text1"/>
          <w:sz w:val="32"/>
          <w:szCs w:val="32"/>
          <w:lang w:eastAsia="de-DE"/>
        </w:rPr>
        <w:t>(2011)</w:t>
      </w:r>
      <w:r w:rsidRPr="00180D0C">
        <w:rPr>
          <w:rFonts w:eastAsia="Times New Roman" w:cs="Times New Roman"/>
          <w:b/>
          <w:i/>
          <w:color w:val="000000" w:themeColor="text1"/>
          <w:sz w:val="32"/>
          <w:szCs w:val="32"/>
          <w:lang w:eastAsia="de-DE"/>
        </w:rPr>
        <w:fldChar w:fldCharType="end"/>
      </w:r>
    </w:p>
    <w:p w14:paraId="2520634B" w14:textId="77777777" w:rsidR="001B7CF4" w:rsidRPr="00266732" w:rsidRDefault="001B7CF4" w:rsidP="001B7CF4">
      <w:pPr>
        <w:rPr>
          <w:rFonts w:eastAsia="Times New Roman" w:cs="Times New Roman"/>
          <w:color w:val="000000" w:themeColor="text1"/>
          <w:sz w:val="28"/>
          <w:szCs w:val="28"/>
          <w:lang w:eastAsia="de-DE"/>
        </w:rPr>
      </w:pPr>
    </w:p>
    <w:p w14:paraId="668E04CB" w14:textId="77777777" w:rsidR="001B7CF4" w:rsidRDefault="001B7CF4" w:rsidP="001B7CF4">
      <w:pPr>
        <w:rPr>
          <w:rFonts w:eastAsia="Times New Roman" w:cs="Times New Roman"/>
          <w:color w:val="000000" w:themeColor="text1"/>
          <w:lang w:eastAsia="de-DE"/>
        </w:rPr>
      </w:pPr>
      <w:r w:rsidRPr="00266732">
        <w:rPr>
          <w:rFonts w:eastAsia="Times New Roman" w:cs="Times New Roman"/>
          <w:color w:val="000000" w:themeColor="text1"/>
          <w:lang w:eastAsia="de-DE"/>
        </w:rPr>
        <w:t>Table 1</w:t>
      </w:r>
    </w:p>
    <w:tbl>
      <w:tblPr>
        <w:tblStyle w:val="Tabellenraster1"/>
        <w:tblW w:w="9056" w:type="dxa"/>
        <w:tblLook w:val="04A0" w:firstRow="1" w:lastRow="0" w:firstColumn="1" w:lastColumn="0" w:noHBand="0" w:noVBand="1"/>
      </w:tblPr>
      <w:tblGrid>
        <w:gridCol w:w="3018"/>
        <w:gridCol w:w="3015"/>
        <w:gridCol w:w="3023"/>
      </w:tblGrid>
      <w:tr w:rsidR="001B7CF4" w:rsidRPr="009656E1" w14:paraId="29D336C7" w14:textId="77777777" w:rsidTr="00D97646">
        <w:tc>
          <w:tcPr>
            <w:tcW w:w="3018" w:type="dxa"/>
            <w:shd w:val="clear" w:color="auto" w:fill="auto"/>
          </w:tcPr>
          <w:p w14:paraId="715AC3B3"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 xml:space="preserve">Parameter </w:t>
            </w:r>
          </w:p>
        </w:tc>
        <w:tc>
          <w:tcPr>
            <w:tcW w:w="3015" w:type="dxa"/>
            <w:shd w:val="clear" w:color="auto" w:fill="auto"/>
          </w:tcPr>
          <w:p w14:paraId="42128FB5"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Current study</w:t>
            </w:r>
          </w:p>
        </w:tc>
        <w:tc>
          <w:tcPr>
            <w:tcW w:w="3023" w:type="dxa"/>
            <w:shd w:val="clear" w:color="auto" w:fill="auto"/>
          </w:tcPr>
          <w:p w14:paraId="5D1FD8F6" w14:textId="77777777" w:rsidR="001B7CF4" w:rsidRPr="009656E1" w:rsidRDefault="001B7CF4" w:rsidP="00D97646">
            <w:pPr>
              <w:spacing w:before="0" w:after="0"/>
              <w:rPr>
                <w:rFonts w:cs="Times New Roman"/>
                <w:b/>
                <w:color w:val="000000"/>
                <w:szCs w:val="24"/>
                <w:lang w:eastAsia="de-DE"/>
              </w:rPr>
            </w:pPr>
            <w:proofErr w:type="spellStart"/>
            <w:r>
              <w:rPr>
                <w:rFonts w:cs="Times New Roman"/>
                <w:b/>
                <w:color w:val="000000"/>
                <w:szCs w:val="24"/>
                <w:lang w:eastAsia="de-DE"/>
              </w:rPr>
              <w:t>Joos</w:t>
            </w:r>
            <w:proofErr w:type="spellEnd"/>
            <w:r>
              <w:rPr>
                <w:rFonts w:cs="Times New Roman"/>
                <w:b/>
                <w:color w:val="000000"/>
                <w:szCs w:val="24"/>
                <w:lang w:eastAsia="de-DE"/>
              </w:rPr>
              <w:t xml:space="preserve"> et al. </w:t>
            </w:r>
            <w:r w:rsidRPr="00180D0C">
              <w:rPr>
                <w:rFonts w:cs="Times New Roman"/>
                <w:b/>
                <w:color w:val="000000"/>
                <w:szCs w:val="24"/>
                <w:lang w:eastAsia="de-DE"/>
              </w:rPr>
              <w:fldChar w:fldCharType="begin"/>
            </w:r>
            <w:r w:rsidRPr="00180D0C">
              <w:rPr>
                <w:rFonts w:cs="Times New Roman"/>
                <w:b/>
                <w:color w:val="000000"/>
                <w:szCs w:val="24"/>
                <w:lang w:eastAsia="de-DE"/>
              </w:rPr>
              <w:instrText xml:space="preserve"> ADDIN ZOTERO_ITEM CSL_CITATION {"citationID":"UNdJeFZX","properties":{"formattedCitation":"(Joos et al., 2011)","plainCitation":"(Joos et al., 2011)","noteIndex":0},"citationItems":[{"id":27,"uris":["http://zotero.org/users/6101452/items/62CECZP8"],"uri":["http://zotero.org/users/6101452/items/62CECZP8"],"itemData":{"id":27,"type":"article-journal","abstract":"Functional imaging studies had often investigated heterogeneous samples of anorexia nervosa (AN) patients with varying paradigms and methodologies that had resulted in divergent results. The present study aimed to examine these issues by studying a well-defined sample of restrictive AN patients with a disorder-specific paradigm which had been used previously. Subjects showed increased blood oxygen level dependent responses of the cingulate, frontal, insular and parietal cortices. Group comparisons demonstrated increased activity of the right amygdala in the sample of restrictive AN patients. Our results are in support of other recently published functional imaging studies and point to a pivotal role of the right amygdala in AN. Signals of the midcingulum were reduced in comparison to healthy controls. The constellation of increased activity of the amygdala and decreased activity of the cingulate cortex likely represents parts of a negative feedback loop of emotional processing. Disgust ratings correlated with the amygdala signal negatively, which points to the complex role of this structure within eating disorders.","container-title":"Psychiatry Research: Neuroimaging","DOI":"10.1016/j.pscychresns.2010.11.008","ISSN":"0925-4927","issue":"3","journalAbbreviation":"Psychiatry Research: Neuroimaging","language":"en","page":"189-195","source":"ScienceDirect","title":"Amygdala hyperreactivity in restrictive anorexia nervosa","volume":"191","author":[{"family":"Joos","given":"Andreas A. B."},{"family":"Saum","given":"Barbara"},{"family":"Elst","given":"Ludger Tebartz","non-dropping-particle":"van"},{"family":"Perlov","given":"Evgeniy"},{"family":"Glauche","given":"Volkmar"},{"family":"Hartmann","given":"Armin"},{"family":"Freyer","given":"Tobias"},{"family":"Tüscher","given":"Oliver"},{"family":"Zeeck","given":"Almut"}],"issued":{"date-parts":[["2011",3,31]]}}}],"schema":"https://github.com/citation-style-language/schema/raw/master/csl-citation.json"} </w:instrText>
            </w:r>
            <w:r w:rsidRPr="00180D0C">
              <w:rPr>
                <w:rFonts w:cs="Times New Roman"/>
                <w:b/>
                <w:color w:val="000000"/>
                <w:szCs w:val="24"/>
                <w:lang w:eastAsia="de-DE"/>
              </w:rPr>
              <w:fldChar w:fldCharType="separate"/>
            </w:r>
            <w:r w:rsidRPr="00180D0C">
              <w:rPr>
                <w:rFonts w:cs="Times New Roman"/>
                <w:b/>
                <w:color w:val="000000"/>
                <w:szCs w:val="24"/>
                <w:lang w:eastAsia="de-DE"/>
              </w:rPr>
              <w:t>(2011)</w:t>
            </w:r>
            <w:r w:rsidRPr="00180D0C">
              <w:rPr>
                <w:rFonts w:cs="Times New Roman"/>
                <w:b/>
                <w:color w:val="000000"/>
                <w:szCs w:val="24"/>
                <w:lang w:eastAsia="de-DE"/>
              </w:rPr>
              <w:fldChar w:fldCharType="end"/>
            </w:r>
          </w:p>
        </w:tc>
      </w:tr>
      <w:tr w:rsidR="001B7CF4" w:rsidRPr="009656E1" w14:paraId="5451243C" w14:textId="77777777" w:rsidTr="00D97646">
        <w:tc>
          <w:tcPr>
            <w:tcW w:w="3018" w:type="dxa"/>
            <w:shd w:val="clear" w:color="auto" w:fill="auto"/>
          </w:tcPr>
          <w:p w14:paraId="26E928DE"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Software</w:t>
            </w:r>
          </w:p>
        </w:tc>
        <w:tc>
          <w:tcPr>
            <w:tcW w:w="3015" w:type="dxa"/>
            <w:shd w:val="clear" w:color="auto" w:fill="auto"/>
          </w:tcPr>
          <w:p w14:paraId="59D18571" w14:textId="77777777" w:rsidR="001B7CF4" w:rsidRPr="009656E1" w:rsidRDefault="001B7CF4" w:rsidP="00D97646">
            <w:pPr>
              <w:spacing w:before="0" w:after="0"/>
              <w:rPr>
                <w:rFonts w:cs="Times New Roman"/>
                <w:b/>
                <w:color w:val="000000"/>
                <w:szCs w:val="24"/>
                <w:lang w:eastAsia="de-DE"/>
              </w:rPr>
            </w:pPr>
            <w:r w:rsidRPr="009656E1">
              <w:rPr>
                <w:rFonts w:cs="Times New Roman"/>
                <w:szCs w:val="24"/>
              </w:rPr>
              <w:t>SPM12</w:t>
            </w:r>
          </w:p>
        </w:tc>
        <w:tc>
          <w:tcPr>
            <w:tcW w:w="3023" w:type="dxa"/>
            <w:shd w:val="clear" w:color="auto" w:fill="auto"/>
          </w:tcPr>
          <w:p w14:paraId="55F9341D" w14:textId="77777777" w:rsidR="001B7CF4" w:rsidRPr="009656E1" w:rsidRDefault="001B7CF4" w:rsidP="00D97646">
            <w:pPr>
              <w:spacing w:before="0" w:after="0"/>
              <w:rPr>
                <w:rFonts w:cs="Times New Roman"/>
                <w:b/>
                <w:color w:val="000000"/>
                <w:szCs w:val="24"/>
                <w:lang w:eastAsia="de-DE"/>
              </w:rPr>
            </w:pPr>
            <w:r w:rsidRPr="009656E1">
              <w:rPr>
                <w:rFonts w:cs="Times New Roman"/>
                <w:szCs w:val="24"/>
              </w:rPr>
              <w:t>SPM5</w:t>
            </w:r>
          </w:p>
        </w:tc>
      </w:tr>
      <w:tr w:rsidR="001B7CF4" w:rsidRPr="009656E1" w14:paraId="5CC3D656" w14:textId="77777777" w:rsidTr="00D97646">
        <w:tc>
          <w:tcPr>
            <w:tcW w:w="3018" w:type="dxa"/>
            <w:shd w:val="clear" w:color="auto" w:fill="auto"/>
          </w:tcPr>
          <w:p w14:paraId="47E7FA9F"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MR System</w:t>
            </w:r>
          </w:p>
        </w:tc>
        <w:tc>
          <w:tcPr>
            <w:tcW w:w="3015" w:type="dxa"/>
            <w:shd w:val="clear" w:color="auto" w:fill="auto"/>
          </w:tcPr>
          <w:p w14:paraId="29868406"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 xml:space="preserve">Siemens PRISMA </w:t>
            </w:r>
            <w:proofErr w:type="spellStart"/>
            <w:r w:rsidRPr="009656E1">
              <w:rPr>
                <w:rFonts w:cs="Times New Roman"/>
                <w:szCs w:val="24"/>
              </w:rPr>
              <w:t>Magnetom</w:t>
            </w:r>
            <w:proofErr w:type="spellEnd"/>
          </w:p>
        </w:tc>
        <w:tc>
          <w:tcPr>
            <w:tcW w:w="3023" w:type="dxa"/>
            <w:shd w:val="clear" w:color="auto" w:fill="auto"/>
          </w:tcPr>
          <w:p w14:paraId="2883A0FD" w14:textId="77777777" w:rsidR="001B7CF4" w:rsidRPr="009656E1" w:rsidRDefault="001B7CF4" w:rsidP="00D97646">
            <w:pPr>
              <w:spacing w:before="0" w:after="0"/>
              <w:rPr>
                <w:rFonts w:cs="Times New Roman"/>
                <w:szCs w:val="24"/>
              </w:rPr>
            </w:pPr>
            <w:r w:rsidRPr="009656E1">
              <w:rPr>
                <w:rFonts w:cs="Times New Roman"/>
                <w:szCs w:val="24"/>
              </w:rPr>
              <w:t xml:space="preserve">Siemens TRIO </w:t>
            </w:r>
            <w:proofErr w:type="spellStart"/>
            <w:r w:rsidRPr="009656E1">
              <w:rPr>
                <w:rFonts w:cs="Times New Roman"/>
                <w:szCs w:val="24"/>
              </w:rPr>
              <w:t>Magnetom</w:t>
            </w:r>
            <w:proofErr w:type="spellEnd"/>
          </w:p>
        </w:tc>
      </w:tr>
      <w:tr w:rsidR="001B7CF4" w:rsidRPr="009656E1" w14:paraId="626CE765" w14:textId="77777777" w:rsidTr="00D97646">
        <w:tc>
          <w:tcPr>
            <w:tcW w:w="3018" w:type="dxa"/>
            <w:shd w:val="clear" w:color="auto" w:fill="auto"/>
          </w:tcPr>
          <w:p w14:paraId="60028592" w14:textId="77777777" w:rsidR="001B7CF4" w:rsidRPr="009656E1" w:rsidRDefault="001B7CF4" w:rsidP="00D97646">
            <w:pPr>
              <w:spacing w:before="0" w:after="0"/>
              <w:rPr>
                <w:rFonts w:cs="Times New Roman"/>
                <w:i/>
                <w:color w:val="000000"/>
                <w:szCs w:val="24"/>
                <w:lang w:eastAsia="de-DE"/>
              </w:rPr>
            </w:pPr>
            <w:r w:rsidRPr="009656E1">
              <w:rPr>
                <w:rFonts w:cs="Times New Roman"/>
                <w:i/>
                <w:color w:val="000000"/>
                <w:szCs w:val="24"/>
                <w:lang w:eastAsia="de-DE"/>
              </w:rPr>
              <w:t>T1- weighted</w:t>
            </w:r>
          </w:p>
        </w:tc>
        <w:tc>
          <w:tcPr>
            <w:tcW w:w="3015" w:type="dxa"/>
            <w:shd w:val="clear" w:color="auto" w:fill="auto"/>
          </w:tcPr>
          <w:p w14:paraId="5BCB1432" w14:textId="77777777" w:rsidR="001B7CF4" w:rsidRPr="009656E1" w:rsidRDefault="001B7CF4" w:rsidP="00D97646">
            <w:pPr>
              <w:spacing w:before="0" w:after="0"/>
              <w:rPr>
                <w:rFonts w:cs="Times New Roman"/>
                <w:color w:val="000000"/>
                <w:szCs w:val="24"/>
                <w:lang w:eastAsia="de-DE"/>
              </w:rPr>
            </w:pPr>
          </w:p>
        </w:tc>
        <w:tc>
          <w:tcPr>
            <w:tcW w:w="3023" w:type="dxa"/>
            <w:shd w:val="clear" w:color="auto" w:fill="auto"/>
          </w:tcPr>
          <w:p w14:paraId="18D29A0F" w14:textId="77777777" w:rsidR="001B7CF4" w:rsidRPr="009656E1" w:rsidRDefault="001B7CF4" w:rsidP="00D97646">
            <w:pPr>
              <w:spacing w:before="0" w:after="0"/>
              <w:rPr>
                <w:rFonts w:cs="Times New Roman"/>
                <w:color w:val="000000"/>
                <w:szCs w:val="24"/>
                <w:lang w:eastAsia="de-DE"/>
              </w:rPr>
            </w:pPr>
          </w:p>
        </w:tc>
      </w:tr>
      <w:tr w:rsidR="001B7CF4" w:rsidRPr="009656E1" w14:paraId="7232525C" w14:textId="77777777" w:rsidTr="00D97646">
        <w:tc>
          <w:tcPr>
            <w:tcW w:w="3018" w:type="dxa"/>
            <w:shd w:val="clear" w:color="auto" w:fill="auto"/>
          </w:tcPr>
          <w:p w14:paraId="06F60581"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TR</w:t>
            </w:r>
          </w:p>
        </w:tc>
        <w:tc>
          <w:tcPr>
            <w:tcW w:w="3015" w:type="dxa"/>
            <w:shd w:val="clear" w:color="auto" w:fill="auto"/>
          </w:tcPr>
          <w:p w14:paraId="273DEA59"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2300ms</w:t>
            </w:r>
          </w:p>
        </w:tc>
        <w:tc>
          <w:tcPr>
            <w:tcW w:w="3023" w:type="dxa"/>
            <w:shd w:val="clear" w:color="auto" w:fill="auto"/>
          </w:tcPr>
          <w:p w14:paraId="0D5432EC"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2200ms</w:t>
            </w:r>
          </w:p>
        </w:tc>
      </w:tr>
      <w:tr w:rsidR="001B7CF4" w:rsidRPr="009656E1" w14:paraId="1153BED9" w14:textId="77777777" w:rsidTr="00D97646">
        <w:tc>
          <w:tcPr>
            <w:tcW w:w="3018" w:type="dxa"/>
            <w:shd w:val="clear" w:color="auto" w:fill="auto"/>
          </w:tcPr>
          <w:p w14:paraId="0F8E9055"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TE</w:t>
            </w:r>
          </w:p>
        </w:tc>
        <w:tc>
          <w:tcPr>
            <w:tcW w:w="3015" w:type="dxa"/>
            <w:shd w:val="clear" w:color="auto" w:fill="auto"/>
          </w:tcPr>
          <w:p w14:paraId="6B43B88F"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2,98ms</w:t>
            </w:r>
          </w:p>
        </w:tc>
        <w:tc>
          <w:tcPr>
            <w:tcW w:w="3023" w:type="dxa"/>
            <w:shd w:val="clear" w:color="auto" w:fill="auto"/>
          </w:tcPr>
          <w:p w14:paraId="200C422F"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4,91ms</w:t>
            </w:r>
          </w:p>
        </w:tc>
      </w:tr>
      <w:tr w:rsidR="001B7CF4" w:rsidRPr="009656E1" w14:paraId="31D55FCF" w14:textId="77777777" w:rsidTr="00D97646">
        <w:tc>
          <w:tcPr>
            <w:tcW w:w="3018" w:type="dxa"/>
            <w:shd w:val="clear" w:color="auto" w:fill="auto"/>
          </w:tcPr>
          <w:p w14:paraId="54CD4008"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Flip angel</w:t>
            </w:r>
          </w:p>
        </w:tc>
        <w:tc>
          <w:tcPr>
            <w:tcW w:w="3015" w:type="dxa"/>
            <w:shd w:val="clear" w:color="auto" w:fill="auto"/>
          </w:tcPr>
          <w:p w14:paraId="611E4B65"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9°</w:t>
            </w:r>
          </w:p>
        </w:tc>
        <w:tc>
          <w:tcPr>
            <w:tcW w:w="3023" w:type="dxa"/>
            <w:shd w:val="clear" w:color="auto" w:fill="auto"/>
          </w:tcPr>
          <w:p w14:paraId="623F4F62"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12°</w:t>
            </w:r>
          </w:p>
        </w:tc>
      </w:tr>
      <w:tr w:rsidR="001B7CF4" w:rsidRPr="009656E1" w14:paraId="31E9341F" w14:textId="77777777" w:rsidTr="00D97646">
        <w:tc>
          <w:tcPr>
            <w:tcW w:w="3018" w:type="dxa"/>
            <w:shd w:val="clear" w:color="auto" w:fill="auto"/>
          </w:tcPr>
          <w:p w14:paraId="61C94FAE"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Voxel</w:t>
            </w:r>
          </w:p>
        </w:tc>
        <w:tc>
          <w:tcPr>
            <w:tcW w:w="3015" w:type="dxa"/>
            <w:shd w:val="clear" w:color="auto" w:fill="auto"/>
          </w:tcPr>
          <w:p w14:paraId="0302AAFE"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1x1x1</w:t>
            </w:r>
          </w:p>
        </w:tc>
        <w:tc>
          <w:tcPr>
            <w:tcW w:w="3023" w:type="dxa"/>
            <w:shd w:val="clear" w:color="auto" w:fill="auto"/>
          </w:tcPr>
          <w:p w14:paraId="18669184"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1x1x1</w:t>
            </w:r>
          </w:p>
        </w:tc>
      </w:tr>
      <w:tr w:rsidR="001B7CF4" w:rsidRPr="009656E1" w14:paraId="4239FE51" w14:textId="77777777" w:rsidTr="00D97646">
        <w:tc>
          <w:tcPr>
            <w:tcW w:w="3018" w:type="dxa"/>
            <w:shd w:val="clear" w:color="auto" w:fill="auto"/>
          </w:tcPr>
          <w:p w14:paraId="5A815876"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FOV</w:t>
            </w:r>
          </w:p>
        </w:tc>
        <w:tc>
          <w:tcPr>
            <w:tcW w:w="3015" w:type="dxa"/>
            <w:shd w:val="clear" w:color="auto" w:fill="auto"/>
          </w:tcPr>
          <w:p w14:paraId="2F2B807C" w14:textId="77777777" w:rsidR="001B7CF4" w:rsidRPr="009656E1" w:rsidRDefault="001B7CF4" w:rsidP="00D97646">
            <w:pPr>
              <w:spacing w:before="0" w:after="0"/>
              <w:rPr>
                <w:rFonts w:cs="Times New Roman"/>
                <w:color w:val="000000"/>
                <w:szCs w:val="24"/>
                <w:vertAlign w:val="superscript"/>
                <w:lang w:eastAsia="de-DE"/>
              </w:rPr>
            </w:pPr>
            <w:r w:rsidRPr="009656E1">
              <w:rPr>
                <w:rFonts w:cs="Times New Roman"/>
                <w:color w:val="000000"/>
                <w:szCs w:val="24"/>
              </w:rPr>
              <w:t xml:space="preserve">240*256 </w:t>
            </w:r>
            <w:r w:rsidRPr="009656E1">
              <w:rPr>
                <w:rFonts w:cs="Times New Roman"/>
                <w:szCs w:val="24"/>
              </w:rPr>
              <w:t>mm</w:t>
            </w:r>
            <w:r w:rsidRPr="009656E1">
              <w:rPr>
                <w:rFonts w:cs="Times New Roman"/>
                <w:szCs w:val="24"/>
                <w:vertAlign w:val="superscript"/>
              </w:rPr>
              <w:t>2</w:t>
            </w:r>
          </w:p>
        </w:tc>
        <w:tc>
          <w:tcPr>
            <w:tcW w:w="3023" w:type="dxa"/>
            <w:shd w:val="clear" w:color="auto" w:fill="auto"/>
          </w:tcPr>
          <w:p w14:paraId="32ECD1D1" w14:textId="77777777" w:rsidR="001B7CF4" w:rsidRPr="009656E1" w:rsidRDefault="001B7CF4" w:rsidP="00D97646">
            <w:pPr>
              <w:spacing w:before="0" w:after="0"/>
              <w:rPr>
                <w:rFonts w:cs="Times New Roman"/>
                <w:szCs w:val="24"/>
              </w:rPr>
            </w:pPr>
            <w:r w:rsidRPr="009656E1">
              <w:rPr>
                <w:rFonts w:cs="Times New Roman"/>
                <w:color w:val="000000"/>
                <w:szCs w:val="24"/>
                <w:lang w:eastAsia="de-DE"/>
              </w:rPr>
              <w:t>256*256mm</w:t>
            </w:r>
            <w:r w:rsidRPr="009656E1">
              <w:rPr>
                <w:rFonts w:cs="Times New Roman"/>
                <w:color w:val="000000"/>
                <w:szCs w:val="24"/>
                <w:vertAlign w:val="superscript"/>
                <w:lang w:eastAsia="de-DE"/>
              </w:rPr>
              <w:t>2</w:t>
            </w:r>
          </w:p>
        </w:tc>
      </w:tr>
      <w:tr w:rsidR="001B7CF4" w:rsidRPr="009656E1" w14:paraId="48706988" w14:textId="77777777" w:rsidTr="00D97646">
        <w:tc>
          <w:tcPr>
            <w:tcW w:w="3018" w:type="dxa"/>
            <w:shd w:val="clear" w:color="auto" w:fill="auto"/>
          </w:tcPr>
          <w:p w14:paraId="45DE3687" w14:textId="77777777" w:rsidR="001B7CF4" w:rsidRPr="009656E1" w:rsidRDefault="001B7CF4" w:rsidP="00D97646">
            <w:pPr>
              <w:spacing w:before="0" w:after="0"/>
              <w:rPr>
                <w:rFonts w:cs="Times New Roman"/>
                <w:i/>
                <w:color w:val="000000"/>
                <w:szCs w:val="24"/>
                <w:lang w:eastAsia="de-DE"/>
              </w:rPr>
            </w:pPr>
            <w:r w:rsidRPr="009656E1">
              <w:rPr>
                <w:rFonts w:cs="Times New Roman"/>
                <w:i/>
                <w:color w:val="000000"/>
                <w:szCs w:val="24"/>
                <w:lang w:eastAsia="de-DE"/>
              </w:rPr>
              <w:t>T2*- weighted</w:t>
            </w:r>
          </w:p>
        </w:tc>
        <w:tc>
          <w:tcPr>
            <w:tcW w:w="3015" w:type="dxa"/>
            <w:shd w:val="clear" w:color="auto" w:fill="auto"/>
          </w:tcPr>
          <w:p w14:paraId="78DEAF5B" w14:textId="77777777" w:rsidR="001B7CF4" w:rsidRPr="009656E1" w:rsidRDefault="001B7CF4" w:rsidP="00D97646">
            <w:pPr>
              <w:spacing w:before="0" w:after="0"/>
              <w:rPr>
                <w:rFonts w:cs="Times New Roman"/>
                <w:color w:val="000000"/>
                <w:szCs w:val="24"/>
                <w:lang w:eastAsia="de-DE"/>
              </w:rPr>
            </w:pPr>
          </w:p>
        </w:tc>
        <w:tc>
          <w:tcPr>
            <w:tcW w:w="3023" w:type="dxa"/>
            <w:shd w:val="clear" w:color="auto" w:fill="auto"/>
          </w:tcPr>
          <w:p w14:paraId="11FA3FDB" w14:textId="77777777" w:rsidR="001B7CF4" w:rsidRPr="009656E1" w:rsidRDefault="001B7CF4" w:rsidP="00D97646">
            <w:pPr>
              <w:spacing w:before="0" w:after="0"/>
              <w:rPr>
                <w:rFonts w:cs="Times New Roman"/>
                <w:color w:val="000000"/>
                <w:szCs w:val="24"/>
                <w:lang w:eastAsia="de-DE"/>
              </w:rPr>
            </w:pPr>
          </w:p>
        </w:tc>
      </w:tr>
      <w:tr w:rsidR="001B7CF4" w:rsidRPr="009656E1" w14:paraId="6025B06C" w14:textId="77777777" w:rsidTr="00D97646">
        <w:tc>
          <w:tcPr>
            <w:tcW w:w="3018" w:type="dxa"/>
            <w:shd w:val="clear" w:color="auto" w:fill="auto"/>
          </w:tcPr>
          <w:p w14:paraId="1B8D705B"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Head coil</w:t>
            </w:r>
          </w:p>
        </w:tc>
        <w:tc>
          <w:tcPr>
            <w:tcW w:w="3015" w:type="dxa"/>
            <w:shd w:val="clear" w:color="auto" w:fill="auto"/>
          </w:tcPr>
          <w:p w14:paraId="1C1C26C2" w14:textId="77777777" w:rsidR="001B7CF4" w:rsidRPr="009656E1" w:rsidRDefault="001B7CF4" w:rsidP="00D97646">
            <w:pPr>
              <w:spacing w:before="0" w:after="0"/>
              <w:rPr>
                <w:rFonts w:cs="Times New Roman"/>
                <w:szCs w:val="24"/>
              </w:rPr>
            </w:pPr>
            <w:r w:rsidRPr="009656E1">
              <w:rPr>
                <w:rFonts w:cs="Times New Roman"/>
                <w:szCs w:val="24"/>
              </w:rPr>
              <w:t xml:space="preserve">20 </w:t>
            </w:r>
            <w:proofErr w:type="gramStart"/>
            <w:r w:rsidRPr="009656E1">
              <w:rPr>
                <w:rFonts w:cs="Times New Roman"/>
                <w:szCs w:val="24"/>
              </w:rPr>
              <w:t>channel</w:t>
            </w:r>
            <w:proofErr w:type="gramEnd"/>
            <w:r w:rsidRPr="009656E1">
              <w:rPr>
                <w:rFonts w:cs="Times New Roman"/>
                <w:szCs w:val="24"/>
              </w:rPr>
              <w:t xml:space="preserve"> </w:t>
            </w:r>
          </w:p>
        </w:tc>
        <w:tc>
          <w:tcPr>
            <w:tcW w:w="3023" w:type="dxa"/>
            <w:shd w:val="clear" w:color="auto" w:fill="auto"/>
          </w:tcPr>
          <w:p w14:paraId="7F078FD4" w14:textId="77777777" w:rsidR="001B7CF4" w:rsidRPr="009656E1" w:rsidRDefault="001B7CF4" w:rsidP="00D97646">
            <w:pPr>
              <w:spacing w:before="0" w:after="0"/>
              <w:rPr>
                <w:rFonts w:cs="Times New Roman"/>
                <w:szCs w:val="24"/>
              </w:rPr>
            </w:pPr>
            <w:r w:rsidRPr="009656E1">
              <w:rPr>
                <w:rFonts w:cs="Times New Roman"/>
                <w:szCs w:val="24"/>
              </w:rPr>
              <w:t xml:space="preserve">12 </w:t>
            </w:r>
            <w:proofErr w:type="gramStart"/>
            <w:r w:rsidRPr="009656E1">
              <w:rPr>
                <w:rFonts w:cs="Times New Roman"/>
                <w:szCs w:val="24"/>
              </w:rPr>
              <w:t>channel</w:t>
            </w:r>
            <w:proofErr w:type="gramEnd"/>
            <w:r w:rsidRPr="009656E1">
              <w:rPr>
                <w:rFonts w:cs="Times New Roman"/>
                <w:szCs w:val="24"/>
              </w:rPr>
              <w:t xml:space="preserve"> </w:t>
            </w:r>
          </w:p>
        </w:tc>
      </w:tr>
      <w:tr w:rsidR="001B7CF4" w:rsidRPr="009656E1" w14:paraId="01330E3F" w14:textId="77777777" w:rsidTr="00D97646">
        <w:tc>
          <w:tcPr>
            <w:tcW w:w="3018" w:type="dxa"/>
            <w:shd w:val="clear" w:color="auto" w:fill="auto"/>
          </w:tcPr>
          <w:p w14:paraId="20EE1B8B"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TR</w:t>
            </w:r>
          </w:p>
        </w:tc>
        <w:tc>
          <w:tcPr>
            <w:tcW w:w="3015" w:type="dxa"/>
            <w:shd w:val="clear" w:color="auto" w:fill="auto"/>
          </w:tcPr>
          <w:p w14:paraId="69A36415"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2500ms</w:t>
            </w:r>
          </w:p>
        </w:tc>
        <w:tc>
          <w:tcPr>
            <w:tcW w:w="3023" w:type="dxa"/>
            <w:shd w:val="clear" w:color="auto" w:fill="auto"/>
          </w:tcPr>
          <w:p w14:paraId="3C43697F"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3000ms</w:t>
            </w:r>
          </w:p>
        </w:tc>
      </w:tr>
      <w:tr w:rsidR="001B7CF4" w:rsidRPr="009656E1" w14:paraId="73B66DC6" w14:textId="77777777" w:rsidTr="00D97646">
        <w:tc>
          <w:tcPr>
            <w:tcW w:w="3018" w:type="dxa"/>
            <w:shd w:val="clear" w:color="auto" w:fill="auto"/>
          </w:tcPr>
          <w:p w14:paraId="1EB649F3"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TE</w:t>
            </w:r>
          </w:p>
        </w:tc>
        <w:tc>
          <w:tcPr>
            <w:tcW w:w="3015" w:type="dxa"/>
            <w:shd w:val="clear" w:color="auto" w:fill="auto"/>
          </w:tcPr>
          <w:p w14:paraId="523FB88F"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30ms</w:t>
            </w:r>
          </w:p>
        </w:tc>
        <w:tc>
          <w:tcPr>
            <w:tcW w:w="3023" w:type="dxa"/>
            <w:shd w:val="clear" w:color="auto" w:fill="auto"/>
          </w:tcPr>
          <w:p w14:paraId="71981DA6"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30ms</w:t>
            </w:r>
          </w:p>
        </w:tc>
      </w:tr>
      <w:tr w:rsidR="001B7CF4" w:rsidRPr="009656E1" w14:paraId="060A1DC2" w14:textId="77777777" w:rsidTr="00D97646">
        <w:tc>
          <w:tcPr>
            <w:tcW w:w="3018" w:type="dxa"/>
            <w:shd w:val="clear" w:color="auto" w:fill="auto"/>
          </w:tcPr>
          <w:p w14:paraId="389E4A87"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Flip angel</w:t>
            </w:r>
          </w:p>
        </w:tc>
        <w:tc>
          <w:tcPr>
            <w:tcW w:w="3015" w:type="dxa"/>
            <w:shd w:val="clear" w:color="auto" w:fill="auto"/>
          </w:tcPr>
          <w:p w14:paraId="2B9DF1CA"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90°</w:t>
            </w:r>
          </w:p>
        </w:tc>
        <w:tc>
          <w:tcPr>
            <w:tcW w:w="3023" w:type="dxa"/>
            <w:shd w:val="clear" w:color="auto" w:fill="auto"/>
          </w:tcPr>
          <w:p w14:paraId="65519691" w14:textId="77777777" w:rsidR="001B7CF4" w:rsidRPr="009656E1" w:rsidRDefault="001B7CF4" w:rsidP="00D97646">
            <w:pPr>
              <w:spacing w:before="0" w:after="0"/>
              <w:rPr>
                <w:rFonts w:cs="Times New Roman"/>
                <w:color w:val="000000"/>
                <w:szCs w:val="24"/>
                <w:lang w:eastAsia="de-DE"/>
              </w:rPr>
            </w:pPr>
            <w:r w:rsidRPr="009656E1">
              <w:rPr>
                <w:rFonts w:cs="Times New Roman"/>
                <w:color w:val="000000"/>
                <w:szCs w:val="24"/>
                <w:lang w:eastAsia="de-DE"/>
              </w:rPr>
              <w:t>70°</w:t>
            </w:r>
          </w:p>
        </w:tc>
      </w:tr>
      <w:tr w:rsidR="001B7CF4" w:rsidRPr="009656E1" w14:paraId="70BEB9CF" w14:textId="77777777" w:rsidTr="00D97646">
        <w:tc>
          <w:tcPr>
            <w:tcW w:w="3018" w:type="dxa"/>
            <w:shd w:val="clear" w:color="auto" w:fill="auto"/>
          </w:tcPr>
          <w:p w14:paraId="4D24503A"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Voxel</w:t>
            </w:r>
          </w:p>
        </w:tc>
        <w:tc>
          <w:tcPr>
            <w:tcW w:w="3015" w:type="dxa"/>
            <w:shd w:val="clear" w:color="auto" w:fill="auto"/>
          </w:tcPr>
          <w:p w14:paraId="0526961E"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3x3x3</w:t>
            </w:r>
          </w:p>
        </w:tc>
        <w:tc>
          <w:tcPr>
            <w:tcW w:w="3023" w:type="dxa"/>
            <w:shd w:val="clear" w:color="auto" w:fill="auto"/>
          </w:tcPr>
          <w:p w14:paraId="3459B698" w14:textId="77777777" w:rsidR="001B7CF4" w:rsidRPr="009656E1" w:rsidRDefault="001B7CF4" w:rsidP="00D97646">
            <w:pPr>
              <w:spacing w:before="0" w:after="0"/>
              <w:rPr>
                <w:rFonts w:cs="Times New Roman"/>
                <w:color w:val="000000"/>
                <w:szCs w:val="24"/>
                <w:lang w:eastAsia="de-DE"/>
              </w:rPr>
            </w:pPr>
            <w:r w:rsidRPr="009656E1">
              <w:rPr>
                <w:rFonts w:cs="Times New Roman"/>
                <w:szCs w:val="24"/>
              </w:rPr>
              <w:t>3x3x3</w:t>
            </w:r>
          </w:p>
        </w:tc>
      </w:tr>
      <w:tr w:rsidR="001B7CF4" w:rsidRPr="009656E1" w14:paraId="6C526F1D" w14:textId="77777777" w:rsidTr="00D97646">
        <w:tc>
          <w:tcPr>
            <w:tcW w:w="3018" w:type="dxa"/>
            <w:shd w:val="clear" w:color="auto" w:fill="auto"/>
          </w:tcPr>
          <w:p w14:paraId="5FEB3D2C" w14:textId="77777777" w:rsidR="001B7CF4" w:rsidRPr="009656E1" w:rsidRDefault="001B7CF4" w:rsidP="00D97646">
            <w:pPr>
              <w:spacing w:before="0" w:after="0"/>
              <w:rPr>
                <w:rFonts w:cs="Times New Roman"/>
                <w:b/>
                <w:color w:val="000000"/>
                <w:szCs w:val="24"/>
                <w:lang w:eastAsia="de-DE"/>
              </w:rPr>
            </w:pPr>
            <w:r w:rsidRPr="009656E1">
              <w:rPr>
                <w:rFonts w:cs="Times New Roman"/>
                <w:b/>
                <w:color w:val="000000"/>
                <w:szCs w:val="24"/>
                <w:lang w:eastAsia="de-DE"/>
              </w:rPr>
              <w:t>FOV</w:t>
            </w:r>
          </w:p>
        </w:tc>
        <w:tc>
          <w:tcPr>
            <w:tcW w:w="3015" w:type="dxa"/>
            <w:shd w:val="clear" w:color="auto" w:fill="auto"/>
          </w:tcPr>
          <w:p w14:paraId="5E96AE4E" w14:textId="77777777" w:rsidR="001B7CF4" w:rsidRPr="009656E1" w:rsidRDefault="001B7CF4" w:rsidP="00D97646">
            <w:pPr>
              <w:spacing w:before="0" w:after="0"/>
              <w:rPr>
                <w:rFonts w:cs="Times New Roman"/>
                <w:color w:val="000000"/>
                <w:szCs w:val="24"/>
                <w:vertAlign w:val="superscript"/>
                <w:lang w:eastAsia="de-DE"/>
              </w:rPr>
            </w:pPr>
            <w:r w:rsidRPr="009656E1">
              <w:rPr>
                <w:rFonts w:cs="Times New Roman"/>
                <w:color w:val="000000"/>
                <w:szCs w:val="24"/>
                <w:lang w:eastAsia="de-DE"/>
              </w:rPr>
              <w:t>192mm</w:t>
            </w:r>
            <w:r w:rsidRPr="009656E1">
              <w:rPr>
                <w:rFonts w:cs="Times New Roman"/>
                <w:color w:val="000000"/>
                <w:szCs w:val="24"/>
                <w:vertAlign w:val="superscript"/>
                <w:lang w:eastAsia="de-DE"/>
              </w:rPr>
              <w:t>2</w:t>
            </w:r>
          </w:p>
        </w:tc>
        <w:tc>
          <w:tcPr>
            <w:tcW w:w="3023" w:type="dxa"/>
            <w:shd w:val="clear" w:color="auto" w:fill="auto"/>
          </w:tcPr>
          <w:p w14:paraId="55A9C0B3" w14:textId="77777777" w:rsidR="001B7CF4" w:rsidRPr="009656E1" w:rsidRDefault="001B7CF4" w:rsidP="00D97646">
            <w:pPr>
              <w:spacing w:before="0" w:after="0"/>
              <w:rPr>
                <w:rFonts w:cs="Times New Roman"/>
                <w:color w:val="000000"/>
                <w:szCs w:val="24"/>
                <w:vertAlign w:val="superscript"/>
                <w:lang w:eastAsia="de-DE"/>
              </w:rPr>
            </w:pPr>
            <w:r w:rsidRPr="009656E1">
              <w:rPr>
                <w:rFonts w:cs="Times New Roman"/>
                <w:color w:val="000000"/>
                <w:szCs w:val="24"/>
                <w:lang w:eastAsia="de-DE"/>
              </w:rPr>
              <w:t>192mm</w:t>
            </w:r>
            <w:r w:rsidRPr="009656E1">
              <w:rPr>
                <w:rFonts w:cs="Times New Roman"/>
                <w:color w:val="000000"/>
                <w:szCs w:val="24"/>
                <w:vertAlign w:val="superscript"/>
                <w:lang w:eastAsia="de-DE"/>
              </w:rPr>
              <w:t>2</w:t>
            </w:r>
          </w:p>
        </w:tc>
      </w:tr>
    </w:tbl>
    <w:p w14:paraId="317D8E71" w14:textId="77777777" w:rsidR="001B7CF4" w:rsidRDefault="001B7CF4" w:rsidP="001B7CF4">
      <w:pPr>
        <w:rPr>
          <w:rFonts w:eastAsia="Times New Roman" w:cs="Times New Roman"/>
          <w:color w:val="000000" w:themeColor="text1"/>
          <w:szCs w:val="24"/>
          <w:lang w:eastAsia="de-DE"/>
        </w:rPr>
      </w:pPr>
      <w:r w:rsidRPr="009656E1">
        <w:rPr>
          <w:rFonts w:eastAsia="Times New Roman" w:cs="Times New Roman"/>
          <w:color w:val="000000" w:themeColor="text1"/>
          <w:szCs w:val="24"/>
          <w:lang w:eastAsia="de-DE"/>
        </w:rPr>
        <w:t>FOV = field of view, TE = echo time, TR = relaxation time</w:t>
      </w:r>
    </w:p>
    <w:p w14:paraId="38CE55E6" w14:textId="77777777" w:rsidR="001B7CF4" w:rsidRDefault="001B7CF4" w:rsidP="001B7CF4">
      <w:pPr>
        <w:rPr>
          <w:rFonts w:eastAsia="Times New Roman" w:cs="Times New Roman"/>
          <w:color w:val="000000" w:themeColor="text1"/>
          <w:szCs w:val="24"/>
          <w:lang w:eastAsia="de-DE"/>
        </w:rPr>
      </w:pPr>
    </w:p>
    <w:p w14:paraId="5EC23204" w14:textId="77777777" w:rsidR="001B7CF4" w:rsidRDefault="001B7CF4" w:rsidP="001B7CF4">
      <w:pPr>
        <w:rPr>
          <w:rFonts w:cs="Times New Roman"/>
          <w:sz w:val="20"/>
          <w:szCs w:val="20"/>
        </w:rPr>
      </w:pPr>
    </w:p>
    <w:p w14:paraId="5B05BF02" w14:textId="77777777" w:rsidR="001B7CF4" w:rsidRPr="00E078EA" w:rsidRDefault="001B7CF4" w:rsidP="001B7CF4">
      <w:pPr>
        <w:pStyle w:val="Literaturverzeichnis1"/>
      </w:pPr>
      <w:r>
        <w:fldChar w:fldCharType="begin"/>
      </w:r>
      <w:r>
        <w:instrText xml:space="preserve"> ADDIN ZOTERO_BIBL {"uncited":[],"omitted":[],"custom":[]} CSL_BIBLIOGRAPHY </w:instrText>
      </w:r>
      <w:r>
        <w:fldChar w:fldCharType="separate"/>
      </w:r>
      <w:r w:rsidRPr="00E078EA">
        <w:t>Joos, A.A.B., Saum, B., van Elst, L.T., Perlov, E., Glauche, V., Hartmann, A., Freyer, T., Tüscher, O., Zeeck, A., 2011. Amygdala hyperreactivity in restrictive anorexia nervosa. Psychiatry Res. Neuroimaging 191, 189–195. https://doi.org/10.1016/j.pscychresns.2010.11.008</w:t>
      </w:r>
    </w:p>
    <w:p w14:paraId="6FC1F032" w14:textId="067D9DBA" w:rsidR="00F00663" w:rsidRPr="00A90DE6" w:rsidRDefault="001B7CF4" w:rsidP="001B7CF4">
      <w:pPr>
        <w:pStyle w:val="SupplementaryMaterial"/>
        <w:rPr>
          <w:szCs w:val="24"/>
        </w:rPr>
      </w:pPr>
      <w:r>
        <w:rPr>
          <w:sz w:val="20"/>
          <w:szCs w:val="20"/>
        </w:rPr>
        <w:fldChar w:fldCharType="end"/>
      </w:r>
    </w:p>
    <w:sectPr w:rsidR="00F00663" w:rsidRPr="00A90DE6"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3F02" w14:textId="77777777" w:rsidR="00DE0CD0" w:rsidRDefault="00DE0CD0" w:rsidP="00117666">
      <w:pPr>
        <w:spacing w:after="0"/>
      </w:pPr>
      <w:r>
        <w:separator/>
      </w:r>
    </w:p>
  </w:endnote>
  <w:endnote w:type="continuationSeparator" w:id="0">
    <w:p w14:paraId="139AC4EF" w14:textId="77777777" w:rsidR="00DE0CD0" w:rsidRDefault="00DE0CD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502E" w14:textId="77777777" w:rsidR="00DE0CD0" w:rsidRDefault="00DE0CD0" w:rsidP="00117666">
      <w:pPr>
        <w:spacing w:after="0"/>
      </w:pPr>
      <w:r>
        <w:separator/>
      </w:r>
    </w:p>
  </w:footnote>
  <w:footnote w:type="continuationSeparator" w:id="0">
    <w:p w14:paraId="08233D00" w14:textId="77777777" w:rsidR="00DE0CD0" w:rsidRDefault="00DE0CD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1B7CF4"/>
    <w:rsid w:val="00205948"/>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516B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9F1544"/>
    <w:rsid w:val="00A174D9"/>
    <w:rsid w:val="00A90DE6"/>
    <w:rsid w:val="00AA4D24"/>
    <w:rsid w:val="00AB6715"/>
    <w:rsid w:val="00B1671E"/>
    <w:rsid w:val="00B25EB8"/>
    <w:rsid w:val="00B37F4D"/>
    <w:rsid w:val="00C52A7B"/>
    <w:rsid w:val="00C56BAF"/>
    <w:rsid w:val="00C679AA"/>
    <w:rsid w:val="00C75972"/>
    <w:rsid w:val="00CD066B"/>
    <w:rsid w:val="00CE4FEE"/>
    <w:rsid w:val="00D060CF"/>
    <w:rsid w:val="00DB59C3"/>
    <w:rsid w:val="00DB5CF4"/>
    <w:rsid w:val="00DC259A"/>
    <w:rsid w:val="00DE0CD0"/>
    <w:rsid w:val="00DE23E8"/>
    <w:rsid w:val="00E162B2"/>
    <w:rsid w:val="00E52377"/>
    <w:rsid w:val="00E537AD"/>
    <w:rsid w:val="00E64E17"/>
    <w:rsid w:val="00E866C9"/>
    <w:rsid w:val="00EA3D3C"/>
    <w:rsid w:val="00EC090A"/>
    <w:rsid w:val="00ED20B5"/>
    <w:rsid w:val="00F00663"/>
    <w:rsid w:val="00F46900"/>
    <w:rsid w:val="00F61D89"/>
    <w:rsid w:val="00F8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PlainTable5">
    <w:name w:val="Plain Table 5"/>
    <w:basedOn w:val="TableNormal"/>
    <w:uiPriority w:val="45"/>
    <w:rsid w:val="00A90DE6"/>
    <w:pPr>
      <w:suppressAutoHyphens/>
      <w:spacing w:after="0" w:line="240" w:lineRule="auto"/>
    </w:pPr>
    <w:rPr>
      <w:sz w:val="20"/>
      <w:lang w:val="de-DE"/>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enraster1">
    <w:name w:val="Tabellenraster1"/>
    <w:basedOn w:val="TableNormal"/>
    <w:next w:val="TableGrid"/>
    <w:uiPriority w:val="39"/>
    <w:rsid w:val="001B7CF4"/>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verzeichnis1">
    <w:name w:val="Literaturverzeichnis1"/>
    <w:basedOn w:val="Normal"/>
    <w:link w:val="BibliographyZchn"/>
    <w:rsid w:val="001B7CF4"/>
    <w:pPr>
      <w:spacing w:after="0"/>
      <w:ind w:left="720" w:hanging="720"/>
    </w:pPr>
    <w:rPr>
      <w:rFonts w:cs="Times New Roman"/>
      <w:sz w:val="20"/>
      <w:szCs w:val="20"/>
    </w:rPr>
  </w:style>
  <w:style w:type="character" w:customStyle="1" w:styleId="BibliographyZchn">
    <w:name w:val="Bibliography Zchn"/>
    <w:basedOn w:val="DefaultParagraphFont"/>
    <w:link w:val="Literaturverzeichnis1"/>
    <w:rsid w:val="001B7CF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0BDAA6-6A7F-9645-A629-47A2BE04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Frontiers Media SA</cp:lastModifiedBy>
  <cp:revision>2</cp:revision>
  <cp:lastPrinted>2013-10-03T12:51:00Z</cp:lastPrinted>
  <dcterms:created xsi:type="dcterms:W3CDTF">2020-07-21T16:10:00Z</dcterms:created>
  <dcterms:modified xsi:type="dcterms:W3CDTF">2020-07-21T16:10:00Z</dcterms:modified>
</cp:coreProperties>
</file>