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cs="Arial" w:eastAsiaTheme="minorEastAsia"/>
          <w:szCs w:val="21"/>
          <w:highlight w:val="none"/>
          <w:u w:val="none" w:color="auto"/>
          <w:lang w:eastAsia="zh-CN"/>
        </w:rPr>
      </w:pPr>
      <w:r>
        <w:rPr>
          <w:rFonts w:hint="eastAsia" w:ascii="Arial" w:hAnsi="Arial" w:cs="Arial" w:eastAsiaTheme="minorEastAsia"/>
          <w:szCs w:val="21"/>
          <w:highlight w:val="none"/>
          <w:u w:val="none" w:color="auto"/>
          <w:lang w:eastAsia="zh-CN"/>
        </w:rPr>
        <w:drawing>
          <wp:inline distT="0" distB="0" distL="114300" distR="114300">
            <wp:extent cx="5303520" cy="3181350"/>
            <wp:effectExtent l="0" t="0" r="5080" b="635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b/>
          <w:bCs/>
          <w:szCs w:val="21"/>
          <w:highlight w:val="none"/>
          <w:u w:val="none" w:color="auto"/>
          <w:lang w:val="en-US" w:eastAsia="zh-CN"/>
        </w:rPr>
      </w:pPr>
      <w:r>
        <w:rPr>
          <w:rFonts w:hint="eastAsia" w:ascii="Arial" w:hAnsi="Arial" w:cs="Arial" w:eastAsiaTheme="minorEastAsia"/>
          <w:b/>
          <w:bCs/>
          <w:szCs w:val="21"/>
          <w:highlight w:val="none"/>
          <w:u w:val="none" w:color="auto"/>
          <w:lang w:eastAsia="zh-CN"/>
        </w:rPr>
        <w:t>Supplemental Figure 1</w:t>
      </w:r>
      <w:r>
        <w:rPr>
          <w:rFonts w:hint="eastAsia" w:ascii="Arial" w:hAnsi="Arial" w:cs="Arial"/>
          <w:b/>
          <w:bCs/>
          <w:szCs w:val="21"/>
          <w:highlight w:val="none"/>
          <w:u w:val="none" w:color="auto"/>
          <w:lang w:val="en-US" w:eastAsia="zh-CN"/>
        </w:rPr>
        <w:t>. Study design.</w:t>
      </w:r>
    </w:p>
    <w:p>
      <w:pPr>
        <w:rPr>
          <w:rFonts w:hint="eastAsia" w:ascii="Arial" w:hAnsi="Arial" w:cs="Arial"/>
          <w:szCs w:val="21"/>
          <w:highlight w:val="none"/>
          <w:u w:val="none" w:color="auto"/>
          <w:lang w:val="en-US" w:eastAsia="zh-CN"/>
        </w:rPr>
      </w:pPr>
      <w:r>
        <w:rPr>
          <w:rFonts w:hint="eastAsia" w:ascii="Arial" w:hAnsi="Arial" w:cs="Arial"/>
          <w:szCs w:val="21"/>
          <w:highlight w:val="none"/>
          <w:u w:val="none" w:color="auto"/>
          <w:lang w:val="en-US" w:eastAsia="zh-CN"/>
        </w:rPr>
        <w:t xml:space="preserve">A flow chart to demonstrate enrollment of GM patients in each experiment. </w:t>
      </w:r>
    </w:p>
    <w:p>
      <w:pPr>
        <w:rPr>
          <w:rFonts w:hint="default" w:ascii="Arial" w:hAnsi="Arial" w:cs="Arial"/>
          <w:szCs w:val="21"/>
          <w:highlight w:val="none"/>
          <w:u w:val="none" w:color="auto"/>
          <w:lang w:val="en-US" w:eastAsia="zh-CN"/>
        </w:rPr>
      </w:pPr>
      <w:bookmarkStart w:id="0" w:name="_GoBack"/>
      <w:bookmarkEnd w:id="0"/>
    </w:p>
    <w:p>
      <w:pPr>
        <w:rPr>
          <w:rFonts w:hint="eastAsia" w:ascii="Arial" w:hAnsi="Arial" w:cs="Arial" w:eastAsiaTheme="minorEastAsia"/>
          <w:szCs w:val="21"/>
          <w:highlight w:val="none"/>
          <w:u w:val="none" w:color="auto"/>
          <w:lang w:eastAsia="zh-CN"/>
        </w:rPr>
      </w:pPr>
      <w:r>
        <w:rPr>
          <w:rFonts w:hint="eastAsia" w:ascii="Arial" w:hAnsi="Arial" w:cs="Arial" w:eastAsiaTheme="minorEastAsia"/>
          <w:szCs w:val="21"/>
          <w:highlight w:val="none"/>
          <w:u w:val="none" w:color="auto"/>
          <w:lang w:eastAsia="zh-CN"/>
        </w:rPr>
        <w:drawing>
          <wp:inline distT="0" distB="0" distL="114300" distR="114300">
            <wp:extent cx="4408170" cy="3231515"/>
            <wp:effectExtent l="0" t="0" r="11430" b="6985"/>
            <wp:docPr id="2" name="图片 2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Arial" w:hAnsi="Arial" w:eastAsia="宋体" w:cs="Arial"/>
          <w:sz w:val="20"/>
          <w:szCs w:val="20"/>
          <w:highlight w:val="none"/>
          <w:u w:val="none" w:color="auto"/>
        </w:rPr>
      </w:pP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 xml:space="preserve">Supplemental 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Fi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>gure 2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 xml:space="preserve">. Intact and lost </w:t>
      </w:r>
      <w:r>
        <w:rPr>
          <w:rFonts w:ascii="Arial" w:hAnsi="Arial" w:eastAsia="宋体" w:cs="Arial"/>
          <w:b/>
          <w:bCs/>
          <w:i/>
          <w:sz w:val="20"/>
          <w:szCs w:val="20"/>
          <w:highlight w:val="none"/>
          <w:u w:val="none" w:color="auto"/>
        </w:rPr>
        <w:t>ATRX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 xml:space="preserve"> protein stained by IHC in HSS8T.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  </w:t>
      </w:r>
    </w:p>
    <w:p>
      <w:pPr>
        <w:spacing w:line="480" w:lineRule="auto"/>
        <w:jc w:val="left"/>
        <w:rPr>
          <w:rFonts w:ascii="Arial" w:hAnsi="Arial" w:eastAsia="宋体" w:cs="Arial"/>
          <w:sz w:val="20"/>
          <w:szCs w:val="20"/>
          <w:highlight w:val="none"/>
          <w:u w:val="none" w:color="auto"/>
        </w:rPr>
      </w:pP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IHC to detect </w:t>
      </w:r>
      <w:r>
        <w:rPr>
          <w:rFonts w:ascii="Arial" w:hAnsi="Arial" w:eastAsia="宋体" w:cs="Arial"/>
          <w:i w:val="0"/>
          <w:iCs/>
          <w:sz w:val="20"/>
          <w:szCs w:val="20"/>
          <w:highlight w:val="none"/>
          <w:u w:val="none" w:color="auto"/>
        </w:rPr>
        <w:t>ATRX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 protein performed on a section from case HSS8T with a truncating mutation in </w:t>
      </w:r>
      <w:r>
        <w:rPr>
          <w:rFonts w:ascii="Arial" w:hAnsi="Arial" w:eastAsia="宋体" w:cs="Arial"/>
          <w:i/>
          <w:iCs/>
          <w:sz w:val="20"/>
          <w:szCs w:val="20"/>
          <w:highlight w:val="none"/>
          <w:u w:val="none" w:color="auto"/>
        </w:rPr>
        <w:t>ATRX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>. (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A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) Coexistence of tumor and non-neoplastic cells 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  <w:lang w:val="en-US" w:eastAsia="zh-CN"/>
        </w:rPr>
        <w:t>(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positive and negative for </w:t>
      </w:r>
      <w:r>
        <w:rPr>
          <w:rFonts w:ascii="Arial" w:hAnsi="Arial" w:eastAsia="宋体" w:cs="Arial"/>
          <w:i w:val="0"/>
          <w:iCs/>
          <w:sz w:val="20"/>
          <w:szCs w:val="20"/>
          <w:highlight w:val="none"/>
          <w:u w:val="none" w:color="auto"/>
        </w:rPr>
        <w:t>ATRX</w:t>
      </w:r>
      <w:r>
        <w:rPr>
          <w:rFonts w:hint="eastAsia" w:ascii="Arial" w:hAnsi="Arial" w:eastAsia="宋体" w:cs="Arial"/>
          <w:i w:val="0"/>
          <w:iCs/>
          <w:sz w:val="20"/>
          <w:szCs w:val="20"/>
          <w:highlight w:val="none"/>
          <w:u w:val="none" w:color="auto"/>
          <w:lang w:val="en-US" w:eastAsia="zh-CN"/>
        </w:rPr>
        <w:t>)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 at low magnification in HSS8T; (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B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) tumor cell nuclei 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  <w:lang w:val="en-US" w:eastAsia="zh-CN"/>
        </w:rPr>
        <w:t>(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negative for </w:t>
      </w:r>
      <w:r>
        <w:rPr>
          <w:rFonts w:ascii="Arial" w:hAnsi="Arial" w:eastAsia="宋体" w:cs="Arial"/>
          <w:i w:val="0"/>
          <w:iCs/>
          <w:sz w:val="20"/>
          <w:szCs w:val="20"/>
          <w:highlight w:val="none"/>
          <w:u w:val="none" w:color="auto"/>
        </w:rPr>
        <w:t>ATRX</w:t>
      </w:r>
      <w:r>
        <w:rPr>
          <w:rFonts w:hint="eastAsia" w:ascii="Arial" w:hAnsi="Arial" w:eastAsia="宋体" w:cs="Arial"/>
          <w:i w:val="0"/>
          <w:iCs/>
          <w:sz w:val="20"/>
          <w:szCs w:val="20"/>
          <w:highlight w:val="none"/>
          <w:u w:val="none" w:color="auto"/>
          <w:lang w:val="en-US" w:eastAsia="zh-CN"/>
        </w:rPr>
        <w:t>) and non-neoplastic cells (positive for ATRX; marked by arrows)</w:t>
      </w:r>
      <w:r>
        <w:rPr>
          <w:rFonts w:ascii="Arial" w:hAnsi="Arial" w:eastAsia="宋体" w:cs="Arial"/>
          <w:i w:val="0"/>
          <w:iCs/>
          <w:sz w:val="20"/>
          <w:szCs w:val="20"/>
          <w:highlight w:val="none"/>
          <w:u w:val="none" w:color="auto"/>
        </w:rPr>
        <w:t xml:space="preserve"> 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in 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  <w:lang w:val="en-US" w:eastAsia="zh-CN"/>
        </w:rPr>
        <w:t>tumor region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>; (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C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) Benign epithelial cells as a positive control for </w:t>
      </w:r>
      <w:r>
        <w:rPr>
          <w:rFonts w:ascii="Arial" w:hAnsi="Arial" w:eastAsia="宋体" w:cs="Arial"/>
          <w:i w:val="0"/>
          <w:iCs/>
          <w:sz w:val="20"/>
          <w:szCs w:val="20"/>
          <w:highlight w:val="none"/>
          <w:u w:val="none" w:color="auto"/>
        </w:rPr>
        <w:t>ATRX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 xml:space="preserve"> immunostaining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  <w:lang w:val="en-US" w:eastAsia="zh-CN"/>
        </w:rPr>
        <w:t xml:space="preserve"> (marked by arrows)</w:t>
      </w:r>
      <w:r>
        <w:rPr>
          <w:rFonts w:ascii="Arial" w:hAnsi="Arial" w:eastAsia="宋体" w:cs="Arial"/>
          <w:sz w:val="20"/>
          <w:szCs w:val="20"/>
          <w:highlight w:val="none"/>
          <w:u w:val="none" w:color="auto"/>
        </w:rPr>
        <w:t>. Magnification: ×100.</w:t>
      </w:r>
    </w:p>
    <w:p>
      <w:pPr>
        <w:rPr>
          <w:rFonts w:hint="eastAsia" w:ascii="Arial" w:hAnsi="Arial" w:eastAsia="宋体" w:cs="Arial"/>
          <w:szCs w:val="21"/>
          <w:highlight w:val="none"/>
          <w:u w:val="none" w:color="auto"/>
        </w:rPr>
      </w:pPr>
      <w:r>
        <w:rPr>
          <w:rFonts w:hint="eastAsia" w:ascii="Arial" w:hAnsi="Arial" w:eastAsia="宋体" w:cs="Arial"/>
          <w:szCs w:val="21"/>
          <w:highlight w:val="none"/>
          <w:u w:val="none" w:color="auto"/>
        </w:rPr>
        <w:drawing>
          <wp:inline distT="0" distB="0" distL="114300" distR="114300">
            <wp:extent cx="5270500" cy="3526155"/>
            <wp:effectExtent l="0" t="0" r="0" b="4445"/>
            <wp:docPr id="7" name="图片 7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 xml:space="preserve">Supplemental 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Fi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>gure 3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 xml:space="preserve">. Droplet digital PCR quantitative map. </w:t>
      </w: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80" w:lineRule="auto"/>
        <w:jc w:val="left"/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Representative droplet digital plot for wild-type (VIC, red color) and mutant TERT promoter sequences (FAM, green color) in tumor samples. Yellow color represents droplets with no DNA. (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):HSS2N-TF; (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):HSS8N-TF; (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):HSS19P-TF; and (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Arial" w:hAnsi="Arial" w:cs="Arial"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): HSS20P-TF.</w:t>
      </w:r>
    </w:p>
    <w:p>
      <w:pPr>
        <w:rPr>
          <w:rFonts w:hint="eastAsia" w:ascii="Arial" w:hAnsi="Arial" w:cs="Arial"/>
          <w:szCs w:val="21"/>
          <w:highlight w:val="none"/>
          <w:u w:val="none" w:color="auto"/>
        </w:rPr>
      </w:pPr>
      <w:r>
        <w:rPr>
          <w:rFonts w:hint="eastAsia" w:ascii="Arial" w:hAnsi="Arial" w:cs="Arial"/>
          <w:szCs w:val="21"/>
          <w:highlight w:val="none"/>
          <w:u w:val="none" w:color="auto"/>
        </w:rPr>
        <w:drawing>
          <wp:inline distT="0" distB="0" distL="114300" distR="114300">
            <wp:extent cx="5393055" cy="1606550"/>
            <wp:effectExtent l="0" t="0" r="4445" b="6350"/>
            <wp:docPr id="5" name="图片 5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rcRect r="3189" b="523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</w:pP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 xml:space="preserve">Supplemental 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Fi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  <w:lang w:val="en-US" w:eastAsia="zh-CN"/>
        </w:rPr>
        <w:t>gure 4</w:t>
      </w:r>
      <w:r>
        <w:rPr>
          <w:rFonts w:hint="default" w:ascii="Arial" w:hAnsi="Arial" w:cs="Arial"/>
          <w:b/>
          <w:bCs/>
          <w:color w:val="000000" w:themeColor="text1"/>
          <w:sz w:val="20"/>
          <w:szCs w:val="20"/>
          <w:highlight w:val="none"/>
          <w:u w:val="none" w:color="auto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Arial" w:hAnsi="Arial" w:cs="Arial"/>
          <w:b/>
          <w:bCs/>
          <w:sz w:val="20"/>
          <w:szCs w:val="20"/>
          <w:highlight w:val="none"/>
          <w:u w:val="none" w:color="auto"/>
        </w:rPr>
        <w:t xml:space="preserve"> </w:t>
      </w:r>
      <w:r>
        <w:rPr>
          <w:rFonts w:ascii="Arial" w:hAnsi="Arial" w:eastAsia="宋体" w:cs="Arial"/>
          <w:b/>
          <w:bCs/>
          <w:sz w:val="20"/>
          <w:szCs w:val="20"/>
          <w:highlight w:val="none"/>
          <w:u w:val="none" w:color="auto"/>
        </w:rPr>
        <w:t>FISH performed with a PNA probe to detect telomeres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</w:rPr>
        <w:t>.</w:t>
      </w:r>
    </w:p>
    <w:p>
      <w:pPr>
        <w:spacing w:line="480" w:lineRule="auto"/>
        <w:jc w:val="left"/>
        <w:rPr>
          <w:rFonts w:hint="eastAsia" w:ascii="Arial" w:hAnsi="Arial" w:cs="Arial"/>
          <w:sz w:val="20"/>
          <w:szCs w:val="20"/>
          <w:highlight w:val="none"/>
          <w:u w:val="none" w:color="auto"/>
        </w:rPr>
      </w:pP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</w:rPr>
        <w:t>(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</w:rPr>
        <w:t>A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</w:rPr>
        <w:t>)Weak positive signals (red with arrows) of telomeres in HSS3T; (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</w:rPr>
        <w:t>B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</w:rPr>
        <w:t>) Strong positive signals (red with arrows) of telomeres in HSS6T; (</w:t>
      </w:r>
      <w:r>
        <w:rPr>
          <w:rFonts w:hint="eastAsia" w:ascii="Arial" w:hAnsi="Arial" w:eastAsia="宋体" w:cs="Arial"/>
          <w:b/>
          <w:bCs/>
          <w:sz w:val="20"/>
          <w:szCs w:val="20"/>
          <w:highlight w:val="none"/>
          <w:u w:val="none" w:color="auto"/>
        </w:rPr>
        <w:t>C</w:t>
      </w:r>
      <w:r>
        <w:rPr>
          <w:rFonts w:hint="eastAsia" w:ascii="Arial" w:hAnsi="Arial" w:eastAsia="宋体" w:cs="Arial"/>
          <w:sz w:val="20"/>
          <w:szCs w:val="20"/>
          <w:highlight w:val="none"/>
          <w:u w:val="none" w:color="auto"/>
        </w:rPr>
        <w:t>) negative signals of telomeres in HSS33T. (Scar bar: 5mm)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47B64"/>
    <w:rsid w:val="14DC6B39"/>
    <w:rsid w:val="18243C2B"/>
    <w:rsid w:val="1D700ED2"/>
    <w:rsid w:val="245C6C18"/>
    <w:rsid w:val="293A3693"/>
    <w:rsid w:val="33654B5F"/>
    <w:rsid w:val="374B36E9"/>
    <w:rsid w:val="3B5B3CCE"/>
    <w:rsid w:val="505F60C0"/>
    <w:rsid w:val="595D4104"/>
    <w:rsid w:val="664D3218"/>
    <w:rsid w:val="67540EFC"/>
    <w:rsid w:val="6C696A8F"/>
    <w:rsid w:val="7045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song</dc:creator>
  <cp:lastModifiedBy>宋金合鸟</cp:lastModifiedBy>
  <dcterms:modified xsi:type="dcterms:W3CDTF">2020-07-21T00:40:13Z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