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Predicted disease targets of SNT (related to the Ulcerative Colitis) based on the TTD.</w:t>
      </w:r>
    </w:p>
    <w:tbl>
      <w:tblPr>
        <w:tblStyle w:val="5"/>
        <w:tblpPr w:leftFromText="180" w:rightFromText="180" w:vertAnchor="text" w:horzAnchor="page" w:tblpX="1429" w:tblpY="287"/>
        <w:tblOverlap w:val="never"/>
        <w:tblW w:w="14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2"/>
        <w:gridCol w:w="900"/>
        <w:gridCol w:w="1485"/>
        <w:gridCol w:w="825"/>
        <w:gridCol w:w="690"/>
        <w:gridCol w:w="7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Term description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Adjusted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-value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-LOG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Targets*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ClusterNum</w:t>
            </w:r>
          </w:p>
        </w:tc>
        <w:tc>
          <w:tcPr>
            <w:tcW w:w="78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cluster1(p-value|benjamini-value|coverage|EnrichRatio|gene names)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22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Inflammation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0.581698709</w:t>
            </w:r>
          </w:p>
        </w:tc>
        <w:tc>
          <w:tcPr>
            <w:tcW w:w="825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1.02e-001|2.62e-001|18|1.4|ADAM8;ADK;ADORA1;ADORA2A;ADRB2;AOC3;CSF2;DHFR;F2R;F2RL1;&lt;br&gt;IKBKB;KIT;MIF;NOS3;PLA2G1B;PPARD;PPARG;PTGS2;|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Inflammatory Diseases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0.581698709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1.79e-001|2.62e-001|10|1.4|ADAM17;ALB;HRH3;IKBKB;IL10;ITGAL;PIK3CD;PTGFR;PTGS2;SYK;&lt;br&gt;|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Inflammatory Bowel Disease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0.207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0.684029655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4.06e-002|2.07e-001|6|2.2|ADAM17;ADK;ADORA1;CNR1;P2RX3;PPARG;|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bookmarkStart w:id="0" w:name="OLE_LINK2"/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Ulcerative Colitis</w:t>
            </w:r>
            <w:bookmarkEnd w:id="0"/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0.0421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1.375717904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3.01e-003|4.21e-002|5|3.9|HMOX1;MIF;NPR2;PPARG;PTGER4;|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Nausea And Vomiting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0.111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0.954677021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1.20e-002|1.11e-001|4|3.7|DRD2;HRH1;HTR3A;HTR6;|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Chronic Inflammatory Diseases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0.581698709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6.39e-002|2.62e-001|4|2.4|MC3R;PPARG;PTGS1;TNF;|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0.581698709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1.19e-001|2.62e-001|3|2.3|AURKA;FNTA;TLR9;|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Immune Disease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0.581698709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1.19e-001|2.62e-001|3|2.3|MSTN;NT5E;OPRK1;|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22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Multiple Sclerosis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0.412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0.385102784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9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3.34e-001|4.12e-001|5|1.3|ADRB2;CRH;IFNG;LEP;PPARG;|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Table S2: Prediction of potential target pathways related to SNT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="1446" w:tblpY="2860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3141"/>
        <w:gridCol w:w="1301"/>
        <w:gridCol w:w="705"/>
        <w:gridCol w:w="7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KEGG pathway ID</w:t>
            </w:r>
          </w:p>
        </w:tc>
        <w:tc>
          <w:tcPr>
            <w:tcW w:w="31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KEGG pathway name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Adjusted p-value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Targets*</w:t>
            </w:r>
          </w:p>
        </w:tc>
        <w:tc>
          <w:tcPr>
            <w:tcW w:w="74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gene symbol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hsa04970</w:t>
            </w:r>
          </w:p>
        </w:tc>
        <w:tc>
          <w:tcPr>
            <w:tcW w:w="3141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Salivary Secretion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0.0923</w:t>
            </w:r>
          </w:p>
        </w:tc>
        <w:tc>
          <w:tcPr>
            <w:tcW w:w="705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63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ADRA1A;ADRA1B;ADRA1D;ADRB1;ADRB2;ADRB3;ATP1A1;ATP1A2;ATP2B4;CHRM3;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GUCY1B3;ITPR1;ITPR2;ITPR3;KCNMA1;NOS1;RYR3;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hsa04971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Gastric Acid Secretion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0.0481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ATP1A1;ATP1A2;CAMK2D;CAMK2G;CFTR;CHRM3;HRH2;ITPR1;ITPR2;ITPR3;</w:t>
            </w: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KCNE2;KCNJ1;KCNJ10;KCNJ15;KCNK2;KCNQ1;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hsa04972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Pancreatic Secretion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0.314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AMY2A;ATP1A1;ATP1A2;ATP2A1;ATP2B4;CFTR;CHRM3;ITPR1;ITPR2;ITPR3;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KCNMA1;KCNQ1;PLA2G1B;RHOA;RYR2;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hsa04973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Carbohydrate Digestion And Absorption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0.222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AMY2A;ATP1A1;ATP1A2;CACNA1D;GNAT3;MGAM;SI;TAS1R2;TAS1R3;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hsa04974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Protein Digestion And Absorption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ATP1A1;ATP1A2;KCNQ1;SLC7A7;SLC8A1;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hsa04975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Fat Digestion And Absorption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APOA1;CD36;MTTP;PLA2G1B;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hsa04976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Bile Secretion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0.0668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ABCB1;ABCB4;ABCC4;AQP1;AQP8;ATP1A1;ATP1A2;CFTR;CYP3A4;HMGCR;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NR1H4;RXRA;SLC22A1;SLCO1B1;SLCO1B3;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hsa04977</w:t>
            </w:r>
          </w:p>
        </w:tc>
        <w:tc>
          <w:tcPr>
            <w:tcW w:w="3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Vitamin Digestion And Absorption</w:t>
            </w:r>
          </w:p>
        </w:tc>
        <w:tc>
          <w:tcPr>
            <w:tcW w:w="13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APOA1;LRAT;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78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hsa04978</w:t>
            </w:r>
          </w:p>
        </w:tc>
        <w:tc>
          <w:tcPr>
            <w:tcW w:w="314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Mineral Absorption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0.751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463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ATP1A1;ATP1A2;HMOX1;S100G;SLC26A6;SLC8A1;VDR;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Table S4: </w:t>
      </w:r>
      <w:r>
        <w:rPr>
          <w:rFonts w:hint="default"/>
          <w:b/>
          <w:bCs/>
          <w:sz w:val="24"/>
          <w:szCs w:val="24"/>
          <w:lang w:val="en-US" w:eastAsia="zh-CN"/>
        </w:rPr>
        <w:t>KEGG pathway analysis of differentially regulated proteins related to SNT.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tbl>
      <w:tblPr>
        <w:tblStyle w:val="5"/>
        <w:tblW w:w="14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4140"/>
        <w:gridCol w:w="3224"/>
        <w:gridCol w:w="2524"/>
        <w:gridCol w:w="2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Item name</w:t>
            </w:r>
          </w:p>
        </w:tc>
        <w:tc>
          <w:tcPr>
            <w:tcW w:w="41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Item description</w:t>
            </w:r>
          </w:p>
        </w:tc>
        <w:tc>
          <w:tcPr>
            <w:tcW w:w="32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 of differential protein targets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 number of protein targets</w:t>
            </w:r>
          </w:p>
        </w:tc>
        <w:tc>
          <w:tcPr>
            <w:tcW w:w="26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Adjusted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04512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ECM-receptor interaction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05146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Amoebiasis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04510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Focal adhesion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05165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Human papillomavirus infection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04151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PI3K-Akt signaling pathway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 03320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PPAR signaling pathway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0.0286</w:t>
            </w:r>
          </w:p>
        </w:tc>
      </w:tr>
    </w:tbl>
    <w:p>
      <w:pPr>
        <w:spacing w:line="240" w:lineRule="auto"/>
        <w:rPr>
          <w:sz w:val="24"/>
          <w:szCs w:val="24"/>
          <w:highlight w:val="none"/>
        </w:rPr>
      </w:pPr>
    </w:p>
    <w:p>
      <w:pPr>
        <w:spacing w:line="240" w:lineRule="auto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Figure 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S1: T</w:t>
      </w:r>
      <w:r>
        <w:rPr>
          <w:b/>
          <w:bCs/>
          <w:sz w:val="24"/>
          <w:szCs w:val="24"/>
          <w:highlight w:val="none"/>
        </w:rPr>
        <w:t>he chemical structures of the pharmacoactive compounds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 xml:space="preserve"> of SNT.</w:t>
      </w:r>
      <w:r>
        <w:rPr>
          <w:b/>
          <w:bCs/>
          <w:sz w:val="24"/>
          <w:szCs w:val="24"/>
          <w:highlight w:val="none"/>
        </w:rPr>
        <w:t xml:space="preserve"> </w:t>
      </w:r>
    </w:p>
    <w:p>
      <w:pPr>
        <w:spacing w:line="240" w:lineRule="auto"/>
        <w:rPr>
          <w:b/>
          <w:bCs/>
          <w:sz w:val="24"/>
          <w:szCs w:val="24"/>
          <w:highlight w:val="none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75740" cy="1475740"/>
            <wp:effectExtent l="0" t="0" r="10160" b="10160"/>
            <wp:docPr id="2" name="图片 2" descr="Aconi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onitin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475740" cy="1475740"/>
            <wp:effectExtent l="0" t="0" r="10160" b="10160"/>
            <wp:docPr id="5" name="图片 5" descr="Hypaconi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ypaconitin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75740" cy="1475740"/>
            <wp:effectExtent l="0" t="0" r="10160" b="10160"/>
            <wp:docPr id="11" name="图片 11" descr="Mesaconi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Mesaconit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475740" cy="1475740"/>
            <wp:effectExtent l="0" t="0" r="10160" b="10160"/>
            <wp:docPr id="14" name="图片 14" descr="Glycyrrhizic_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Glycyrrhizic_aci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475740" cy="1475740"/>
            <wp:effectExtent l="0" t="0" r="10160" b="10160"/>
            <wp:docPr id="15" name="图片 15" descr="Liquir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iquiriti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Aconitine         </w:t>
      </w:r>
      <w:r>
        <w:rPr>
          <w:rFonts w:hint="default"/>
          <w:sz w:val="24"/>
          <w:szCs w:val="24"/>
          <w:lang w:val="en-US" w:eastAsia="zh-CN"/>
        </w:rPr>
        <w:t>Hypaconitine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 w:eastAsiaTheme="minorEastAsia"/>
          <w:sz w:val="24"/>
          <w:szCs w:val="24"/>
          <w:lang w:eastAsia="zh-CN"/>
        </w:rPr>
        <w:t>Mesaconitine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default"/>
          <w:sz w:val="24"/>
          <w:szCs w:val="24"/>
          <w:lang w:val="en-US" w:eastAsia="zh-CN"/>
        </w:rPr>
        <w:t>Glycyrrhizic_acid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default"/>
          <w:sz w:val="24"/>
          <w:szCs w:val="24"/>
          <w:lang w:val="en-US" w:eastAsia="zh-CN"/>
        </w:rPr>
        <w:t>Liquiritin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75740" cy="1475740"/>
            <wp:effectExtent l="0" t="0" r="10160" b="10160"/>
            <wp:docPr id="16" name="图片 16" descr="Enoxo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noxolon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75740" cy="1475740"/>
            <wp:effectExtent l="0" t="0" r="10160" b="10160"/>
            <wp:docPr id="17" name="图片 17" descr="Shog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hogao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75740" cy="1475740"/>
            <wp:effectExtent l="0" t="0" r="10160" b="10160"/>
            <wp:docPr id="18" name="图片 18" descr="6-Ging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-Gingero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8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Enoxolone</w:t>
      </w:r>
      <w:r>
        <w:rPr>
          <w:rFonts w:hint="eastAsia"/>
          <w:sz w:val="24"/>
          <w:szCs w:val="24"/>
          <w:lang w:val="en-US" w:eastAsia="zh-CN"/>
        </w:rPr>
        <w:t xml:space="preserve">        6-Shogaol           6-Gingerol</w:t>
      </w: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377190</wp:posOffset>
                </wp:positionV>
                <wp:extent cx="3786505" cy="473710"/>
                <wp:effectExtent l="0" t="0" r="4445" b="254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52645" y="4065270"/>
                          <a:ext cx="3786505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241" w:firstLineChars="100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Figure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2: SNT drug components–targets analysis.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5pt;margin-top:29.7pt;height:37.3pt;width:298.15pt;z-index:251673600;mso-width-relative:page;mso-height-relative:page;" fillcolor="#FFFFFF [3201]" filled="t" stroked="f" coordsize="21600,21600" o:gfxdata="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PeCD1gAAAAoBAAAPAAAAAAAAAAEAIAAAACIAAABkcnMv&#10;ZG93bnJldi54bWxQSwECFAAUAAAACACHTuJATZ9ZHT4CAABP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firstLine="241" w:firstLineChars="100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Figure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S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2: SNT drug components–targets analysis.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spacing w:line="240" w:lineRule="auto"/>
        <w:jc w:val="left"/>
      </w:pPr>
      <w:r>
        <w:rPr>
          <w:sz w:val="24"/>
          <w:szCs w:val="24"/>
        </w:rPr>
        <w:drawing>
          <wp:inline distT="0" distB="0" distL="114300" distR="114300">
            <wp:extent cx="2788920" cy="2232025"/>
            <wp:effectExtent l="0" t="0" r="11430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l="1743" t="2168" b="2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bookmarkStart w:id="1" w:name="_GoBack"/>
      <w:bookmarkEnd w:id="1"/>
    </w:p>
    <w:p>
      <w:pPr>
        <w:widowControl/>
        <w:spacing w:line="240" w:lineRule="auto"/>
        <w:ind w:firstLine="0" w:firstLineChars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0692F"/>
    <w:rsid w:val="12ED6BE8"/>
    <w:rsid w:val="1FCA4D33"/>
    <w:rsid w:val="237879E1"/>
    <w:rsid w:val="26650FF1"/>
    <w:rsid w:val="29E352D0"/>
    <w:rsid w:val="2D280DC8"/>
    <w:rsid w:val="483670C6"/>
    <w:rsid w:val="571B232E"/>
    <w:rsid w:val="6D0608D2"/>
    <w:rsid w:val="796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/>
      <w:kern w:val="44"/>
      <w:sz w:val="2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40" w:lineRule="exact"/>
      <w:outlineLvl w:val="1"/>
    </w:pPr>
    <w:rPr>
      <w:rFonts w:ascii="Arial" w:hAnsi="Arial" w:eastAsia="宋体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spacing w:line="240" w:lineRule="auto"/>
      <w:jc w:val="left"/>
    </w:pPr>
    <w:rPr>
      <w:rFonts w:ascii="Tahoma" w:hAnsi="Tahoma" w:cs="Tahoma"/>
      <w:sz w:val="16"/>
    </w:rPr>
  </w:style>
  <w:style w:type="character" w:styleId="7">
    <w:name w:val="annotation reference"/>
    <w:qFormat/>
    <w:uiPriority w:val="0"/>
    <w:rPr>
      <w:sz w:val="16"/>
      <w:szCs w:val="16"/>
    </w:rPr>
  </w:style>
  <w:style w:type="character" w:customStyle="1" w:styleId="8">
    <w:name w:val="font21"/>
    <w:basedOn w:val="6"/>
    <w:qFormat/>
    <w:uiPriority w:val="0"/>
    <w:rPr>
      <w:rFonts w:ascii="等线" w:hAnsi="等线" w:eastAsia="等线" w:cs="等线"/>
      <w:color w:val="000000"/>
      <w:sz w:val="16"/>
      <w:szCs w:val="16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2020-03-20T12:33:00Z</dcterms:created>
  <dc:creator>冀恩惠</dc:creator>
  <cp:lastModifiedBy>冀恩惠</cp:lastModifiedBy>
  <dcterms:modified xsi:type="dcterms:W3CDTF">2020-06-18T06:21:20Z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