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E75AE" w14:textId="50DF32B3" w:rsidR="00D047DA" w:rsidRDefault="008F3D8A" w:rsidP="00824E93">
      <w:pPr>
        <w:jc w:val="center"/>
        <w:rPr>
          <w:rFonts w:ascii="Helvetica" w:hAnsi="Helvetica"/>
          <w:sz w:val="28"/>
          <w:szCs w:val="28"/>
        </w:rPr>
      </w:pPr>
      <w:bookmarkStart w:id="0" w:name="_GoBack"/>
      <w:bookmarkEnd w:id="0"/>
      <w:r>
        <w:rPr>
          <w:rFonts w:ascii="Helvetica" w:hAnsi="Helvetica"/>
          <w:sz w:val="28"/>
          <w:szCs w:val="28"/>
        </w:rPr>
        <w:t>SUPPLEMENTARY INFORMATION FOR</w:t>
      </w:r>
    </w:p>
    <w:p w14:paraId="68355984" w14:textId="77777777" w:rsidR="00824E93" w:rsidRDefault="00824E93" w:rsidP="00824E93">
      <w:pPr>
        <w:jc w:val="center"/>
        <w:rPr>
          <w:rFonts w:ascii="Helvetica" w:hAnsi="Helvetica"/>
          <w:sz w:val="28"/>
          <w:szCs w:val="28"/>
        </w:rPr>
      </w:pPr>
    </w:p>
    <w:p w14:paraId="61B81DD4" w14:textId="77777777" w:rsidR="00824E93" w:rsidRDefault="00824E93" w:rsidP="00824E93">
      <w:pPr>
        <w:suppressAutoHyphens/>
        <w:jc w:val="center"/>
        <w:rPr>
          <w:rFonts w:ascii="Helvetica" w:eastAsia="SimSun" w:hAnsi="Helvetica" w:cs="Times New Roman"/>
          <w:b/>
          <w:sz w:val="26"/>
          <w:szCs w:val="26"/>
        </w:rPr>
      </w:pPr>
      <w:r w:rsidRPr="00A95D21">
        <w:rPr>
          <w:rFonts w:ascii="Helvetica" w:eastAsia="SimSun" w:hAnsi="Helvetica" w:cs="Times New Roman"/>
          <w:b/>
          <w:sz w:val="26"/>
          <w:szCs w:val="26"/>
        </w:rPr>
        <w:t xml:space="preserve">Fluid Behavior in </w:t>
      </w:r>
      <w:proofErr w:type="spellStart"/>
      <w:r w:rsidRPr="00A95D21">
        <w:rPr>
          <w:rFonts w:ascii="Helvetica" w:eastAsia="SimSun" w:hAnsi="Helvetica" w:cs="Times New Roman"/>
          <w:b/>
          <w:sz w:val="26"/>
          <w:szCs w:val="26"/>
        </w:rPr>
        <w:t>Nanoporous</w:t>
      </w:r>
      <w:proofErr w:type="spellEnd"/>
      <w:r w:rsidRPr="00A95D21">
        <w:rPr>
          <w:rFonts w:ascii="Helvetica" w:eastAsia="SimSun" w:hAnsi="Helvetica" w:cs="Times New Roman"/>
          <w:b/>
          <w:sz w:val="26"/>
          <w:szCs w:val="26"/>
        </w:rPr>
        <w:t xml:space="preserve"> Silica</w:t>
      </w:r>
    </w:p>
    <w:p w14:paraId="6F5D3809" w14:textId="77777777" w:rsidR="00824E93" w:rsidRPr="00A95D21" w:rsidRDefault="00824E93" w:rsidP="00824E93">
      <w:pPr>
        <w:suppressAutoHyphens/>
        <w:jc w:val="center"/>
        <w:rPr>
          <w:rFonts w:ascii="Helvetica" w:eastAsia="SimSun" w:hAnsi="Helvetica" w:cs="Times New Roman"/>
          <w:b/>
          <w:sz w:val="26"/>
          <w:szCs w:val="26"/>
        </w:rPr>
      </w:pPr>
    </w:p>
    <w:p w14:paraId="0A7E864D" w14:textId="69BF4DFE" w:rsidR="00EC3298" w:rsidRPr="00A95D21" w:rsidRDefault="00EC3298" w:rsidP="00EC3298">
      <w:pPr>
        <w:suppressAutoHyphens/>
        <w:jc w:val="center"/>
        <w:rPr>
          <w:rFonts w:ascii="Helvetica" w:eastAsia="SimSun" w:hAnsi="Helvetica" w:cs="Times New Roman"/>
        </w:rPr>
      </w:pPr>
      <w:r>
        <w:rPr>
          <w:rFonts w:ascii="Helvetica" w:eastAsia="SimSun" w:hAnsi="Helvetica" w:cs="Times New Roman"/>
        </w:rPr>
        <w:t>Salim Ok</w:t>
      </w:r>
      <w:r w:rsidRPr="00A95D21">
        <w:rPr>
          <w:rFonts w:ascii="Helvetica" w:eastAsia="SimSun" w:hAnsi="Helvetica" w:cs="Times New Roman"/>
          <w:vertAlign w:val="superscript"/>
        </w:rPr>
        <w:t>1</w:t>
      </w:r>
      <w:r>
        <w:rPr>
          <w:rFonts w:ascii="Helvetica" w:eastAsia="SimSun" w:hAnsi="Helvetica" w:cs="Times New Roman"/>
          <w:vertAlign w:val="superscript"/>
        </w:rPr>
        <w:t>,*</w:t>
      </w:r>
      <w:r w:rsidRPr="00A95D21">
        <w:rPr>
          <w:rFonts w:ascii="Helvetica" w:eastAsia="SimSun" w:hAnsi="Helvetica" w:cs="Times New Roman"/>
        </w:rPr>
        <w:t xml:space="preserve">, </w:t>
      </w:r>
      <w:proofErr w:type="spellStart"/>
      <w:r w:rsidRPr="00A95D21">
        <w:rPr>
          <w:rFonts w:ascii="Helvetica" w:eastAsia="SimSun" w:hAnsi="Helvetica" w:cs="Times New Roman"/>
        </w:rPr>
        <w:t>Bohyun</w:t>
      </w:r>
      <w:proofErr w:type="spellEnd"/>
      <w:r w:rsidRPr="00A95D21">
        <w:rPr>
          <w:rFonts w:ascii="Helvetica" w:eastAsia="SimSun" w:hAnsi="Helvetica" w:cs="Times New Roman"/>
        </w:rPr>
        <w:t xml:space="preserve"> Hwang</w:t>
      </w:r>
      <w:r w:rsidRPr="00A95D21">
        <w:rPr>
          <w:rFonts w:ascii="Helvetica" w:eastAsia="SimSun" w:hAnsi="Helvetica" w:cs="Times New Roman"/>
          <w:vertAlign w:val="superscript"/>
        </w:rPr>
        <w:t>1</w:t>
      </w:r>
      <w:r w:rsidRPr="00A95D21">
        <w:rPr>
          <w:rFonts w:ascii="Helvetica" w:eastAsia="SimSun" w:hAnsi="Helvetica" w:cs="Times New Roman"/>
        </w:rPr>
        <w:t xml:space="preserve">, </w:t>
      </w:r>
      <w:proofErr w:type="spellStart"/>
      <w:r w:rsidRPr="00A95D21">
        <w:rPr>
          <w:rFonts w:ascii="Helvetica" w:eastAsia="SimSun" w:hAnsi="Helvetica" w:cs="Times New Roman"/>
        </w:rPr>
        <w:t>Tingting</w:t>
      </w:r>
      <w:proofErr w:type="spellEnd"/>
      <w:r w:rsidRPr="00A95D21">
        <w:rPr>
          <w:rFonts w:ascii="Helvetica" w:eastAsia="SimSun" w:hAnsi="Helvetica" w:cs="Times New Roman"/>
        </w:rPr>
        <w:t xml:space="preserve"> Liu</w:t>
      </w:r>
      <w:r w:rsidRPr="00A95D21">
        <w:rPr>
          <w:rFonts w:ascii="Helvetica" w:eastAsia="SimSun" w:hAnsi="Helvetica" w:cs="Times New Roman"/>
          <w:vertAlign w:val="superscript"/>
        </w:rPr>
        <w:t>1</w:t>
      </w:r>
      <w:r w:rsidRPr="00A95D21">
        <w:rPr>
          <w:rFonts w:ascii="Helvetica" w:eastAsia="SimSun" w:hAnsi="Helvetica" w:cs="Times New Roman"/>
        </w:rPr>
        <w:t>, Susan Welch</w:t>
      </w:r>
      <w:r w:rsidRPr="00A95D21">
        <w:rPr>
          <w:rFonts w:ascii="Helvetica" w:eastAsia="SimSun" w:hAnsi="Helvetica" w:cs="Times New Roman"/>
          <w:vertAlign w:val="superscript"/>
        </w:rPr>
        <w:t>1</w:t>
      </w:r>
      <w:r w:rsidRPr="00A95D21">
        <w:rPr>
          <w:rFonts w:ascii="Helvetica" w:eastAsia="SimSun" w:hAnsi="Helvetica" w:cs="Times New Roman"/>
        </w:rPr>
        <w:t>, Julia Sheets</w:t>
      </w:r>
      <w:r w:rsidRPr="00A95D21">
        <w:rPr>
          <w:rFonts w:ascii="Helvetica" w:eastAsia="SimSun" w:hAnsi="Helvetica" w:cs="Times New Roman"/>
          <w:vertAlign w:val="superscript"/>
        </w:rPr>
        <w:t>1</w:t>
      </w:r>
      <w:r w:rsidRPr="00A95D21">
        <w:rPr>
          <w:rFonts w:ascii="Helvetica" w:eastAsia="SimSun" w:hAnsi="Helvetica" w:cs="Times New Roman"/>
        </w:rPr>
        <w:t>, David</w:t>
      </w:r>
      <w:r>
        <w:rPr>
          <w:rFonts w:ascii="Helvetica" w:eastAsia="SimSun" w:hAnsi="Helvetica" w:cs="Times New Roman"/>
        </w:rPr>
        <w:t xml:space="preserve"> </w:t>
      </w:r>
      <w:r w:rsidRPr="00A95D21">
        <w:rPr>
          <w:rFonts w:ascii="Helvetica" w:eastAsia="SimSun" w:hAnsi="Helvetica" w:cs="Times New Roman"/>
        </w:rPr>
        <w:t>R. Cole</w:t>
      </w:r>
      <w:r w:rsidRPr="00A95D21">
        <w:rPr>
          <w:rFonts w:ascii="Helvetica" w:eastAsia="SimSun" w:hAnsi="Helvetica" w:cs="Times New Roman"/>
          <w:vertAlign w:val="superscript"/>
        </w:rPr>
        <w:t>1, 2</w:t>
      </w:r>
      <w:r w:rsidRPr="00A95D21">
        <w:rPr>
          <w:rFonts w:ascii="Helvetica" w:eastAsia="SimSun" w:hAnsi="Helvetica" w:cs="Times New Roman"/>
        </w:rPr>
        <w:t xml:space="preserve">, </w:t>
      </w:r>
      <w:r w:rsidRPr="00A95D21">
        <w:rPr>
          <w:rFonts w:ascii="Helvetica" w:eastAsia="Times New Roman" w:hAnsi="Helvetica" w:cs="Arial"/>
        </w:rPr>
        <w:t>Kao-Hsiang Liu</w:t>
      </w:r>
      <w:r w:rsidRPr="00A95D21">
        <w:rPr>
          <w:rFonts w:ascii="Helvetica" w:eastAsia="Times New Roman" w:hAnsi="Helvetica" w:cs="Times New Roman"/>
          <w:vertAlign w:val="superscript"/>
        </w:rPr>
        <w:t>3</w:t>
      </w:r>
      <w:r w:rsidRPr="00A95D21">
        <w:rPr>
          <w:rFonts w:ascii="Helvetica" w:eastAsia="Times New Roman" w:hAnsi="Helvetica" w:cs="Times New Roman"/>
        </w:rPr>
        <w:t>, Chung-Yuan Mou</w:t>
      </w:r>
      <w:r>
        <w:rPr>
          <w:rFonts w:ascii="Helvetica" w:eastAsia="Times New Roman" w:hAnsi="Helvetica" w:cs="Times New Roman"/>
          <w:vertAlign w:val="superscript"/>
        </w:rPr>
        <w:t>4</w:t>
      </w:r>
    </w:p>
    <w:p w14:paraId="29F506D5" w14:textId="40CE9891" w:rsidR="00EC3298" w:rsidRPr="00A95D21" w:rsidRDefault="00EC3298" w:rsidP="00EC3298">
      <w:pPr>
        <w:suppressAutoHyphens/>
        <w:jc w:val="center"/>
        <w:rPr>
          <w:rFonts w:ascii="Helvetica" w:eastAsia="Times New Roman" w:hAnsi="Helvetica" w:cs="Times New Roman"/>
          <w:i/>
          <w:lang w:eastAsia="ja-JP"/>
        </w:rPr>
      </w:pPr>
      <w:r w:rsidRPr="00A95D21">
        <w:rPr>
          <w:rFonts w:ascii="Helvetica" w:eastAsia="Times New Roman" w:hAnsi="Helvetica" w:cs="Times New Roman"/>
          <w:i/>
          <w:vertAlign w:val="superscript"/>
          <w:lang w:eastAsia="ja-JP"/>
        </w:rPr>
        <w:t>1</w:t>
      </w:r>
      <w:r w:rsidRPr="00A95D21">
        <w:rPr>
          <w:rFonts w:ascii="Helvetica" w:eastAsia="Times New Roman" w:hAnsi="Helvetica" w:cs="Times New Roman"/>
          <w:i/>
          <w:lang w:eastAsia="ja-JP"/>
        </w:rPr>
        <w:t xml:space="preserve">School of Earth Sciences and </w:t>
      </w:r>
      <w:r w:rsidRPr="00A95D21">
        <w:rPr>
          <w:rFonts w:ascii="Helvetica" w:eastAsia="Times New Roman" w:hAnsi="Helvetica" w:cs="Times New Roman"/>
          <w:i/>
          <w:vertAlign w:val="superscript"/>
          <w:lang w:eastAsia="ja-JP"/>
        </w:rPr>
        <w:t>2</w:t>
      </w:r>
      <w:r w:rsidRPr="00A95D21">
        <w:rPr>
          <w:rFonts w:ascii="Helvetica" w:eastAsia="Times New Roman" w:hAnsi="Helvetica" w:cs="Times New Roman"/>
          <w:i/>
          <w:lang w:eastAsia="ja-JP"/>
        </w:rPr>
        <w:t>Department of Chemistry</w:t>
      </w:r>
      <w:r>
        <w:rPr>
          <w:rFonts w:ascii="Helvetica" w:eastAsia="Times New Roman" w:hAnsi="Helvetica" w:cs="Times New Roman"/>
          <w:i/>
          <w:lang w:eastAsia="ja-JP"/>
        </w:rPr>
        <w:t xml:space="preserve">, The Ohio State </w:t>
      </w:r>
      <w:r w:rsidRPr="00A95D21">
        <w:rPr>
          <w:rFonts w:ascii="Helvetica" w:eastAsia="Times New Roman" w:hAnsi="Helvetica" w:cs="Times New Roman"/>
          <w:i/>
          <w:lang w:eastAsia="ja-JP"/>
        </w:rPr>
        <w:t>University</w:t>
      </w:r>
      <w:r>
        <w:rPr>
          <w:rFonts w:ascii="Helvetica" w:eastAsia="Times New Roman" w:hAnsi="Helvetica" w:cs="Times New Roman"/>
          <w:i/>
          <w:lang w:eastAsia="ja-JP"/>
        </w:rPr>
        <w:t xml:space="preserve">, </w:t>
      </w:r>
      <w:r w:rsidRPr="00A95D21">
        <w:rPr>
          <w:rFonts w:ascii="Helvetica" w:eastAsia="Times New Roman" w:hAnsi="Helvetica" w:cs="Times New Roman"/>
          <w:i/>
          <w:lang w:eastAsia="ja-JP"/>
        </w:rPr>
        <w:t>Columbus, Ohio 43210</w:t>
      </w:r>
    </w:p>
    <w:p w14:paraId="3813EF79" w14:textId="77777777" w:rsidR="00EC3298" w:rsidRPr="00A95D21" w:rsidRDefault="00EC3298" w:rsidP="00EC3298">
      <w:pPr>
        <w:suppressAutoHyphens/>
        <w:jc w:val="center"/>
        <w:rPr>
          <w:rFonts w:ascii="Helvetica" w:eastAsia="Times New Roman" w:hAnsi="Helvetica" w:cs="Times New Roman"/>
          <w:i/>
          <w:lang w:eastAsia="ja-JP"/>
        </w:rPr>
      </w:pPr>
      <w:r w:rsidRPr="00C34D21">
        <w:rPr>
          <w:rFonts w:ascii="Helvetica" w:eastAsia="Times New Roman" w:hAnsi="Helvetica" w:cs="Times New Roman"/>
          <w:i/>
          <w:vertAlign w:val="superscript"/>
          <w:lang w:eastAsia="ja-JP"/>
        </w:rPr>
        <w:t>3</w:t>
      </w:r>
      <w:r w:rsidRPr="00C34D21">
        <w:rPr>
          <w:rFonts w:ascii="Helvetica" w:eastAsia="Times New Roman" w:hAnsi="Helvetica" w:cs="Times New Roman"/>
        </w:rPr>
        <w:t>Joint Institute for Neutron Science</w:t>
      </w:r>
      <w:r w:rsidRPr="00C34D21">
        <w:rPr>
          <w:rFonts w:ascii="Helvetica" w:eastAsia="Times New Roman" w:hAnsi="Helvetica" w:cs="Times New Roman"/>
          <w:i/>
          <w:lang w:eastAsia="ja-JP"/>
        </w:rPr>
        <w:t xml:space="preserve"> Oak Ridge National Laboratory</w:t>
      </w:r>
      <w:r w:rsidRPr="00C34D21">
        <w:rPr>
          <w:rFonts w:ascii="Helvetica" w:eastAsia="Times New Roman" w:hAnsi="Helvetica" w:cs="Times New Roman"/>
        </w:rPr>
        <w:t xml:space="preserve"> Oak Ridge, Tennessee 37831, </w:t>
      </w:r>
      <w:r w:rsidRPr="00C34D21">
        <w:rPr>
          <w:rStyle w:val="country"/>
          <w:rFonts w:ascii="Helvetica" w:eastAsia="Times New Roman" w:hAnsi="Helvetica" w:cs="Times New Roman"/>
        </w:rPr>
        <w:t>USA</w:t>
      </w:r>
    </w:p>
    <w:p w14:paraId="6FD6C37B" w14:textId="77777777" w:rsidR="00EC3298" w:rsidRPr="00A95D21" w:rsidRDefault="00EC3298" w:rsidP="00EC3298">
      <w:pPr>
        <w:suppressAutoHyphens/>
        <w:jc w:val="center"/>
        <w:rPr>
          <w:rFonts w:ascii="Helvetica" w:eastAsia="Times New Roman" w:hAnsi="Helvetica" w:cs="Times New Roman"/>
          <w:i/>
          <w:lang w:eastAsia="ja-JP"/>
        </w:rPr>
      </w:pPr>
      <w:r>
        <w:rPr>
          <w:rFonts w:ascii="Helvetica" w:eastAsia="Times New Roman" w:hAnsi="Helvetica" w:cs="Times New Roman"/>
          <w:i/>
          <w:vertAlign w:val="superscript"/>
          <w:lang w:eastAsia="ja-JP"/>
        </w:rPr>
        <w:t>4</w:t>
      </w:r>
      <w:r w:rsidRPr="00A95D21">
        <w:rPr>
          <w:rFonts w:ascii="Helvetica" w:eastAsia="Times New Roman" w:hAnsi="Helvetica" w:cs="Times New Roman"/>
          <w:i/>
        </w:rPr>
        <w:t>Department of Chemistry, National Taiwan University, No. 1, Sec. 4, Roosevelt Road, Taipei, 10617 Taiwan (R.O.C.)</w:t>
      </w:r>
    </w:p>
    <w:p w14:paraId="5BD8ACBB" w14:textId="77777777" w:rsidR="00824E93" w:rsidRPr="00B00319" w:rsidRDefault="00824E93" w:rsidP="00824E93">
      <w:pPr>
        <w:suppressAutoHyphens/>
        <w:jc w:val="center"/>
        <w:rPr>
          <w:rFonts w:ascii="Helvetica" w:eastAsia="Times New Roman" w:hAnsi="Helvetica" w:cs="Times New Roman"/>
          <w:i/>
          <w:lang w:eastAsia="ja-JP"/>
        </w:rPr>
      </w:pPr>
    </w:p>
    <w:p w14:paraId="537FCADD" w14:textId="77777777" w:rsidR="00B47BB0" w:rsidRDefault="00B47BB0" w:rsidP="00B47BB0">
      <w:pPr>
        <w:rPr>
          <w:rFonts w:ascii="Helvetica" w:hAnsi="Helvetica" w:cs="Times"/>
          <w:bCs/>
        </w:rPr>
      </w:pPr>
      <w:r>
        <w:rPr>
          <w:rFonts w:ascii="Helvetica" w:hAnsi="Helvetica" w:cs="Times"/>
          <w:b/>
          <w:bCs/>
        </w:rPr>
        <w:t>*</w:t>
      </w:r>
      <w:r w:rsidRPr="007335A5">
        <w:rPr>
          <w:rFonts w:ascii="Helvetica" w:hAnsi="Helvetica" w:cs="Times"/>
          <w:b/>
          <w:bCs/>
        </w:rPr>
        <w:t>Corresponding author</w:t>
      </w:r>
    </w:p>
    <w:p w14:paraId="689668BC" w14:textId="77777777" w:rsidR="00B47BB0" w:rsidRDefault="00B47BB0" w:rsidP="00B47BB0">
      <w:pPr>
        <w:rPr>
          <w:rFonts w:ascii="Helvetica" w:eastAsia="Times New Roman" w:hAnsi="Helvetica" w:cs="Helvetica"/>
          <w:snapToGrid w:val="0"/>
        </w:rPr>
      </w:pPr>
    </w:p>
    <w:p w14:paraId="6D3CD613" w14:textId="77777777" w:rsidR="00B47BB0" w:rsidRDefault="00B47BB0" w:rsidP="00B47BB0">
      <w:pPr>
        <w:rPr>
          <w:rFonts w:ascii="Helvetica" w:eastAsia="Times New Roman" w:hAnsi="Helvetica" w:cs="Helvetica"/>
          <w:b/>
          <w:snapToGrid w:val="0"/>
        </w:rPr>
      </w:pPr>
      <w:r w:rsidRPr="00FD2511">
        <w:rPr>
          <w:rFonts w:ascii="Helvetica" w:eastAsia="Times New Roman" w:hAnsi="Helvetica" w:cs="Helvetica"/>
          <w:b/>
          <w:snapToGrid w:val="0"/>
        </w:rPr>
        <w:t>Contents</w:t>
      </w:r>
    </w:p>
    <w:p w14:paraId="51ED98AD" w14:textId="77777777" w:rsidR="00B47BB0" w:rsidRDefault="00B47BB0" w:rsidP="00B47BB0">
      <w:pPr>
        <w:rPr>
          <w:rFonts w:ascii="Helvetica" w:eastAsia="Times New Roman" w:hAnsi="Helvetica" w:cs="Helvetica"/>
          <w:b/>
          <w:snapToGrid w:val="0"/>
        </w:rPr>
      </w:pPr>
    </w:p>
    <w:p w14:paraId="230715C4" w14:textId="100EA548" w:rsidR="00B47BB0" w:rsidRPr="00B47BB0" w:rsidRDefault="00B47BB0" w:rsidP="00B47BB0">
      <w:pPr>
        <w:pStyle w:val="ListParagraph"/>
        <w:numPr>
          <w:ilvl w:val="0"/>
          <w:numId w:val="1"/>
        </w:numPr>
        <w:ind w:left="360"/>
        <w:jc w:val="both"/>
        <w:rPr>
          <w:rFonts w:ascii="Helvetica" w:hAnsi="Helvetica" w:cs="Times New Roman"/>
        </w:rPr>
      </w:pPr>
      <w:r w:rsidRPr="00B47BB0">
        <w:rPr>
          <w:rFonts w:ascii="Helvetica" w:hAnsi="Helvetica" w:cs="Times New Roman"/>
          <w:b/>
        </w:rPr>
        <w:t>TABLE S1</w:t>
      </w:r>
      <w:r w:rsidRPr="00B47BB0">
        <w:rPr>
          <w:rFonts w:ascii="Helvetica" w:hAnsi="Helvetica" w:cs="Times New Roman"/>
        </w:rPr>
        <w:t xml:space="preserve">. </w:t>
      </w:r>
      <w:r w:rsidRPr="00B47BB0">
        <w:rPr>
          <w:rFonts w:ascii="Helvetica" w:eastAsia="Times New Roman" w:hAnsi="Helvetica" w:cs="Times New Roman"/>
          <w:lang w:eastAsia="ja-JP"/>
        </w:rPr>
        <w:t>S</w:t>
      </w:r>
      <w:r w:rsidRPr="00B47BB0">
        <w:rPr>
          <w:rFonts w:ascii="Helvetica" w:eastAsia="Calibri" w:hAnsi="Helvetica" w:cs="Times New Roman"/>
          <w:bCs/>
        </w:rPr>
        <w:t>urface areas, volumes, and sizes of the pores of model mesoporous silica materials</w:t>
      </w:r>
      <w:r w:rsidRPr="00B47BB0">
        <w:rPr>
          <w:rFonts w:ascii="Helvetica" w:hAnsi="Helvetica" w:cs="Times New Roman"/>
        </w:rPr>
        <w:t>.</w:t>
      </w:r>
    </w:p>
    <w:p w14:paraId="2529AD66" w14:textId="7B066DD6" w:rsidR="002B4E7E" w:rsidRPr="002B4E7E" w:rsidRDefault="002B4E7E" w:rsidP="00B47BB0">
      <w:pPr>
        <w:pStyle w:val="ListParagraph"/>
        <w:numPr>
          <w:ilvl w:val="0"/>
          <w:numId w:val="1"/>
        </w:numPr>
        <w:ind w:left="360"/>
        <w:jc w:val="both"/>
        <w:rPr>
          <w:rFonts w:ascii="Helvetica" w:eastAsia="Times New Roman" w:hAnsi="Helvetica" w:cs="Helvetica"/>
          <w:b/>
          <w:snapToGrid w:val="0"/>
        </w:rPr>
      </w:pPr>
      <w:r w:rsidRPr="00B47BB0">
        <w:rPr>
          <w:rFonts w:ascii="Helvetica" w:eastAsia="Calibri" w:hAnsi="Helvetica" w:cs="Times New Roman"/>
          <w:b/>
          <w:bCs/>
        </w:rPr>
        <w:t>Figure S</w:t>
      </w:r>
      <w:r>
        <w:rPr>
          <w:rFonts w:ascii="Helvetica" w:eastAsia="Calibri" w:hAnsi="Helvetica" w:cs="Times New Roman"/>
          <w:b/>
          <w:bCs/>
        </w:rPr>
        <w:t>1</w:t>
      </w:r>
      <w:r w:rsidRPr="00B47BB0">
        <w:rPr>
          <w:rFonts w:ascii="Helvetica" w:eastAsia="Calibri" w:hAnsi="Helvetica" w:cs="Times New Roman"/>
          <w:bCs/>
        </w:rPr>
        <w:t>.</w:t>
      </w:r>
      <w:r w:rsidRPr="00B47BB0">
        <w:rPr>
          <w:rFonts w:ascii="Helvetica" w:eastAsia="SimSun" w:hAnsi="Helvetica" w:cs="Times New Roman"/>
        </w:rPr>
        <w:t xml:space="preserve"> </w:t>
      </w:r>
      <w:r w:rsidRPr="00B47BB0">
        <w:rPr>
          <w:rFonts w:ascii="Helvetica" w:eastAsia="Calibri" w:hAnsi="Helvetica" w:cs="Times New Roman"/>
          <w:bCs/>
        </w:rPr>
        <w:t xml:space="preserve">Nitrogen adsorption and desorption isotherms at 77 K for the three materials in this study. The insets are the pore size distribution plots, derived from different models.  </w:t>
      </w:r>
    </w:p>
    <w:p w14:paraId="25F0FCDC" w14:textId="2E1322F0" w:rsidR="002B4E7E" w:rsidRDefault="002B4E7E" w:rsidP="002B4E7E">
      <w:pPr>
        <w:pStyle w:val="ListParagraph"/>
        <w:numPr>
          <w:ilvl w:val="0"/>
          <w:numId w:val="1"/>
        </w:numPr>
        <w:suppressAutoHyphens/>
        <w:ind w:left="360"/>
        <w:jc w:val="both"/>
        <w:rPr>
          <w:rFonts w:ascii="Helvetica" w:eastAsia="Calibri" w:hAnsi="Helvetica" w:cs="Times New Roman"/>
          <w:bCs/>
        </w:rPr>
      </w:pPr>
      <w:r>
        <w:rPr>
          <w:rFonts w:ascii="Helvetica" w:eastAsia="Calibri" w:hAnsi="Helvetica" w:cs="Times New Roman"/>
          <w:b/>
          <w:bCs/>
        </w:rPr>
        <w:t>Figure S2</w:t>
      </w:r>
      <w:r w:rsidRPr="00B47BB0">
        <w:rPr>
          <w:rFonts w:ascii="Helvetica" w:eastAsia="Calibri" w:hAnsi="Helvetica" w:cs="Times New Roman"/>
          <w:b/>
          <w:bCs/>
        </w:rPr>
        <w:t xml:space="preserve"> (a-c)</w:t>
      </w:r>
      <w:r w:rsidRPr="00B47BB0">
        <w:rPr>
          <w:rFonts w:ascii="Helvetica" w:eastAsia="Calibri" w:hAnsi="Helvetica" w:cs="Times New Roman"/>
          <w:bCs/>
        </w:rPr>
        <w:t>.</w:t>
      </w:r>
      <w:r w:rsidRPr="00B47BB0">
        <w:rPr>
          <w:rFonts w:ascii="Helvetica" w:eastAsia="SimSun" w:hAnsi="Helvetica" w:cs="Times New Roman"/>
        </w:rPr>
        <w:t xml:space="preserve"> </w:t>
      </w:r>
      <w:r w:rsidRPr="00B47BB0">
        <w:rPr>
          <w:rFonts w:ascii="Helvetica" w:eastAsia="Calibri" w:hAnsi="Helvetica" w:cs="Times New Roman"/>
          <w:bCs/>
        </w:rPr>
        <w:t>TXRD patterns of (a) silica-4.0 nm, (b) silica-2.5 nm, and (c) silica-1.5 nm in this study.</w:t>
      </w:r>
    </w:p>
    <w:p w14:paraId="6DB2F97F" w14:textId="62BC4212" w:rsidR="002B4E7E" w:rsidRPr="002B4E7E" w:rsidRDefault="002B4E7E" w:rsidP="002B4E7E">
      <w:pPr>
        <w:pStyle w:val="ListParagraph"/>
        <w:numPr>
          <w:ilvl w:val="0"/>
          <w:numId w:val="1"/>
        </w:numPr>
        <w:suppressAutoHyphens/>
        <w:ind w:left="360"/>
        <w:jc w:val="both"/>
        <w:rPr>
          <w:rFonts w:ascii="Helvetica" w:eastAsia="Calibri" w:hAnsi="Helvetica" w:cs="Times New Roman"/>
          <w:bCs/>
        </w:rPr>
      </w:pPr>
      <w:r>
        <w:rPr>
          <w:rFonts w:ascii="Helvetica" w:eastAsia="Calibri" w:hAnsi="Helvetica" w:cs="Times New Roman"/>
          <w:b/>
          <w:bCs/>
        </w:rPr>
        <w:t>Figure S3</w:t>
      </w:r>
      <w:r w:rsidRPr="00B47BB0">
        <w:rPr>
          <w:rFonts w:ascii="Helvetica" w:eastAsia="Calibri" w:hAnsi="Helvetica" w:cs="Times New Roman"/>
          <w:b/>
          <w:bCs/>
        </w:rPr>
        <w:t xml:space="preserve"> (a-b)</w:t>
      </w:r>
      <w:r w:rsidRPr="00B47BB0">
        <w:rPr>
          <w:rFonts w:ascii="Helvetica" w:eastAsia="Calibri" w:hAnsi="Helvetica" w:cs="Times New Roman"/>
          <w:bCs/>
        </w:rPr>
        <w:t>. Representative TGA curve of the engineered silica-4.0 nm (similar results were observed in the cases of silica-2.5 nm and silica-1.5 nm) (a), mass loss of the silica samples as a function of drying time revealing pore volume capacity of the silica samples (b).</w:t>
      </w:r>
    </w:p>
    <w:p w14:paraId="55D5A438" w14:textId="443288F4" w:rsidR="002B4E7E" w:rsidRPr="002B4E7E" w:rsidRDefault="00B47BB0" w:rsidP="002B4E7E">
      <w:pPr>
        <w:pStyle w:val="ListParagraph"/>
        <w:numPr>
          <w:ilvl w:val="0"/>
          <w:numId w:val="1"/>
        </w:numPr>
        <w:suppressAutoHyphens/>
        <w:ind w:left="360"/>
        <w:jc w:val="both"/>
        <w:rPr>
          <w:rFonts w:ascii="Helvetica" w:eastAsia="Calibri" w:hAnsi="Helvetica" w:cs="Times New Roman"/>
          <w:b/>
          <w:bCs/>
          <w:snapToGrid w:val="0"/>
        </w:rPr>
      </w:pPr>
      <w:r w:rsidRPr="002B4E7E">
        <w:rPr>
          <w:rFonts w:ascii="Helvetica" w:eastAsia="Calibri" w:hAnsi="Helvetica" w:cs="Times New Roman"/>
          <w:b/>
          <w:bCs/>
        </w:rPr>
        <w:t>Figure S</w:t>
      </w:r>
      <w:r w:rsidR="002B4E7E" w:rsidRPr="002B4E7E">
        <w:rPr>
          <w:rFonts w:ascii="Helvetica" w:eastAsia="Calibri" w:hAnsi="Helvetica" w:cs="Times New Roman"/>
          <w:b/>
          <w:bCs/>
        </w:rPr>
        <w:t>4</w:t>
      </w:r>
      <w:r w:rsidRPr="002B4E7E">
        <w:rPr>
          <w:rFonts w:ascii="Helvetica" w:eastAsia="Calibri" w:hAnsi="Helvetica" w:cs="Times New Roman"/>
          <w:b/>
          <w:bCs/>
        </w:rPr>
        <w:t xml:space="preserve"> (a-e)</w:t>
      </w:r>
      <w:r w:rsidRPr="002B4E7E">
        <w:rPr>
          <w:rFonts w:ascii="Helvetica" w:eastAsia="Calibri" w:hAnsi="Helvetica" w:cs="Times New Roman"/>
          <w:bCs/>
        </w:rPr>
        <w:t>. The mixture of 150 mg silica-4.0 nm and 0.8 ml water with excess fluid on top after centrifugation (a), and after homogenization by sonication for 15 minutes (b), no excess water was observed in the mixture of 150 mg silica 2.5 nm and 0.8 ml water after centrifugation (c), the mixture of 150 mg silica 1.5 nm and 0.8 ml water with excess fluid on top after centrifugation (d), and after homogenization by sonication for 15 minutes (e). The “object” behind the vials is utilized to show the “excess water” on top of the vials in images (a) and (d) versus “</w:t>
      </w:r>
      <w:r w:rsidR="0006529B" w:rsidRPr="00B94952">
        <w:rPr>
          <w:rFonts w:ascii="Helvetica" w:eastAsia="Calibri" w:hAnsi="Helvetica" w:cs="Times New Roman"/>
          <w:bCs/>
          <w:color w:val="0000FF"/>
        </w:rPr>
        <w:t>cloud</w:t>
      </w:r>
      <w:r w:rsidRPr="00B94952">
        <w:rPr>
          <w:rFonts w:ascii="Helvetica" w:eastAsia="Calibri" w:hAnsi="Helvetica" w:cs="Times New Roman"/>
          <w:bCs/>
          <w:color w:val="0000FF"/>
        </w:rPr>
        <w:t>y</w:t>
      </w:r>
      <w:r w:rsidRPr="002B4E7E">
        <w:rPr>
          <w:rFonts w:ascii="Helvetica" w:eastAsia="Calibri" w:hAnsi="Helvetica" w:cs="Times New Roman"/>
          <w:bCs/>
        </w:rPr>
        <w:t xml:space="preserve">” situation on top of the vials in images (b), (c), and (e).  </w:t>
      </w:r>
    </w:p>
    <w:p w14:paraId="2C8D3DC6" w14:textId="57F05769" w:rsidR="000E5B68" w:rsidRDefault="000E5B68" w:rsidP="00D96572">
      <w:pPr>
        <w:spacing w:line="360" w:lineRule="auto"/>
        <w:jc w:val="both"/>
        <w:rPr>
          <w:rFonts w:ascii="Helvetica" w:hAnsi="Helvetica"/>
        </w:rPr>
      </w:pPr>
    </w:p>
    <w:p w14:paraId="2DAA1D9E" w14:textId="77777777" w:rsidR="00AE0C29" w:rsidRPr="005E07A2" w:rsidRDefault="00AE0C29" w:rsidP="00AE0C29">
      <w:pPr>
        <w:pageBreakBefore/>
        <w:suppressAutoHyphens/>
        <w:spacing w:line="360" w:lineRule="auto"/>
        <w:rPr>
          <w:rFonts w:ascii="Times New Roman" w:eastAsia="SimSun" w:hAnsi="Times New Roman" w:cs="Times New Roman"/>
          <w:b/>
          <w:sz w:val="22"/>
          <w:szCs w:val="22"/>
        </w:rPr>
      </w:pPr>
      <w:r>
        <w:rPr>
          <w:rFonts w:ascii="Times New Roman" w:eastAsia="Calibri" w:hAnsi="Times New Roman" w:cs="Times New Roman"/>
          <w:b/>
          <w:bCs/>
          <w:sz w:val="22"/>
          <w:szCs w:val="22"/>
        </w:rPr>
        <w:lastRenderedPageBreak/>
        <w:t>TABLE</w:t>
      </w:r>
      <w:r w:rsidRPr="005E07A2">
        <w:rPr>
          <w:rFonts w:ascii="Times New Roman" w:eastAsia="Calibri" w:hAnsi="Times New Roman" w:cs="Times New Roman"/>
          <w:b/>
          <w:bCs/>
          <w:sz w:val="22"/>
          <w:szCs w:val="22"/>
        </w:rPr>
        <w:t xml:space="preserve"> </w:t>
      </w:r>
      <w:r>
        <w:rPr>
          <w:rFonts w:ascii="Times New Roman" w:eastAsia="Calibri" w:hAnsi="Times New Roman" w:cs="Times New Roman"/>
          <w:b/>
          <w:bCs/>
          <w:sz w:val="22"/>
          <w:szCs w:val="22"/>
        </w:rPr>
        <w:t>S</w:t>
      </w:r>
      <w:r w:rsidRPr="005E07A2">
        <w:rPr>
          <w:rFonts w:ascii="Times New Roman" w:eastAsia="Calibri" w:hAnsi="Times New Roman" w:cs="Times New Roman"/>
          <w:b/>
          <w:bCs/>
          <w:sz w:val="22"/>
          <w:szCs w:val="22"/>
        </w:rPr>
        <w:t>1.</w:t>
      </w:r>
      <w:r w:rsidRPr="005E07A2">
        <w:rPr>
          <w:rFonts w:ascii="Times New Roman" w:eastAsia="Times New Roman" w:hAnsi="Times New Roman" w:cs="Times New Roman"/>
          <w:sz w:val="22"/>
          <w:szCs w:val="22"/>
          <w:lang w:eastAsia="ja-JP"/>
        </w:rPr>
        <w:t xml:space="preserve"> </w:t>
      </w:r>
      <w:proofErr w:type="gramStart"/>
      <w:r w:rsidRPr="005E07A2">
        <w:rPr>
          <w:rFonts w:ascii="Times New Roman" w:eastAsia="Times New Roman" w:hAnsi="Times New Roman" w:cs="Times New Roman"/>
          <w:sz w:val="22"/>
          <w:szCs w:val="22"/>
          <w:lang w:eastAsia="ja-JP"/>
        </w:rPr>
        <w:t>S</w:t>
      </w:r>
      <w:r w:rsidRPr="005E07A2">
        <w:rPr>
          <w:rFonts w:ascii="Times New Roman" w:eastAsia="Calibri" w:hAnsi="Times New Roman" w:cs="Times New Roman"/>
          <w:bCs/>
          <w:sz w:val="22"/>
          <w:szCs w:val="22"/>
        </w:rPr>
        <w:t>urface areas, volumes, and sizes of the pores of model mesoporous silica materials.</w:t>
      </w:r>
      <w:proofErr w:type="gramEnd"/>
      <w:r w:rsidRPr="005E07A2">
        <w:rPr>
          <w:rFonts w:ascii="Times New Roman" w:eastAsia="SimSun" w:hAnsi="Times New Roman" w:cs="Times New Roman"/>
          <w:b/>
          <w:sz w:val="22"/>
          <w:szCs w:val="22"/>
        </w:rPr>
        <w:t xml:space="preserve"> </w:t>
      </w:r>
    </w:p>
    <w:tbl>
      <w:tblPr>
        <w:tblW w:w="0" w:type="auto"/>
        <w:tblBorders>
          <w:top w:val="single" w:sz="12" w:space="0" w:color="00000A"/>
          <w:left w:val="nil"/>
          <w:bottom w:val="single" w:sz="8" w:space="0" w:color="00000A"/>
          <w:right w:val="nil"/>
          <w:insideH w:val="single" w:sz="8" w:space="0" w:color="00000A"/>
          <w:insideV w:val="nil"/>
        </w:tblBorders>
        <w:tblLook w:val="04A0" w:firstRow="1" w:lastRow="0" w:firstColumn="1" w:lastColumn="0" w:noHBand="0" w:noVBand="1"/>
      </w:tblPr>
      <w:tblGrid>
        <w:gridCol w:w="4378"/>
        <w:gridCol w:w="1670"/>
        <w:gridCol w:w="1392"/>
        <w:gridCol w:w="1416"/>
      </w:tblGrid>
      <w:tr w:rsidR="00AE0C29" w:rsidRPr="00442FC5" w14:paraId="2B4B3FED" w14:textId="77777777" w:rsidTr="00F46443">
        <w:tc>
          <w:tcPr>
            <w:tcW w:w="4378" w:type="dxa"/>
            <w:tcBorders>
              <w:top w:val="single" w:sz="12" w:space="0" w:color="00000A"/>
              <w:left w:val="nil"/>
              <w:bottom w:val="single" w:sz="8" w:space="0" w:color="00000A"/>
              <w:right w:val="nil"/>
            </w:tcBorders>
            <w:shd w:val="clear" w:color="auto" w:fill="auto"/>
            <w:vAlign w:val="bottom"/>
          </w:tcPr>
          <w:p w14:paraId="723F0632" w14:textId="77777777" w:rsidR="00AE0C29" w:rsidRPr="001C4633" w:rsidRDefault="00AE0C29" w:rsidP="00F46443">
            <w:pPr>
              <w:suppressAutoHyphens/>
              <w:spacing w:line="360" w:lineRule="auto"/>
              <w:jc w:val="center"/>
              <w:rPr>
                <w:rFonts w:ascii="Times New Roman" w:eastAsia="SimSun" w:hAnsi="Times New Roman" w:cs="Calibri"/>
                <w:sz w:val="20"/>
                <w:szCs w:val="20"/>
              </w:rPr>
            </w:pPr>
          </w:p>
        </w:tc>
        <w:tc>
          <w:tcPr>
            <w:tcW w:w="1670" w:type="dxa"/>
            <w:tcBorders>
              <w:top w:val="single" w:sz="12" w:space="0" w:color="00000A"/>
              <w:left w:val="nil"/>
              <w:bottom w:val="single" w:sz="8" w:space="0" w:color="00000A"/>
              <w:right w:val="nil"/>
            </w:tcBorders>
            <w:shd w:val="clear" w:color="auto" w:fill="auto"/>
            <w:vAlign w:val="bottom"/>
          </w:tcPr>
          <w:p w14:paraId="76DD9729" w14:textId="77777777" w:rsidR="00AE0C29" w:rsidRPr="001C4633" w:rsidRDefault="00AE0C29" w:rsidP="00F46443">
            <w:pPr>
              <w:suppressAutoHyphens/>
              <w:spacing w:line="360" w:lineRule="auto"/>
              <w:jc w:val="center"/>
              <w:rPr>
                <w:rFonts w:ascii="Times New Roman" w:eastAsia="Times New Roman" w:hAnsi="Times New Roman" w:cs="Times New Roman"/>
                <w:color w:val="000000"/>
                <w:sz w:val="20"/>
                <w:szCs w:val="20"/>
              </w:rPr>
            </w:pPr>
            <w:r w:rsidRPr="001C4633">
              <w:rPr>
                <w:rFonts w:ascii="Times New Roman" w:eastAsia="Times New Roman" w:hAnsi="Times New Roman" w:cs="Times New Roman"/>
                <w:color w:val="000000"/>
                <w:sz w:val="20"/>
                <w:szCs w:val="20"/>
              </w:rPr>
              <w:t>Silica-4.0 nm</w:t>
            </w:r>
          </w:p>
        </w:tc>
        <w:tc>
          <w:tcPr>
            <w:tcW w:w="1392" w:type="dxa"/>
            <w:tcBorders>
              <w:top w:val="single" w:sz="12" w:space="0" w:color="00000A"/>
              <w:left w:val="nil"/>
              <w:bottom w:val="single" w:sz="8" w:space="0" w:color="00000A"/>
              <w:right w:val="nil"/>
            </w:tcBorders>
            <w:shd w:val="clear" w:color="auto" w:fill="auto"/>
            <w:vAlign w:val="bottom"/>
          </w:tcPr>
          <w:p w14:paraId="2DFCE86C" w14:textId="77777777" w:rsidR="00AE0C29" w:rsidRPr="001C4633" w:rsidRDefault="00AE0C29" w:rsidP="00F46443">
            <w:pPr>
              <w:suppressAutoHyphens/>
              <w:spacing w:line="360" w:lineRule="auto"/>
              <w:jc w:val="center"/>
              <w:rPr>
                <w:rFonts w:ascii="Times New Roman" w:eastAsia="Times New Roman" w:hAnsi="Times New Roman" w:cs="Times New Roman"/>
                <w:color w:val="000000"/>
                <w:sz w:val="20"/>
                <w:szCs w:val="20"/>
              </w:rPr>
            </w:pPr>
            <w:r w:rsidRPr="001C4633">
              <w:rPr>
                <w:rFonts w:ascii="Times New Roman" w:eastAsia="Times New Roman" w:hAnsi="Times New Roman" w:cs="Times New Roman"/>
                <w:color w:val="000000"/>
                <w:sz w:val="20"/>
                <w:szCs w:val="20"/>
              </w:rPr>
              <w:t>Silica-2.5 nm</w:t>
            </w:r>
          </w:p>
        </w:tc>
        <w:tc>
          <w:tcPr>
            <w:tcW w:w="1416" w:type="dxa"/>
            <w:tcBorders>
              <w:top w:val="single" w:sz="12" w:space="0" w:color="00000A"/>
              <w:left w:val="nil"/>
              <w:bottom w:val="single" w:sz="8" w:space="0" w:color="00000A"/>
              <w:right w:val="nil"/>
            </w:tcBorders>
            <w:shd w:val="clear" w:color="auto" w:fill="auto"/>
            <w:vAlign w:val="bottom"/>
          </w:tcPr>
          <w:p w14:paraId="5A6D39B2" w14:textId="77777777" w:rsidR="00AE0C29" w:rsidRPr="001C4633" w:rsidRDefault="00AE0C29" w:rsidP="00F46443">
            <w:pPr>
              <w:suppressAutoHyphens/>
              <w:spacing w:line="360" w:lineRule="auto"/>
              <w:jc w:val="center"/>
              <w:rPr>
                <w:rFonts w:ascii="Times New Roman" w:eastAsia="Times New Roman" w:hAnsi="Times New Roman" w:cs="Times New Roman"/>
                <w:color w:val="000000"/>
                <w:sz w:val="20"/>
                <w:szCs w:val="20"/>
              </w:rPr>
            </w:pPr>
            <w:r w:rsidRPr="001C4633">
              <w:rPr>
                <w:rFonts w:ascii="Times New Roman" w:eastAsia="Times New Roman" w:hAnsi="Times New Roman" w:cs="Times New Roman"/>
                <w:color w:val="000000"/>
                <w:sz w:val="20"/>
                <w:szCs w:val="20"/>
              </w:rPr>
              <w:t>Silica-1.5 nm</w:t>
            </w:r>
          </w:p>
        </w:tc>
      </w:tr>
      <w:tr w:rsidR="00AE0C29" w:rsidRPr="00442FC5" w14:paraId="15AD6F06" w14:textId="77777777" w:rsidTr="00F46443">
        <w:tc>
          <w:tcPr>
            <w:tcW w:w="4378" w:type="dxa"/>
            <w:tcBorders>
              <w:top w:val="single" w:sz="8" w:space="0" w:color="00000A"/>
              <w:left w:val="nil"/>
              <w:bottom w:val="nil"/>
              <w:right w:val="nil"/>
            </w:tcBorders>
            <w:shd w:val="clear" w:color="auto" w:fill="auto"/>
            <w:vAlign w:val="bottom"/>
          </w:tcPr>
          <w:p w14:paraId="00E02DE9" w14:textId="77777777" w:rsidR="00AE0C29" w:rsidRPr="00442FC5" w:rsidRDefault="00AE0C29" w:rsidP="00F46443">
            <w:pPr>
              <w:suppressAutoHyphens/>
              <w:spacing w:line="360" w:lineRule="auto"/>
              <w:jc w:val="center"/>
              <w:rPr>
                <w:rFonts w:ascii="Times New Roman" w:eastAsia="Times New Roman" w:hAnsi="Times New Roman" w:cs="Times New Roman"/>
                <w:color w:val="000000"/>
              </w:rPr>
            </w:pPr>
            <w:r w:rsidRPr="00442FC5">
              <w:rPr>
                <w:rFonts w:ascii="Times New Roman" w:eastAsia="Times New Roman" w:hAnsi="Times New Roman" w:cs="Times New Roman"/>
                <w:color w:val="000000"/>
              </w:rPr>
              <w:t>BET Surface area (m</w:t>
            </w:r>
            <w:r w:rsidRPr="00442FC5">
              <w:rPr>
                <w:rFonts w:ascii="Times New Roman" w:eastAsia="Times New Roman" w:hAnsi="Times New Roman" w:cs="Times New Roman"/>
                <w:color w:val="000000"/>
                <w:vertAlign w:val="superscript"/>
              </w:rPr>
              <w:t>2</w:t>
            </w:r>
            <w:r w:rsidRPr="00442FC5">
              <w:rPr>
                <w:rFonts w:ascii="Times New Roman" w:eastAsia="Times New Roman" w:hAnsi="Times New Roman" w:cs="Times New Roman"/>
                <w:color w:val="000000"/>
              </w:rPr>
              <w:t>/g)</w:t>
            </w:r>
          </w:p>
        </w:tc>
        <w:tc>
          <w:tcPr>
            <w:tcW w:w="1670" w:type="dxa"/>
            <w:tcBorders>
              <w:top w:val="single" w:sz="8" w:space="0" w:color="00000A"/>
              <w:left w:val="nil"/>
              <w:bottom w:val="nil"/>
              <w:right w:val="nil"/>
            </w:tcBorders>
            <w:shd w:val="clear" w:color="auto" w:fill="auto"/>
            <w:vAlign w:val="bottom"/>
          </w:tcPr>
          <w:p w14:paraId="334DE9B6" w14:textId="77777777" w:rsidR="00AE0C29" w:rsidRPr="00442FC5" w:rsidRDefault="00AE0C29" w:rsidP="00F46443">
            <w:pPr>
              <w:suppressAutoHyphens/>
              <w:spacing w:line="360" w:lineRule="auto"/>
              <w:jc w:val="center"/>
              <w:rPr>
                <w:rFonts w:ascii="Times New Roman" w:eastAsia="SimSun" w:hAnsi="Times New Roman" w:cs="Times New Roman"/>
              </w:rPr>
            </w:pPr>
            <w:r w:rsidRPr="00442FC5">
              <w:rPr>
                <w:rFonts w:ascii="Times New Roman" w:eastAsia="SimSun" w:hAnsi="Times New Roman" w:cs="Times New Roman"/>
              </w:rPr>
              <w:t>597</w:t>
            </w:r>
          </w:p>
        </w:tc>
        <w:tc>
          <w:tcPr>
            <w:tcW w:w="1392" w:type="dxa"/>
            <w:tcBorders>
              <w:top w:val="single" w:sz="8" w:space="0" w:color="00000A"/>
              <w:left w:val="nil"/>
              <w:bottom w:val="nil"/>
              <w:right w:val="nil"/>
            </w:tcBorders>
            <w:shd w:val="clear" w:color="auto" w:fill="auto"/>
            <w:vAlign w:val="bottom"/>
          </w:tcPr>
          <w:p w14:paraId="4F0BA915" w14:textId="77777777" w:rsidR="00AE0C29" w:rsidRPr="00442FC5" w:rsidRDefault="00AE0C29" w:rsidP="00F46443">
            <w:pPr>
              <w:suppressAutoHyphens/>
              <w:spacing w:line="360" w:lineRule="auto"/>
              <w:jc w:val="center"/>
              <w:rPr>
                <w:rFonts w:ascii="Times New Roman" w:eastAsia="SimSun" w:hAnsi="Times New Roman" w:cs="Times New Roman"/>
              </w:rPr>
            </w:pPr>
            <w:r w:rsidRPr="00442FC5">
              <w:rPr>
                <w:rFonts w:ascii="Times New Roman" w:eastAsia="SimSun" w:hAnsi="Times New Roman" w:cs="Times New Roman"/>
              </w:rPr>
              <w:t>1167</w:t>
            </w:r>
          </w:p>
        </w:tc>
        <w:tc>
          <w:tcPr>
            <w:tcW w:w="1416" w:type="dxa"/>
            <w:tcBorders>
              <w:top w:val="single" w:sz="8" w:space="0" w:color="00000A"/>
              <w:left w:val="nil"/>
              <w:bottom w:val="nil"/>
              <w:right w:val="nil"/>
            </w:tcBorders>
            <w:shd w:val="clear" w:color="auto" w:fill="auto"/>
            <w:vAlign w:val="bottom"/>
          </w:tcPr>
          <w:p w14:paraId="0D62784A" w14:textId="77777777" w:rsidR="00AE0C29" w:rsidRPr="00442FC5" w:rsidRDefault="00AE0C29" w:rsidP="00F46443">
            <w:pPr>
              <w:suppressAutoHyphens/>
              <w:spacing w:line="360" w:lineRule="auto"/>
              <w:jc w:val="center"/>
              <w:rPr>
                <w:rFonts w:ascii="Times New Roman" w:eastAsia="SimSun" w:hAnsi="Times New Roman" w:cs="Times New Roman"/>
              </w:rPr>
            </w:pPr>
            <w:r w:rsidRPr="00442FC5">
              <w:rPr>
                <w:rFonts w:ascii="Times New Roman" w:eastAsia="SimSun" w:hAnsi="Times New Roman" w:cs="Times New Roman"/>
              </w:rPr>
              <w:t>832</w:t>
            </w:r>
          </w:p>
        </w:tc>
      </w:tr>
      <w:tr w:rsidR="00AE0C29" w:rsidRPr="00442FC5" w14:paraId="4525BF5D" w14:textId="77777777" w:rsidTr="00F46443">
        <w:tc>
          <w:tcPr>
            <w:tcW w:w="4378" w:type="dxa"/>
            <w:tcBorders>
              <w:top w:val="nil"/>
              <w:left w:val="nil"/>
              <w:bottom w:val="nil"/>
              <w:right w:val="nil"/>
            </w:tcBorders>
            <w:shd w:val="clear" w:color="auto" w:fill="auto"/>
            <w:vAlign w:val="bottom"/>
          </w:tcPr>
          <w:p w14:paraId="3988FF3D" w14:textId="77777777" w:rsidR="00AE0C29" w:rsidRPr="00442FC5" w:rsidRDefault="00AE0C29" w:rsidP="00F46443">
            <w:pPr>
              <w:suppressAutoHyphens/>
              <w:spacing w:line="360" w:lineRule="auto"/>
              <w:jc w:val="center"/>
              <w:rPr>
                <w:rFonts w:ascii="Times New Roman" w:eastAsia="Times New Roman" w:hAnsi="Times New Roman" w:cs="Times New Roman"/>
                <w:color w:val="000000"/>
              </w:rPr>
            </w:pPr>
            <w:r w:rsidRPr="00442FC5">
              <w:rPr>
                <w:rFonts w:ascii="Times New Roman" w:eastAsia="Times New Roman" w:hAnsi="Times New Roman" w:cs="Times New Roman"/>
                <w:color w:val="000000"/>
              </w:rPr>
              <w:t>Pore Volume (cm</w:t>
            </w:r>
            <w:r w:rsidRPr="00442FC5">
              <w:rPr>
                <w:rFonts w:ascii="Times New Roman" w:eastAsia="Times New Roman" w:hAnsi="Times New Roman" w:cs="Times New Roman"/>
                <w:color w:val="000000"/>
                <w:vertAlign w:val="superscript"/>
              </w:rPr>
              <w:t>3</w:t>
            </w:r>
            <w:r w:rsidRPr="00442FC5">
              <w:rPr>
                <w:rFonts w:ascii="Times New Roman" w:eastAsia="Times New Roman" w:hAnsi="Times New Roman" w:cs="Times New Roman"/>
                <w:color w:val="000000"/>
              </w:rPr>
              <w:t>/g), single point at P/P</w:t>
            </w:r>
            <w:r w:rsidRPr="00442FC5">
              <w:rPr>
                <w:rFonts w:ascii="Times New Roman" w:eastAsia="Times New Roman" w:hAnsi="Times New Roman" w:cs="Times New Roman"/>
                <w:color w:val="000000"/>
                <w:vertAlign w:val="subscript"/>
              </w:rPr>
              <w:t>0</w:t>
            </w:r>
            <w:r w:rsidRPr="00442FC5">
              <w:rPr>
                <w:rFonts w:ascii="Times New Roman" w:eastAsia="Times New Roman" w:hAnsi="Times New Roman" w:cs="Times New Roman"/>
                <w:color w:val="000000"/>
              </w:rPr>
              <w:t>=0.99</w:t>
            </w:r>
          </w:p>
        </w:tc>
        <w:tc>
          <w:tcPr>
            <w:tcW w:w="1670" w:type="dxa"/>
            <w:tcBorders>
              <w:top w:val="nil"/>
              <w:left w:val="nil"/>
              <w:bottom w:val="nil"/>
              <w:right w:val="nil"/>
            </w:tcBorders>
            <w:shd w:val="clear" w:color="auto" w:fill="auto"/>
            <w:vAlign w:val="bottom"/>
          </w:tcPr>
          <w:p w14:paraId="57B49AA1" w14:textId="77777777" w:rsidR="00AE0C29" w:rsidRPr="00442FC5" w:rsidRDefault="00AE0C29" w:rsidP="00F46443">
            <w:pPr>
              <w:suppressAutoHyphens/>
              <w:spacing w:line="360" w:lineRule="auto"/>
              <w:jc w:val="center"/>
              <w:rPr>
                <w:rFonts w:ascii="Times New Roman" w:eastAsia="SimSun" w:hAnsi="Times New Roman" w:cs="Times New Roman"/>
              </w:rPr>
            </w:pPr>
            <w:r w:rsidRPr="00442FC5">
              <w:rPr>
                <w:rFonts w:ascii="Times New Roman" w:eastAsia="SimSun" w:hAnsi="Times New Roman" w:cs="Times New Roman"/>
              </w:rPr>
              <w:t>1.04</w:t>
            </w:r>
          </w:p>
        </w:tc>
        <w:tc>
          <w:tcPr>
            <w:tcW w:w="1392" w:type="dxa"/>
            <w:tcBorders>
              <w:top w:val="nil"/>
              <w:left w:val="nil"/>
              <w:bottom w:val="nil"/>
              <w:right w:val="nil"/>
            </w:tcBorders>
            <w:shd w:val="clear" w:color="auto" w:fill="auto"/>
            <w:vAlign w:val="bottom"/>
          </w:tcPr>
          <w:p w14:paraId="469CF9AA" w14:textId="77777777" w:rsidR="00AE0C29" w:rsidRPr="00442FC5" w:rsidRDefault="00AE0C29" w:rsidP="00F46443">
            <w:pPr>
              <w:suppressAutoHyphens/>
              <w:spacing w:line="360" w:lineRule="auto"/>
              <w:jc w:val="center"/>
              <w:rPr>
                <w:rFonts w:ascii="Times New Roman" w:eastAsia="SimSun" w:hAnsi="Times New Roman" w:cs="Times New Roman"/>
              </w:rPr>
            </w:pPr>
            <w:r w:rsidRPr="00442FC5">
              <w:rPr>
                <w:rFonts w:ascii="Times New Roman" w:eastAsia="SimSun" w:hAnsi="Times New Roman" w:cs="Times New Roman"/>
              </w:rPr>
              <w:t>0.97</w:t>
            </w:r>
          </w:p>
        </w:tc>
        <w:tc>
          <w:tcPr>
            <w:tcW w:w="1416" w:type="dxa"/>
            <w:tcBorders>
              <w:top w:val="nil"/>
              <w:left w:val="nil"/>
              <w:bottom w:val="nil"/>
              <w:right w:val="nil"/>
            </w:tcBorders>
            <w:shd w:val="clear" w:color="auto" w:fill="auto"/>
            <w:vAlign w:val="bottom"/>
          </w:tcPr>
          <w:p w14:paraId="0F22CD2C" w14:textId="77777777" w:rsidR="00AE0C29" w:rsidRPr="00442FC5" w:rsidRDefault="00AE0C29" w:rsidP="00F46443">
            <w:pPr>
              <w:suppressAutoHyphens/>
              <w:spacing w:line="360" w:lineRule="auto"/>
              <w:jc w:val="center"/>
              <w:rPr>
                <w:rFonts w:ascii="Times New Roman" w:eastAsia="SimSun" w:hAnsi="Times New Roman" w:cs="Times New Roman"/>
              </w:rPr>
            </w:pPr>
            <w:r w:rsidRPr="00442FC5">
              <w:rPr>
                <w:rFonts w:ascii="Times New Roman" w:eastAsia="SimSun" w:hAnsi="Times New Roman" w:cs="Times New Roman"/>
              </w:rPr>
              <w:t>1.20</w:t>
            </w:r>
          </w:p>
        </w:tc>
      </w:tr>
      <w:tr w:rsidR="00AE0C29" w:rsidRPr="00442FC5" w14:paraId="60A3B89B" w14:textId="77777777" w:rsidTr="00F46443">
        <w:tc>
          <w:tcPr>
            <w:tcW w:w="4378" w:type="dxa"/>
            <w:tcBorders>
              <w:top w:val="nil"/>
              <w:left w:val="nil"/>
              <w:bottom w:val="single" w:sz="4" w:space="0" w:color="00000A"/>
              <w:right w:val="nil"/>
            </w:tcBorders>
            <w:shd w:val="clear" w:color="auto" w:fill="auto"/>
            <w:vAlign w:val="bottom"/>
          </w:tcPr>
          <w:p w14:paraId="542B3D55" w14:textId="77777777" w:rsidR="00AE0C29" w:rsidRPr="00442FC5" w:rsidRDefault="00AE0C29" w:rsidP="00F46443">
            <w:pPr>
              <w:suppressAutoHyphens/>
              <w:spacing w:line="360" w:lineRule="auto"/>
              <w:jc w:val="center"/>
              <w:rPr>
                <w:rFonts w:ascii="Times New Roman" w:eastAsia="Times New Roman" w:hAnsi="Times New Roman" w:cs="Times New Roman"/>
                <w:color w:val="000000"/>
              </w:rPr>
            </w:pPr>
            <w:r w:rsidRPr="00442FC5">
              <w:rPr>
                <w:rFonts w:ascii="Times New Roman" w:eastAsia="Times New Roman" w:hAnsi="Times New Roman" w:cs="Times New Roman"/>
                <w:color w:val="000000"/>
              </w:rPr>
              <w:t>Pore Size (Å), BJH desorption model</w:t>
            </w:r>
          </w:p>
        </w:tc>
        <w:tc>
          <w:tcPr>
            <w:tcW w:w="1670" w:type="dxa"/>
            <w:tcBorders>
              <w:top w:val="nil"/>
              <w:left w:val="nil"/>
              <w:bottom w:val="single" w:sz="4" w:space="0" w:color="00000A"/>
              <w:right w:val="nil"/>
            </w:tcBorders>
            <w:shd w:val="clear" w:color="auto" w:fill="auto"/>
            <w:vAlign w:val="bottom"/>
          </w:tcPr>
          <w:p w14:paraId="19DCCAF6" w14:textId="77777777" w:rsidR="00AE0C29" w:rsidRPr="009A0009" w:rsidRDefault="00AE0C29" w:rsidP="00F46443">
            <w:pPr>
              <w:suppressAutoHyphens/>
              <w:spacing w:line="360" w:lineRule="auto"/>
              <w:jc w:val="center"/>
              <w:rPr>
                <w:rFonts w:ascii="Times New Roman" w:eastAsia="SimSun" w:hAnsi="Times New Roman" w:cs="Times New Roman"/>
              </w:rPr>
            </w:pPr>
            <w:r w:rsidRPr="009A0009">
              <w:rPr>
                <w:rFonts w:ascii="Times New Roman" w:eastAsia="SimSun" w:hAnsi="Times New Roman" w:cs="Times New Roman"/>
              </w:rPr>
              <w:t>42</w:t>
            </w:r>
          </w:p>
        </w:tc>
        <w:tc>
          <w:tcPr>
            <w:tcW w:w="1392" w:type="dxa"/>
            <w:tcBorders>
              <w:top w:val="nil"/>
              <w:left w:val="nil"/>
              <w:bottom w:val="single" w:sz="4" w:space="0" w:color="00000A"/>
              <w:right w:val="nil"/>
            </w:tcBorders>
            <w:shd w:val="clear" w:color="auto" w:fill="auto"/>
            <w:vAlign w:val="bottom"/>
          </w:tcPr>
          <w:p w14:paraId="4662F41E" w14:textId="77777777" w:rsidR="00AE0C29" w:rsidRPr="009A0009" w:rsidRDefault="00AE0C29" w:rsidP="00F46443">
            <w:pPr>
              <w:suppressAutoHyphens/>
              <w:spacing w:line="360" w:lineRule="auto"/>
              <w:jc w:val="center"/>
              <w:rPr>
                <w:rFonts w:ascii="Times New Roman" w:eastAsia="SimSun" w:hAnsi="Times New Roman" w:cs="Times New Roman"/>
              </w:rPr>
            </w:pPr>
            <w:r w:rsidRPr="009A0009">
              <w:rPr>
                <w:rFonts w:ascii="Times New Roman" w:eastAsia="SimSun" w:hAnsi="Times New Roman" w:cs="Times New Roman"/>
              </w:rPr>
              <w:t>28</w:t>
            </w:r>
          </w:p>
        </w:tc>
        <w:tc>
          <w:tcPr>
            <w:tcW w:w="1416" w:type="dxa"/>
            <w:tcBorders>
              <w:top w:val="nil"/>
              <w:left w:val="nil"/>
              <w:bottom w:val="single" w:sz="4" w:space="0" w:color="00000A"/>
              <w:right w:val="nil"/>
            </w:tcBorders>
            <w:shd w:val="clear" w:color="auto" w:fill="auto"/>
            <w:vAlign w:val="bottom"/>
          </w:tcPr>
          <w:p w14:paraId="5D3BF7F1" w14:textId="1A09B3DC" w:rsidR="00AE0C29" w:rsidRPr="009A0009" w:rsidRDefault="009D0BF8" w:rsidP="00F46443">
            <w:pPr>
              <w:suppressAutoHyphens/>
              <w:spacing w:line="360" w:lineRule="auto"/>
              <w:jc w:val="center"/>
              <w:rPr>
                <w:rFonts w:ascii="Times New Roman" w:eastAsia="SimSun" w:hAnsi="Times New Roman" w:cs="Times New Roman"/>
              </w:rPr>
            </w:pPr>
            <w:r w:rsidRPr="009A0009">
              <w:rPr>
                <w:rFonts w:ascii="Times New Roman" w:eastAsia="SimSun" w:hAnsi="Times New Roman" w:cs="Times New Roman"/>
              </w:rPr>
              <w:t>15, 22</w:t>
            </w:r>
          </w:p>
        </w:tc>
      </w:tr>
      <w:tr w:rsidR="00AE0C29" w:rsidRPr="00442FC5" w14:paraId="29093CD2" w14:textId="77777777" w:rsidTr="00F46443">
        <w:tc>
          <w:tcPr>
            <w:tcW w:w="4378" w:type="dxa"/>
            <w:tcBorders>
              <w:top w:val="single" w:sz="4" w:space="0" w:color="00000A"/>
              <w:left w:val="nil"/>
              <w:bottom w:val="single" w:sz="12" w:space="0" w:color="00000A"/>
              <w:right w:val="nil"/>
            </w:tcBorders>
            <w:shd w:val="clear" w:color="auto" w:fill="auto"/>
            <w:vAlign w:val="bottom"/>
          </w:tcPr>
          <w:p w14:paraId="03EE0D45" w14:textId="77777777" w:rsidR="00AE0C29" w:rsidRPr="00442FC5" w:rsidRDefault="00AE0C29" w:rsidP="00F46443">
            <w:pPr>
              <w:suppressAutoHyphens/>
              <w:spacing w:line="360" w:lineRule="auto"/>
              <w:jc w:val="center"/>
              <w:rPr>
                <w:rFonts w:ascii="Times New Roman" w:eastAsia="Times New Roman" w:hAnsi="Times New Roman" w:cs="Times New Roman"/>
                <w:color w:val="000000"/>
              </w:rPr>
            </w:pPr>
            <w:r w:rsidRPr="00442FC5">
              <w:rPr>
                <w:rFonts w:ascii="Times New Roman" w:eastAsia="Times New Roman" w:hAnsi="Times New Roman" w:cs="Times New Roman"/>
                <w:color w:val="000000"/>
              </w:rPr>
              <w:t>Surface area/Volume (S/V)</w:t>
            </w:r>
          </w:p>
        </w:tc>
        <w:tc>
          <w:tcPr>
            <w:tcW w:w="1670" w:type="dxa"/>
            <w:tcBorders>
              <w:top w:val="single" w:sz="4" w:space="0" w:color="00000A"/>
              <w:left w:val="nil"/>
              <w:bottom w:val="single" w:sz="12" w:space="0" w:color="00000A"/>
              <w:right w:val="nil"/>
            </w:tcBorders>
            <w:shd w:val="clear" w:color="auto" w:fill="auto"/>
            <w:vAlign w:val="bottom"/>
          </w:tcPr>
          <w:p w14:paraId="5E7FC650" w14:textId="77777777" w:rsidR="00AE0C29" w:rsidRPr="00442FC5" w:rsidRDefault="00AE0C29" w:rsidP="00F46443">
            <w:pPr>
              <w:suppressAutoHyphens/>
              <w:spacing w:line="360" w:lineRule="auto"/>
              <w:jc w:val="center"/>
              <w:rPr>
                <w:rFonts w:ascii="Times New Roman" w:eastAsia="SimSun" w:hAnsi="Times New Roman" w:cs="Times New Roman"/>
              </w:rPr>
            </w:pPr>
            <w:r w:rsidRPr="00442FC5">
              <w:rPr>
                <w:rFonts w:ascii="Times New Roman" w:eastAsia="SimSun" w:hAnsi="Times New Roman" w:cs="Times New Roman"/>
              </w:rPr>
              <w:t>574</w:t>
            </w:r>
          </w:p>
        </w:tc>
        <w:tc>
          <w:tcPr>
            <w:tcW w:w="1392" w:type="dxa"/>
            <w:tcBorders>
              <w:top w:val="single" w:sz="4" w:space="0" w:color="00000A"/>
              <w:left w:val="nil"/>
              <w:bottom w:val="single" w:sz="12" w:space="0" w:color="00000A"/>
              <w:right w:val="nil"/>
            </w:tcBorders>
            <w:shd w:val="clear" w:color="auto" w:fill="auto"/>
            <w:vAlign w:val="bottom"/>
          </w:tcPr>
          <w:p w14:paraId="66E7D861" w14:textId="77777777" w:rsidR="00AE0C29" w:rsidRPr="00442FC5" w:rsidRDefault="00AE0C29" w:rsidP="00F46443">
            <w:pPr>
              <w:suppressAutoHyphens/>
              <w:spacing w:line="360" w:lineRule="auto"/>
              <w:jc w:val="center"/>
              <w:rPr>
                <w:rFonts w:ascii="Times New Roman" w:eastAsia="SimSun" w:hAnsi="Times New Roman" w:cs="Times New Roman"/>
              </w:rPr>
            </w:pPr>
            <w:r w:rsidRPr="00442FC5">
              <w:rPr>
                <w:rFonts w:ascii="Times New Roman" w:eastAsia="SimSun" w:hAnsi="Times New Roman" w:cs="Times New Roman"/>
              </w:rPr>
              <w:t>1203</w:t>
            </w:r>
          </w:p>
        </w:tc>
        <w:tc>
          <w:tcPr>
            <w:tcW w:w="1416" w:type="dxa"/>
            <w:tcBorders>
              <w:top w:val="single" w:sz="4" w:space="0" w:color="00000A"/>
              <w:left w:val="nil"/>
              <w:bottom w:val="single" w:sz="12" w:space="0" w:color="00000A"/>
              <w:right w:val="nil"/>
            </w:tcBorders>
            <w:shd w:val="clear" w:color="auto" w:fill="auto"/>
            <w:vAlign w:val="bottom"/>
          </w:tcPr>
          <w:p w14:paraId="676501F7" w14:textId="77777777" w:rsidR="00AE0C29" w:rsidRPr="00442FC5" w:rsidRDefault="00AE0C29" w:rsidP="00F46443">
            <w:pPr>
              <w:suppressAutoHyphens/>
              <w:spacing w:line="360" w:lineRule="auto"/>
              <w:jc w:val="center"/>
              <w:rPr>
                <w:rFonts w:ascii="Times New Roman" w:eastAsia="SimSun" w:hAnsi="Times New Roman" w:cs="Times New Roman"/>
              </w:rPr>
            </w:pPr>
            <w:r w:rsidRPr="00442FC5">
              <w:rPr>
                <w:rFonts w:ascii="Times New Roman" w:eastAsia="SimSun" w:hAnsi="Times New Roman" w:cs="Times New Roman"/>
              </w:rPr>
              <w:t>693</w:t>
            </w:r>
          </w:p>
        </w:tc>
      </w:tr>
    </w:tbl>
    <w:p w14:paraId="626F00D4" w14:textId="77777777" w:rsidR="00AE0C29" w:rsidRDefault="00AE0C29" w:rsidP="00AE0C29">
      <w:pPr>
        <w:spacing w:line="360" w:lineRule="auto"/>
        <w:jc w:val="both"/>
        <w:rPr>
          <w:rFonts w:ascii="Helvetica" w:hAnsi="Helvetica"/>
        </w:rPr>
      </w:pPr>
    </w:p>
    <w:p w14:paraId="577FBC3A" w14:textId="77777777" w:rsidR="00AE0C29" w:rsidRDefault="00AE0C29" w:rsidP="00AE0C29">
      <w:pPr>
        <w:spacing w:line="360" w:lineRule="auto"/>
        <w:jc w:val="both"/>
        <w:rPr>
          <w:rFonts w:ascii="Helvetica" w:hAnsi="Helvetica"/>
        </w:rPr>
      </w:pPr>
    </w:p>
    <w:p w14:paraId="5A64D689" w14:textId="77777777" w:rsidR="00AE0C29" w:rsidRDefault="00AE0C29" w:rsidP="00AE0C29">
      <w:pPr>
        <w:spacing w:line="360" w:lineRule="auto"/>
        <w:jc w:val="both"/>
        <w:rPr>
          <w:rFonts w:ascii="Helvetica" w:hAnsi="Helvetica"/>
        </w:rPr>
      </w:pPr>
    </w:p>
    <w:p w14:paraId="69871AF6" w14:textId="77777777" w:rsidR="00AE0C29" w:rsidRDefault="00AE0C29" w:rsidP="00AE0C29">
      <w:pPr>
        <w:spacing w:line="360" w:lineRule="auto"/>
        <w:jc w:val="both"/>
        <w:rPr>
          <w:rFonts w:ascii="Helvetica" w:hAnsi="Helvetica"/>
        </w:rPr>
      </w:pPr>
    </w:p>
    <w:p w14:paraId="7F223D5C" w14:textId="77777777" w:rsidR="00AE0C29" w:rsidRDefault="00AE0C29" w:rsidP="00AE0C29">
      <w:pPr>
        <w:spacing w:line="360" w:lineRule="auto"/>
        <w:jc w:val="both"/>
        <w:rPr>
          <w:rFonts w:ascii="Helvetica" w:hAnsi="Helvetica"/>
        </w:rPr>
      </w:pPr>
    </w:p>
    <w:p w14:paraId="5F98E523" w14:textId="77777777" w:rsidR="00AE0C29" w:rsidRDefault="00AE0C29" w:rsidP="00AE0C29">
      <w:pPr>
        <w:spacing w:line="360" w:lineRule="auto"/>
        <w:jc w:val="both"/>
        <w:rPr>
          <w:rFonts w:ascii="Helvetica" w:hAnsi="Helvetica"/>
        </w:rPr>
      </w:pPr>
    </w:p>
    <w:p w14:paraId="079B4D27" w14:textId="77777777" w:rsidR="00AE0C29" w:rsidRDefault="00AE0C29" w:rsidP="00AE0C29">
      <w:pPr>
        <w:spacing w:line="360" w:lineRule="auto"/>
        <w:jc w:val="both"/>
        <w:rPr>
          <w:rFonts w:ascii="Helvetica" w:hAnsi="Helvetica"/>
        </w:rPr>
      </w:pPr>
    </w:p>
    <w:p w14:paraId="6BEB980C" w14:textId="77777777" w:rsidR="00AE0C29" w:rsidRDefault="00AE0C29" w:rsidP="00AE0C29">
      <w:pPr>
        <w:spacing w:line="360" w:lineRule="auto"/>
        <w:jc w:val="both"/>
        <w:rPr>
          <w:rFonts w:ascii="Helvetica" w:hAnsi="Helvetica"/>
        </w:rPr>
      </w:pPr>
    </w:p>
    <w:p w14:paraId="4834FE1E" w14:textId="77777777" w:rsidR="00AE0C29" w:rsidRDefault="00AE0C29" w:rsidP="00AE0C29">
      <w:pPr>
        <w:spacing w:line="360" w:lineRule="auto"/>
        <w:jc w:val="both"/>
        <w:rPr>
          <w:rFonts w:ascii="Helvetica" w:hAnsi="Helvetica"/>
        </w:rPr>
      </w:pPr>
    </w:p>
    <w:p w14:paraId="3405A52F" w14:textId="77777777" w:rsidR="00AE0C29" w:rsidRDefault="00AE0C29" w:rsidP="00AE0C29">
      <w:pPr>
        <w:spacing w:line="360" w:lineRule="auto"/>
        <w:jc w:val="both"/>
        <w:rPr>
          <w:rFonts w:ascii="Helvetica" w:hAnsi="Helvetica"/>
        </w:rPr>
      </w:pPr>
    </w:p>
    <w:p w14:paraId="579EBF35" w14:textId="77777777" w:rsidR="00AE0C29" w:rsidRDefault="00AE0C29" w:rsidP="00AE0C29">
      <w:pPr>
        <w:spacing w:line="360" w:lineRule="auto"/>
        <w:jc w:val="both"/>
        <w:rPr>
          <w:rFonts w:ascii="Helvetica" w:hAnsi="Helvetica"/>
        </w:rPr>
      </w:pPr>
    </w:p>
    <w:p w14:paraId="001A4ADF" w14:textId="77777777" w:rsidR="00AE0C29" w:rsidRDefault="00AE0C29" w:rsidP="00AE0C29">
      <w:pPr>
        <w:spacing w:line="360" w:lineRule="auto"/>
        <w:jc w:val="both"/>
        <w:rPr>
          <w:rFonts w:ascii="Helvetica" w:hAnsi="Helvetica"/>
        </w:rPr>
      </w:pPr>
    </w:p>
    <w:p w14:paraId="0BB6EEBC" w14:textId="77777777" w:rsidR="00AE0C29" w:rsidRDefault="00AE0C29" w:rsidP="00AE0C29">
      <w:pPr>
        <w:spacing w:line="360" w:lineRule="auto"/>
        <w:jc w:val="both"/>
        <w:rPr>
          <w:rFonts w:ascii="Helvetica" w:hAnsi="Helvetica"/>
        </w:rPr>
      </w:pPr>
    </w:p>
    <w:p w14:paraId="03F14BBD" w14:textId="77777777" w:rsidR="00AE0C29" w:rsidRDefault="00AE0C29" w:rsidP="00AE0C29">
      <w:pPr>
        <w:spacing w:line="360" w:lineRule="auto"/>
        <w:jc w:val="both"/>
        <w:rPr>
          <w:rFonts w:ascii="Helvetica" w:hAnsi="Helvetica"/>
        </w:rPr>
      </w:pPr>
    </w:p>
    <w:p w14:paraId="5AF33E4F" w14:textId="77777777" w:rsidR="00AE0C29" w:rsidRDefault="00AE0C29" w:rsidP="00AE0C29">
      <w:pPr>
        <w:spacing w:line="360" w:lineRule="auto"/>
        <w:jc w:val="both"/>
        <w:rPr>
          <w:rFonts w:ascii="Helvetica" w:hAnsi="Helvetica"/>
        </w:rPr>
      </w:pPr>
    </w:p>
    <w:p w14:paraId="40AA312C" w14:textId="77777777" w:rsidR="00AE0C29" w:rsidRDefault="00AE0C29" w:rsidP="00AE0C29">
      <w:pPr>
        <w:spacing w:line="360" w:lineRule="auto"/>
        <w:jc w:val="both"/>
        <w:rPr>
          <w:rFonts w:ascii="Helvetica" w:hAnsi="Helvetica"/>
        </w:rPr>
      </w:pPr>
    </w:p>
    <w:p w14:paraId="5C2D3B13" w14:textId="77777777" w:rsidR="00AE0C29" w:rsidRDefault="00AE0C29" w:rsidP="00AE0C29">
      <w:pPr>
        <w:spacing w:line="360" w:lineRule="auto"/>
        <w:jc w:val="both"/>
        <w:rPr>
          <w:rFonts w:ascii="Helvetica" w:hAnsi="Helvetica"/>
        </w:rPr>
      </w:pPr>
    </w:p>
    <w:p w14:paraId="4E403CCA" w14:textId="77777777" w:rsidR="00AE0C29" w:rsidRDefault="00AE0C29" w:rsidP="00AE0C29">
      <w:pPr>
        <w:spacing w:line="360" w:lineRule="auto"/>
        <w:jc w:val="both"/>
        <w:rPr>
          <w:rFonts w:ascii="Helvetica" w:hAnsi="Helvetica"/>
        </w:rPr>
      </w:pPr>
    </w:p>
    <w:p w14:paraId="1168F903" w14:textId="77777777" w:rsidR="00AE0C29" w:rsidRDefault="00AE0C29" w:rsidP="00AE0C29">
      <w:pPr>
        <w:spacing w:line="360" w:lineRule="auto"/>
        <w:jc w:val="both"/>
        <w:rPr>
          <w:rFonts w:ascii="Helvetica" w:hAnsi="Helvetica"/>
        </w:rPr>
      </w:pPr>
    </w:p>
    <w:p w14:paraId="0325A396" w14:textId="77777777" w:rsidR="00AE0C29" w:rsidRDefault="00AE0C29" w:rsidP="00AE0C29">
      <w:pPr>
        <w:spacing w:line="360" w:lineRule="auto"/>
        <w:jc w:val="both"/>
        <w:rPr>
          <w:rFonts w:ascii="Helvetica" w:hAnsi="Helvetica"/>
        </w:rPr>
      </w:pPr>
    </w:p>
    <w:p w14:paraId="56016D82" w14:textId="77777777" w:rsidR="00AE0C29" w:rsidRDefault="00AE0C29" w:rsidP="00AE0C29">
      <w:pPr>
        <w:spacing w:line="360" w:lineRule="auto"/>
        <w:jc w:val="both"/>
        <w:rPr>
          <w:rFonts w:ascii="Helvetica" w:hAnsi="Helvetica"/>
        </w:rPr>
      </w:pPr>
    </w:p>
    <w:p w14:paraId="0FD30107" w14:textId="77777777" w:rsidR="00AE0C29" w:rsidRDefault="00AE0C29" w:rsidP="00AE0C29">
      <w:pPr>
        <w:spacing w:line="360" w:lineRule="auto"/>
        <w:jc w:val="both"/>
        <w:rPr>
          <w:rFonts w:ascii="Helvetica" w:hAnsi="Helvetica"/>
        </w:rPr>
      </w:pPr>
    </w:p>
    <w:p w14:paraId="39D8B26A" w14:textId="1B4588A4" w:rsidR="004C2509" w:rsidRPr="00EB33F3" w:rsidRDefault="004C2509" w:rsidP="004C2509">
      <w:pPr>
        <w:pageBreakBefore/>
        <w:suppressAutoHyphens/>
        <w:rPr>
          <w:rFonts w:ascii="Helvetica" w:eastAsia="SimSun" w:hAnsi="Helvetica" w:cs="Times New Roman"/>
          <w:b/>
        </w:rPr>
      </w:pPr>
      <w:r w:rsidRPr="00EB33F3">
        <w:rPr>
          <w:rFonts w:ascii="Helvetica" w:eastAsia="SimSun" w:hAnsi="Helvetica" w:cs="Times New Roman"/>
          <w:b/>
        </w:rPr>
        <w:lastRenderedPageBreak/>
        <w:t xml:space="preserve">Figure </w:t>
      </w:r>
      <w:r>
        <w:rPr>
          <w:rFonts w:ascii="Helvetica" w:eastAsia="SimSun" w:hAnsi="Helvetica" w:cs="Times New Roman"/>
          <w:b/>
        </w:rPr>
        <w:t>S1</w:t>
      </w:r>
      <w:r w:rsidRPr="00EB33F3">
        <w:rPr>
          <w:rFonts w:ascii="Helvetica" w:eastAsia="SimSun" w:hAnsi="Helvetica" w:cs="Times New Roman"/>
          <w:b/>
        </w:rPr>
        <w:t>.</w:t>
      </w:r>
    </w:p>
    <w:p w14:paraId="49416BBE" w14:textId="77777777" w:rsidR="004C2509" w:rsidRPr="00442FC5" w:rsidRDefault="004C2509" w:rsidP="004C2509">
      <w:pPr>
        <w:suppressAutoHyphens/>
        <w:rPr>
          <w:rFonts w:ascii="Times New Roman" w:eastAsia="SimSun" w:hAnsi="Times New Roman" w:cs="Times New Roman"/>
          <w:b/>
        </w:rPr>
      </w:pPr>
    </w:p>
    <w:p w14:paraId="6DCF2CB1" w14:textId="77777777" w:rsidR="004C2509" w:rsidRDefault="004C2509" w:rsidP="004C2509">
      <w:pPr>
        <w:suppressAutoHyphens/>
        <w:rPr>
          <w:rFonts w:ascii="Calibri" w:eastAsia="SimSun" w:hAnsi="Calibri" w:cs="Calibri"/>
        </w:rPr>
      </w:pPr>
      <w:r w:rsidRPr="00442FC5">
        <w:rPr>
          <w:rFonts w:ascii="Calibri" w:eastAsia="SimSun" w:hAnsi="Calibri" w:cs="Calibri"/>
          <w:noProof/>
        </w:rPr>
        <w:drawing>
          <wp:inline distT="0" distB="0" distL="0" distR="0" wp14:anchorId="2A984C8E" wp14:editId="2FBDB256">
            <wp:extent cx="5555019" cy="4379976"/>
            <wp:effectExtent l="0" t="0" r="762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rcRect l="8968" t="11170" r="13457" b="6700"/>
                    <a:stretch>
                      <a:fillRect/>
                    </a:stretch>
                  </pic:blipFill>
                  <pic:spPr bwMode="auto">
                    <a:xfrm>
                      <a:off x="0" y="0"/>
                      <a:ext cx="5555019" cy="4379976"/>
                    </a:xfrm>
                    <a:prstGeom prst="rect">
                      <a:avLst/>
                    </a:prstGeom>
                    <a:noFill/>
                    <a:ln w="9525">
                      <a:noFill/>
                      <a:miter lim="800000"/>
                      <a:headEnd/>
                      <a:tailEnd/>
                    </a:ln>
                  </pic:spPr>
                </pic:pic>
              </a:graphicData>
            </a:graphic>
          </wp:inline>
        </w:drawing>
      </w:r>
    </w:p>
    <w:p w14:paraId="3FF265E1" w14:textId="77777777" w:rsidR="004C2509" w:rsidRDefault="004C2509" w:rsidP="004C2509">
      <w:pPr>
        <w:suppressAutoHyphens/>
        <w:rPr>
          <w:rFonts w:ascii="Calibri" w:eastAsia="SimSun" w:hAnsi="Calibri" w:cs="Calibri"/>
        </w:rPr>
      </w:pPr>
    </w:p>
    <w:p w14:paraId="513B5203" w14:textId="77777777" w:rsidR="004C2509" w:rsidRDefault="004C2509" w:rsidP="004C2509">
      <w:pPr>
        <w:suppressAutoHyphens/>
        <w:rPr>
          <w:rFonts w:ascii="Calibri" w:eastAsia="SimSun" w:hAnsi="Calibri" w:cs="Calibri"/>
        </w:rPr>
      </w:pPr>
    </w:p>
    <w:p w14:paraId="6BC61ECB" w14:textId="38964D13" w:rsidR="004C2509" w:rsidRPr="00331964" w:rsidRDefault="004C2509" w:rsidP="004C2509">
      <w:pPr>
        <w:suppressAutoHyphens/>
        <w:spacing w:line="360" w:lineRule="auto"/>
        <w:jc w:val="both"/>
        <w:rPr>
          <w:rFonts w:ascii="Helvetica" w:eastAsia="Calibri" w:hAnsi="Helvetica" w:cs="Times New Roman"/>
          <w:bCs/>
        </w:rPr>
      </w:pPr>
      <w:r w:rsidRPr="00331964">
        <w:rPr>
          <w:rFonts w:ascii="Helvetica" w:eastAsia="Calibri" w:hAnsi="Helvetica" w:cs="Times New Roman"/>
          <w:b/>
          <w:bCs/>
        </w:rPr>
        <w:t xml:space="preserve">Figure </w:t>
      </w:r>
      <w:r>
        <w:rPr>
          <w:rFonts w:ascii="Helvetica" w:eastAsia="Calibri" w:hAnsi="Helvetica" w:cs="Times New Roman"/>
          <w:b/>
          <w:bCs/>
        </w:rPr>
        <w:t>S1</w:t>
      </w:r>
      <w:r w:rsidRPr="00331964">
        <w:rPr>
          <w:rFonts w:ascii="Helvetica" w:eastAsia="Calibri" w:hAnsi="Helvetica" w:cs="Times New Roman"/>
          <w:bCs/>
        </w:rPr>
        <w:t>.</w:t>
      </w:r>
      <w:r w:rsidRPr="00331964">
        <w:rPr>
          <w:rFonts w:ascii="Helvetica" w:eastAsia="SimSun" w:hAnsi="Helvetica" w:cs="Times New Roman"/>
        </w:rPr>
        <w:t xml:space="preserve"> </w:t>
      </w:r>
      <w:r w:rsidRPr="00331964">
        <w:rPr>
          <w:rFonts w:ascii="Helvetica" w:eastAsia="Calibri" w:hAnsi="Helvetica" w:cs="Times New Roman"/>
          <w:bCs/>
        </w:rPr>
        <w:t xml:space="preserve">Nitrogen adsorption and desorption isotherms at 77 K for the three materials in this study. The insets are the pore size distribution plots, derived from different models.  </w:t>
      </w:r>
    </w:p>
    <w:p w14:paraId="56DEB48B" w14:textId="693330A0" w:rsidR="00650465" w:rsidRPr="00AD05F2" w:rsidRDefault="00650465" w:rsidP="00650465">
      <w:pPr>
        <w:pageBreakBefore/>
        <w:suppressAutoHyphens/>
        <w:rPr>
          <w:rFonts w:ascii="Helvetica" w:eastAsia="SimSun" w:hAnsi="Helvetica" w:cs="Times New Roman"/>
          <w:b/>
        </w:rPr>
      </w:pPr>
      <w:r>
        <w:rPr>
          <w:rFonts w:ascii="Helvetica" w:eastAsia="SimSun" w:hAnsi="Helvetica" w:cs="Times New Roman"/>
          <w:b/>
        </w:rPr>
        <w:lastRenderedPageBreak/>
        <w:t xml:space="preserve">Figure S2 </w:t>
      </w:r>
      <w:r w:rsidRPr="00506E2A">
        <w:rPr>
          <w:rFonts w:ascii="Helvetica" w:eastAsia="SimSun" w:hAnsi="Helvetica" w:cs="Times New Roman"/>
          <w:b/>
        </w:rPr>
        <w:t>(a-c).</w:t>
      </w:r>
    </w:p>
    <w:p w14:paraId="38C11C87" w14:textId="77777777" w:rsidR="00650465" w:rsidRDefault="00650465" w:rsidP="00650465">
      <w:pPr>
        <w:suppressAutoHyphens/>
        <w:rPr>
          <w:rFonts w:ascii="Calibri" w:eastAsia="SimSun" w:hAnsi="Calibri" w:cs="Calibri"/>
        </w:rPr>
      </w:pPr>
    </w:p>
    <w:p w14:paraId="63702D53" w14:textId="77777777" w:rsidR="00650465" w:rsidRPr="00442FC5" w:rsidRDefault="00650465" w:rsidP="00650465">
      <w:pPr>
        <w:suppressAutoHyphens/>
        <w:rPr>
          <w:rFonts w:ascii="Calibri" w:eastAsia="SimSun" w:hAnsi="Calibri" w:cs="Calibri"/>
        </w:rPr>
      </w:pPr>
      <w:r>
        <w:rPr>
          <w:rFonts w:ascii="Calibri" w:eastAsia="SimSun" w:hAnsi="Calibri" w:cs="Calibri"/>
          <w:noProof/>
        </w:rPr>
        <w:drawing>
          <wp:inline distT="0" distB="0" distL="0" distR="0" wp14:anchorId="2F874B18" wp14:editId="7458A1E5">
            <wp:extent cx="4658360" cy="2616693"/>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704" t="8172" r="29537" b="4731"/>
                    <a:stretch>
                      <a:fillRect/>
                    </a:stretch>
                  </pic:blipFill>
                  <pic:spPr bwMode="auto">
                    <a:xfrm>
                      <a:off x="0" y="0"/>
                      <a:ext cx="4658360" cy="2616693"/>
                    </a:xfrm>
                    <a:prstGeom prst="rect">
                      <a:avLst/>
                    </a:prstGeom>
                    <a:noFill/>
                    <a:ln w="9525">
                      <a:noFill/>
                      <a:miter lim="800000"/>
                      <a:headEnd/>
                      <a:tailEnd/>
                    </a:ln>
                  </pic:spPr>
                </pic:pic>
              </a:graphicData>
            </a:graphic>
          </wp:inline>
        </w:drawing>
      </w:r>
    </w:p>
    <w:p w14:paraId="6187B187" w14:textId="77777777" w:rsidR="00650465" w:rsidRDefault="00650465" w:rsidP="00650465">
      <w:pPr>
        <w:spacing w:line="360" w:lineRule="auto"/>
        <w:jc w:val="both"/>
        <w:rPr>
          <w:rFonts w:ascii="Helvetica" w:hAnsi="Helvetica"/>
        </w:rPr>
      </w:pPr>
    </w:p>
    <w:p w14:paraId="2DB262DC" w14:textId="267BDEC1" w:rsidR="00650465" w:rsidRPr="00331964" w:rsidRDefault="00650465" w:rsidP="00650465">
      <w:pPr>
        <w:suppressAutoHyphens/>
        <w:spacing w:line="360" w:lineRule="auto"/>
        <w:jc w:val="both"/>
        <w:rPr>
          <w:rFonts w:ascii="Helvetica" w:eastAsia="Calibri" w:hAnsi="Helvetica" w:cs="Times New Roman"/>
          <w:bCs/>
        </w:rPr>
      </w:pPr>
      <w:r w:rsidRPr="00331964">
        <w:rPr>
          <w:rFonts w:ascii="Helvetica" w:eastAsia="Calibri" w:hAnsi="Helvetica" w:cs="Times New Roman"/>
          <w:b/>
          <w:bCs/>
        </w:rPr>
        <w:t xml:space="preserve">Figure </w:t>
      </w:r>
      <w:r>
        <w:rPr>
          <w:rFonts w:ascii="Helvetica" w:eastAsia="Calibri" w:hAnsi="Helvetica" w:cs="Times New Roman"/>
          <w:b/>
          <w:bCs/>
        </w:rPr>
        <w:t xml:space="preserve">S2 </w:t>
      </w:r>
      <w:r w:rsidRPr="00331964">
        <w:rPr>
          <w:rFonts w:ascii="Helvetica" w:eastAsia="Calibri" w:hAnsi="Helvetica" w:cs="Times New Roman"/>
          <w:b/>
          <w:bCs/>
        </w:rPr>
        <w:t>(a-c)</w:t>
      </w:r>
      <w:r w:rsidRPr="00331964">
        <w:rPr>
          <w:rFonts w:ascii="Helvetica" w:eastAsia="Calibri" w:hAnsi="Helvetica" w:cs="Times New Roman"/>
          <w:bCs/>
        </w:rPr>
        <w:t>.</w:t>
      </w:r>
      <w:r w:rsidRPr="00331964">
        <w:rPr>
          <w:rFonts w:ascii="Helvetica" w:eastAsia="SimSun" w:hAnsi="Helvetica" w:cs="Times New Roman"/>
        </w:rPr>
        <w:t xml:space="preserve"> </w:t>
      </w:r>
      <w:r w:rsidRPr="00331964">
        <w:rPr>
          <w:rFonts w:ascii="Helvetica" w:eastAsia="Calibri" w:hAnsi="Helvetica" w:cs="Times New Roman"/>
          <w:bCs/>
        </w:rPr>
        <w:t>TXRD patterns of (a) silica-4.0 nm, (b) silica-2.5 nm, and (c) silica-1.5 nm in this study.</w:t>
      </w:r>
    </w:p>
    <w:p w14:paraId="061AE3A3" w14:textId="791D4849" w:rsidR="00650465" w:rsidRPr="00AD05F2" w:rsidRDefault="00650465" w:rsidP="00650465">
      <w:pPr>
        <w:pageBreakBefore/>
        <w:suppressAutoHyphens/>
        <w:rPr>
          <w:rFonts w:ascii="Helvetica" w:eastAsia="SimSun" w:hAnsi="Helvetica" w:cs="Times New Roman"/>
          <w:b/>
        </w:rPr>
      </w:pPr>
      <w:r w:rsidRPr="0029559B">
        <w:rPr>
          <w:rFonts w:ascii="Helvetica" w:eastAsia="SimSun" w:hAnsi="Helvetica" w:cs="Times New Roman"/>
          <w:b/>
        </w:rPr>
        <w:lastRenderedPageBreak/>
        <w:t xml:space="preserve">Figure </w:t>
      </w:r>
      <w:r>
        <w:rPr>
          <w:rFonts w:ascii="Helvetica" w:eastAsia="SimSun" w:hAnsi="Helvetica" w:cs="Times New Roman"/>
          <w:b/>
        </w:rPr>
        <w:t xml:space="preserve">S3 </w:t>
      </w:r>
      <w:r w:rsidRPr="0029559B">
        <w:rPr>
          <w:rFonts w:ascii="Helvetica" w:eastAsia="SimSun" w:hAnsi="Helvetica" w:cs="Times New Roman"/>
          <w:b/>
        </w:rPr>
        <w:t>(a-b).</w:t>
      </w:r>
    </w:p>
    <w:p w14:paraId="509B99F0" w14:textId="77777777" w:rsidR="00650465" w:rsidRDefault="00650465" w:rsidP="00650465">
      <w:pPr>
        <w:suppressAutoHyphens/>
        <w:rPr>
          <w:rFonts w:ascii="Calibri" w:eastAsia="SimSun" w:hAnsi="Calibri" w:cs="Calibri"/>
        </w:rPr>
      </w:pPr>
    </w:p>
    <w:p w14:paraId="7C6D6F17" w14:textId="77777777" w:rsidR="00650465" w:rsidRDefault="00650465" w:rsidP="00650465">
      <w:pPr>
        <w:suppressAutoHyphens/>
        <w:rPr>
          <w:rFonts w:ascii="Calibri" w:eastAsia="SimSun" w:hAnsi="Calibri" w:cs="Calibri"/>
        </w:rPr>
      </w:pPr>
      <w:r w:rsidRPr="00442FC5">
        <w:rPr>
          <w:rFonts w:ascii="Calibri" w:eastAsia="SimSun" w:hAnsi="Calibri" w:cs="Calibri"/>
          <w:noProof/>
        </w:rPr>
        <w:drawing>
          <wp:inline distT="0" distB="0" distL="0" distR="0" wp14:anchorId="40F47D5E" wp14:editId="7E7A58FC">
            <wp:extent cx="4066192" cy="310896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0"/>
                    <a:stretch>
                      <a:fillRect/>
                    </a:stretch>
                  </pic:blipFill>
                  <pic:spPr bwMode="auto">
                    <a:xfrm>
                      <a:off x="0" y="0"/>
                      <a:ext cx="4066192" cy="3108960"/>
                    </a:xfrm>
                    <a:prstGeom prst="rect">
                      <a:avLst/>
                    </a:prstGeom>
                    <a:noFill/>
                    <a:ln w="9525">
                      <a:noFill/>
                      <a:miter lim="800000"/>
                      <a:headEnd/>
                      <a:tailEnd/>
                    </a:ln>
                  </pic:spPr>
                </pic:pic>
              </a:graphicData>
            </a:graphic>
          </wp:inline>
        </w:drawing>
      </w:r>
    </w:p>
    <w:p w14:paraId="0D4BBC92" w14:textId="77777777" w:rsidR="00650465" w:rsidRPr="001508D1" w:rsidRDefault="00650465" w:rsidP="00650465">
      <w:pPr>
        <w:suppressAutoHyphens/>
        <w:rPr>
          <w:rFonts w:ascii="Helvetica" w:eastAsia="SimSun" w:hAnsi="Helvetica" w:cs="Calibri"/>
        </w:rPr>
      </w:pPr>
      <w:r w:rsidRPr="001508D1">
        <w:rPr>
          <w:rFonts w:ascii="Helvetica" w:eastAsia="SimSun" w:hAnsi="Helvetica" w:cs="Times New Roman"/>
          <w:b/>
        </w:rPr>
        <w:t>(a)</w:t>
      </w:r>
    </w:p>
    <w:p w14:paraId="2D8DE037" w14:textId="77777777" w:rsidR="00650465" w:rsidRPr="00442FC5" w:rsidRDefault="00650465" w:rsidP="00650465">
      <w:pPr>
        <w:suppressAutoHyphens/>
        <w:rPr>
          <w:rFonts w:ascii="Calibri" w:eastAsia="SimSun" w:hAnsi="Calibri" w:cs="Calibri"/>
        </w:rPr>
      </w:pPr>
      <w:r w:rsidRPr="00442FC5">
        <w:rPr>
          <w:rFonts w:ascii="Calibri" w:eastAsia="SimSun" w:hAnsi="Calibri" w:cs="Calibri"/>
          <w:noProof/>
        </w:rPr>
        <w:drawing>
          <wp:inline distT="0" distB="0" distL="0" distR="0" wp14:anchorId="36B4B395" wp14:editId="4D5A34AB">
            <wp:extent cx="4066192" cy="310896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1"/>
                    <a:stretch>
                      <a:fillRect/>
                    </a:stretch>
                  </pic:blipFill>
                  <pic:spPr bwMode="auto">
                    <a:xfrm>
                      <a:off x="0" y="0"/>
                      <a:ext cx="4066192" cy="3108960"/>
                    </a:xfrm>
                    <a:prstGeom prst="rect">
                      <a:avLst/>
                    </a:prstGeom>
                    <a:noFill/>
                    <a:ln w="9525">
                      <a:noFill/>
                      <a:miter lim="800000"/>
                      <a:headEnd/>
                      <a:tailEnd/>
                    </a:ln>
                  </pic:spPr>
                </pic:pic>
              </a:graphicData>
            </a:graphic>
          </wp:inline>
        </w:drawing>
      </w:r>
    </w:p>
    <w:p w14:paraId="36DF7A25" w14:textId="77777777" w:rsidR="00650465" w:rsidRPr="001508D1" w:rsidRDefault="00650465" w:rsidP="00650465">
      <w:pPr>
        <w:suppressAutoHyphens/>
        <w:rPr>
          <w:rFonts w:ascii="Helvetica" w:eastAsia="SimSun" w:hAnsi="Helvetica" w:cs="Times New Roman"/>
          <w:b/>
        </w:rPr>
      </w:pPr>
      <w:r w:rsidRPr="001508D1">
        <w:rPr>
          <w:rFonts w:ascii="Helvetica" w:eastAsia="SimSun" w:hAnsi="Helvetica" w:cs="Times New Roman"/>
          <w:b/>
        </w:rPr>
        <w:t>(b)</w:t>
      </w:r>
    </w:p>
    <w:p w14:paraId="365DA0F4" w14:textId="736AFEDE" w:rsidR="00650465" w:rsidRPr="00AD05F2" w:rsidRDefault="00650465" w:rsidP="00650465">
      <w:pPr>
        <w:suppressAutoHyphens/>
        <w:spacing w:line="360" w:lineRule="auto"/>
        <w:jc w:val="both"/>
        <w:rPr>
          <w:rFonts w:ascii="Helvetica" w:eastAsia="Calibri" w:hAnsi="Helvetica" w:cs="Times New Roman"/>
          <w:bCs/>
        </w:rPr>
      </w:pPr>
      <w:r w:rsidRPr="00331964">
        <w:rPr>
          <w:rFonts w:ascii="Helvetica" w:eastAsia="Calibri" w:hAnsi="Helvetica" w:cs="Times New Roman"/>
          <w:b/>
          <w:bCs/>
        </w:rPr>
        <w:t xml:space="preserve">Figure </w:t>
      </w:r>
      <w:r>
        <w:rPr>
          <w:rFonts w:ascii="Helvetica" w:eastAsia="Calibri" w:hAnsi="Helvetica" w:cs="Times New Roman"/>
          <w:b/>
          <w:bCs/>
        </w:rPr>
        <w:t xml:space="preserve">S3 </w:t>
      </w:r>
      <w:r w:rsidRPr="00331964">
        <w:rPr>
          <w:rFonts w:ascii="Helvetica" w:eastAsia="Calibri" w:hAnsi="Helvetica" w:cs="Times New Roman"/>
          <w:b/>
          <w:bCs/>
        </w:rPr>
        <w:t>(a-b)</w:t>
      </w:r>
      <w:r w:rsidRPr="00331964">
        <w:rPr>
          <w:rFonts w:ascii="Helvetica" w:eastAsia="Calibri" w:hAnsi="Helvetica" w:cs="Times New Roman"/>
          <w:bCs/>
        </w:rPr>
        <w:t>. Representative TGA curve of the engineered silica-4.0 nm (similar results were observed in the cases of silica-2.5 nm and silica-1.5 nm) (a), mass loss of the silica samples as a function of drying time revealing pore volume capacity of the silica samples (b).</w:t>
      </w:r>
    </w:p>
    <w:p w14:paraId="7F603015" w14:textId="6AC08FA5" w:rsidR="00650465" w:rsidRPr="002E0F1D" w:rsidRDefault="00650465" w:rsidP="00650465">
      <w:pPr>
        <w:pageBreakBefore/>
        <w:suppressAutoHyphens/>
        <w:rPr>
          <w:rFonts w:ascii="Helvetica" w:eastAsia="SimSun" w:hAnsi="Helvetica" w:cs="Times New Roman"/>
          <w:b/>
        </w:rPr>
      </w:pPr>
      <w:r w:rsidRPr="002E0F1D">
        <w:rPr>
          <w:rFonts w:ascii="Helvetica" w:eastAsia="SimSun" w:hAnsi="Helvetica" w:cs="Times New Roman"/>
          <w:b/>
        </w:rPr>
        <w:lastRenderedPageBreak/>
        <w:t>Figure S4 (a-e).</w:t>
      </w:r>
    </w:p>
    <w:p w14:paraId="28219E13" w14:textId="77777777" w:rsidR="00650465" w:rsidRPr="00442FC5" w:rsidRDefault="00650465" w:rsidP="00650465">
      <w:pPr>
        <w:suppressAutoHyphens/>
        <w:rPr>
          <w:rFonts w:ascii="Times New Roman" w:eastAsia="SimSun" w:hAnsi="Times New Roman" w:cs="Times New Roman"/>
          <w:b/>
        </w:rPr>
      </w:pPr>
      <w:r w:rsidRPr="00442FC5">
        <w:rPr>
          <w:rFonts w:ascii="Times New Roman" w:eastAsia="SimSun" w:hAnsi="Times New Roman" w:cs="Times New Roman"/>
          <w:b/>
        </w:rPr>
        <w:t xml:space="preserve"> </w:t>
      </w:r>
      <w:r>
        <w:rPr>
          <w:rFonts w:ascii="Times New Roman" w:eastAsia="SimSun" w:hAnsi="Times New Roman" w:cs="Times New Roman"/>
          <w:b/>
        </w:rPr>
        <w:t xml:space="preserve">   </w:t>
      </w:r>
    </w:p>
    <w:p w14:paraId="2CBA0FE7" w14:textId="77777777" w:rsidR="00650465" w:rsidRDefault="00650465" w:rsidP="00650465">
      <w:pPr>
        <w:suppressAutoHyphens/>
        <w:rPr>
          <w:rFonts w:ascii="Times New Roman" w:eastAsia="SimSun" w:hAnsi="Times New Roman" w:cs="Times New Roman"/>
          <w:b/>
        </w:rPr>
      </w:pPr>
      <w:r w:rsidRPr="00224974">
        <w:rPr>
          <w:rFonts w:ascii="Calibri" w:eastAsia="Calibri" w:hAnsi="Calibri" w:cs="Arial"/>
          <w:noProof/>
          <w:sz w:val="22"/>
          <w:szCs w:val="22"/>
        </w:rPr>
        <w:drawing>
          <wp:inline distT="0" distB="0" distL="0" distR="0" wp14:anchorId="0E17F7D6" wp14:editId="488B90C7">
            <wp:extent cx="512064" cy="245973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064" cy="2459736"/>
                    </a:xfrm>
                    <a:prstGeom prst="rect">
                      <a:avLst/>
                    </a:prstGeom>
                    <a:noFill/>
                    <a:ln>
                      <a:noFill/>
                    </a:ln>
                  </pic:spPr>
                </pic:pic>
              </a:graphicData>
            </a:graphic>
          </wp:inline>
        </w:drawing>
      </w:r>
      <w:r>
        <w:rPr>
          <w:rFonts w:ascii="Times New Roman" w:eastAsia="SimSun" w:hAnsi="Times New Roman" w:cs="Times New Roman"/>
          <w:b/>
        </w:rPr>
        <w:t xml:space="preserve">      </w:t>
      </w:r>
      <w:r w:rsidRPr="009160AC">
        <w:rPr>
          <w:rFonts w:ascii="Calibri" w:eastAsia="Calibri" w:hAnsi="Calibri" w:cs="Arial"/>
          <w:noProof/>
          <w:sz w:val="22"/>
          <w:szCs w:val="22"/>
        </w:rPr>
        <w:drawing>
          <wp:inline distT="0" distB="0" distL="0" distR="0" wp14:anchorId="2D3DF970" wp14:editId="3D96FAAE">
            <wp:extent cx="502920" cy="2459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 cy="2459736"/>
                    </a:xfrm>
                    <a:prstGeom prst="rect">
                      <a:avLst/>
                    </a:prstGeom>
                    <a:noFill/>
                    <a:ln>
                      <a:noFill/>
                    </a:ln>
                  </pic:spPr>
                </pic:pic>
              </a:graphicData>
            </a:graphic>
          </wp:inline>
        </w:drawing>
      </w:r>
      <w:r>
        <w:rPr>
          <w:rFonts w:ascii="Times New Roman" w:eastAsia="SimSun" w:hAnsi="Times New Roman" w:cs="Times New Roman"/>
          <w:b/>
        </w:rPr>
        <w:t xml:space="preserve">      </w:t>
      </w:r>
      <w:r w:rsidRPr="009160AC">
        <w:rPr>
          <w:rFonts w:ascii="Calibri" w:eastAsia="Calibri" w:hAnsi="Calibri" w:cs="Arial"/>
          <w:noProof/>
          <w:sz w:val="22"/>
          <w:szCs w:val="22"/>
        </w:rPr>
        <w:drawing>
          <wp:inline distT="0" distB="0" distL="0" distR="0" wp14:anchorId="641BB981" wp14:editId="16A870F8">
            <wp:extent cx="521208" cy="2459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208" cy="2459736"/>
                    </a:xfrm>
                    <a:prstGeom prst="rect">
                      <a:avLst/>
                    </a:prstGeom>
                    <a:noFill/>
                    <a:ln>
                      <a:noFill/>
                    </a:ln>
                  </pic:spPr>
                </pic:pic>
              </a:graphicData>
            </a:graphic>
          </wp:inline>
        </w:drawing>
      </w:r>
      <w:r>
        <w:rPr>
          <w:rFonts w:ascii="Times New Roman" w:eastAsia="SimSun" w:hAnsi="Times New Roman" w:cs="Times New Roman"/>
          <w:b/>
        </w:rPr>
        <w:t xml:space="preserve">      </w:t>
      </w:r>
      <w:r w:rsidRPr="00A164BC">
        <w:rPr>
          <w:rFonts w:ascii="Calibri" w:eastAsia="Calibri" w:hAnsi="Calibri" w:cs="Arial"/>
          <w:noProof/>
          <w:sz w:val="22"/>
          <w:szCs w:val="22"/>
        </w:rPr>
        <w:drawing>
          <wp:inline distT="0" distB="0" distL="0" distR="0" wp14:anchorId="57028B2C" wp14:editId="17A1EFDA">
            <wp:extent cx="621792" cy="2459736"/>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792" cy="2459736"/>
                    </a:xfrm>
                    <a:prstGeom prst="rect">
                      <a:avLst/>
                    </a:prstGeom>
                    <a:noFill/>
                    <a:ln>
                      <a:noFill/>
                    </a:ln>
                  </pic:spPr>
                </pic:pic>
              </a:graphicData>
            </a:graphic>
          </wp:inline>
        </w:drawing>
      </w:r>
      <w:r>
        <w:rPr>
          <w:rFonts w:ascii="Times New Roman" w:eastAsia="SimSun" w:hAnsi="Times New Roman" w:cs="Times New Roman"/>
          <w:b/>
        </w:rPr>
        <w:t xml:space="preserve">      </w:t>
      </w:r>
      <w:r>
        <w:rPr>
          <w:rFonts w:ascii="Times New Roman" w:eastAsia="SimSun" w:hAnsi="Times New Roman" w:cs="Times New Roman"/>
          <w:b/>
          <w:noProof/>
        </w:rPr>
        <w:drawing>
          <wp:inline distT="0" distB="0" distL="0" distR="0" wp14:anchorId="3A7B4202" wp14:editId="25A008F7">
            <wp:extent cx="585216" cy="2459736"/>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216" cy="2459736"/>
                    </a:xfrm>
                    <a:prstGeom prst="rect">
                      <a:avLst/>
                    </a:prstGeom>
                    <a:noFill/>
                    <a:ln>
                      <a:noFill/>
                    </a:ln>
                  </pic:spPr>
                </pic:pic>
              </a:graphicData>
            </a:graphic>
          </wp:inline>
        </w:drawing>
      </w:r>
      <w:r>
        <w:rPr>
          <w:rFonts w:ascii="Times New Roman" w:eastAsia="SimSun" w:hAnsi="Times New Roman" w:cs="Times New Roman"/>
          <w:b/>
        </w:rPr>
        <w:t xml:space="preserve"> </w:t>
      </w:r>
    </w:p>
    <w:p w14:paraId="7900D1F4" w14:textId="77777777" w:rsidR="00650465" w:rsidRDefault="00650465" w:rsidP="00650465">
      <w:pPr>
        <w:suppressAutoHyphens/>
        <w:rPr>
          <w:rFonts w:ascii="Times New Roman" w:eastAsia="SimSun" w:hAnsi="Times New Roman" w:cs="Times New Roman"/>
          <w:b/>
        </w:rPr>
      </w:pPr>
      <w:r w:rsidRPr="00442FC5">
        <w:rPr>
          <w:rFonts w:ascii="Times New Roman" w:eastAsia="SimSun" w:hAnsi="Times New Roman" w:cs="Times New Roman"/>
          <w:b/>
        </w:rPr>
        <w:t>(a)</w:t>
      </w:r>
      <w:r>
        <w:rPr>
          <w:rFonts w:ascii="Times New Roman" w:eastAsia="SimSun" w:hAnsi="Times New Roman" w:cs="Times New Roman"/>
          <w:b/>
        </w:rPr>
        <w:t xml:space="preserve">               </w:t>
      </w:r>
      <w:r w:rsidRPr="00442FC5">
        <w:rPr>
          <w:rFonts w:ascii="Times New Roman" w:eastAsia="SimSun" w:hAnsi="Times New Roman" w:cs="Times New Roman"/>
          <w:b/>
        </w:rPr>
        <w:t>(</w:t>
      </w:r>
      <w:proofErr w:type="gramStart"/>
      <w:r w:rsidRPr="00442FC5">
        <w:rPr>
          <w:rFonts w:ascii="Times New Roman" w:eastAsia="SimSun" w:hAnsi="Times New Roman" w:cs="Times New Roman"/>
          <w:b/>
        </w:rPr>
        <w:t>b</w:t>
      </w:r>
      <w:proofErr w:type="gramEnd"/>
      <w:r w:rsidRPr="00442FC5">
        <w:rPr>
          <w:rFonts w:ascii="Times New Roman" w:eastAsia="SimSun" w:hAnsi="Times New Roman" w:cs="Times New Roman"/>
          <w:b/>
        </w:rPr>
        <w:t>)</w:t>
      </w:r>
      <w:r>
        <w:rPr>
          <w:rFonts w:ascii="Times New Roman" w:eastAsia="SimSun" w:hAnsi="Times New Roman" w:cs="Times New Roman"/>
          <w:b/>
        </w:rPr>
        <w:t xml:space="preserve">              </w:t>
      </w:r>
      <w:r w:rsidRPr="00442FC5">
        <w:rPr>
          <w:rFonts w:ascii="Times New Roman" w:eastAsia="SimSun" w:hAnsi="Times New Roman" w:cs="Times New Roman"/>
          <w:b/>
        </w:rPr>
        <w:t>(c)</w:t>
      </w:r>
      <w:r>
        <w:rPr>
          <w:rFonts w:ascii="Times New Roman" w:eastAsia="SimSun" w:hAnsi="Times New Roman" w:cs="Times New Roman"/>
          <w:b/>
        </w:rPr>
        <w:t xml:space="preserve">               (d)                (e)</w:t>
      </w:r>
    </w:p>
    <w:p w14:paraId="2F8370F5" w14:textId="77777777" w:rsidR="00650465" w:rsidRDefault="00650465" w:rsidP="00650465">
      <w:pPr>
        <w:suppressAutoHyphens/>
        <w:rPr>
          <w:rFonts w:ascii="Times New Roman" w:eastAsia="SimSun" w:hAnsi="Times New Roman" w:cs="Times New Roman"/>
          <w:b/>
        </w:rPr>
      </w:pPr>
    </w:p>
    <w:p w14:paraId="7EE0DCB5" w14:textId="77777777" w:rsidR="001013C6" w:rsidRPr="00650465" w:rsidRDefault="00650465" w:rsidP="001013C6">
      <w:pPr>
        <w:suppressAutoHyphens/>
        <w:spacing w:line="360" w:lineRule="auto"/>
        <w:jc w:val="both"/>
        <w:rPr>
          <w:rFonts w:ascii="Helvetica" w:eastAsia="Calibri" w:hAnsi="Helvetica" w:cs="Times New Roman"/>
          <w:bCs/>
        </w:rPr>
      </w:pPr>
      <w:r w:rsidRPr="00331964">
        <w:rPr>
          <w:rFonts w:ascii="Helvetica" w:eastAsia="Calibri" w:hAnsi="Helvetica" w:cs="Times New Roman"/>
          <w:b/>
          <w:bCs/>
        </w:rPr>
        <w:t xml:space="preserve">Figure </w:t>
      </w:r>
      <w:r>
        <w:rPr>
          <w:rFonts w:ascii="Helvetica" w:eastAsia="Calibri" w:hAnsi="Helvetica" w:cs="Times New Roman"/>
          <w:b/>
          <w:bCs/>
        </w:rPr>
        <w:t xml:space="preserve">S4 </w:t>
      </w:r>
      <w:r w:rsidRPr="00331964">
        <w:rPr>
          <w:rFonts w:ascii="Helvetica" w:eastAsia="Calibri" w:hAnsi="Helvetica" w:cs="Times New Roman"/>
          <w:b/>
          <w:bCs/>
        </w:rPr>
        <w:t>(a-e)</w:t>
      </w:r>
      <w:r w:rsidRPr="00331964">
        <w:rPr>
          <w:rFonts w:ascii="Helvetica" w:eastAsia="Calibri" w:hAnsi="Helvetica" w:cs="Times New Roman"/>
          <w:bCs/>
        </w:rPr>
        <w:t xml:space="preserve">. </w:t>
      </w:r>
      <w:r w:rsidR="001013C6">
        <w:rPr>
          <w:rFonts w:ascii="Helvetica" w:eastAsia="Calibri" w:hAnsi="Helvetica" w:cs="Times New Roman"/>
          <w:bCs/>
        </w:rPr>
        <w:t>Sample images used in NMR experiments: t</w:t>
      </w:r>
      <w:r w:rsidR="001013C6" w:rsidRPr="00331964">
        <w:rPr>
          <w:rFonts w:ascii="Helvetica" w:eastAsia="Calibri" w:hAnsi="Helvetica" w:cs="Times New Roman"/>
          <w:bCs/>
        </w:rPr>
        <w:t>he mixture of 150 mg silica-4.0 nm and 0.8 ml water after centrifugation (a), and after homogenization by sonication for 15 minutes (b), no excess water observed in the mixture of 150 mg silica 2.5 nm and 0.8 ml water after centrifugation (c), the mixture of 150 mg silica 1.5 nm and 0.8 ml water after centrifugation (d), and after homogenization by sonication for 15 minutes (e).</w:t>
      </w:r>
      <w:r w:rsidR="001013C6">
        <w:rPr>
          <w:rFonts w:ascii="Helvetica" w:eastAsia="Calibri" w:hAnsi="Helvetica" w:cs="Times New Roman"/>
          <w:bCs/>
        </w:rPr>
        <w:t xml:space="preserve"> Object behind vials is utilized to show the “excess water” at the top of vials in (a) and (d) in contrast to </w:t>
      </w:r>
      <w:r w:rsidR="001013C6">
        <w:rPr>
          <w:rFonts w:ascii="Helvetica" w:eastAsia="Calibri" w:hAnsi="Helvetica" w:cs="Times New Roman"/>
          <w:bCs/>
          <w:color w:val="0000FF"/>
        </w:rPr>
        <w:t>turbid</w:t>
      </w:r>
      <w:r w:rsidR="001013C6">
        <w:rPr>
          <w:rFonts w:ascii="Helvetica" w:eastAsia="Calibri" w:hAnsi="Helvetica" w:cs="Times New Roman"/>
          <w:bCs/>
        </w:rPr>
        <w:t xml:space="preserve"> fluid in (b), (c), and (e).</w:t>
      </w:r>
    </w:p>
    <w:p w14:paraId="6D78513F" w14:textId="214C157B" w:rsidR="00AE0C29" w:rsidRPr="00650465" w:rsidRDefault="00AE0C29" w:rsidP="00650465">
      <w:pPr>
        <w:suppressAutoHyphens/>
        <w:spacing w:line="360" w:lineRule="auto"/>
        <w:jc w:val="both"/>
        <w:rPr>
          <w:rFonts w:ascii="Helvetica" w:eastAsia="Calibri" w:hAnsi="Helvetica" w:cs="Times New Roman"/>
          <w:bCs/>
        </w:rPr>
      </w:pPr>
    </w:p>
    <w:sectPr w:rsidR="00AE0C29" w:rsidRPr="00650465" w:rsidSect="0064542B">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1B2FC" w14:textId="77777777" w:rsidR="004D4FE1" w:rsidRDefault="004D4FE1" w:rsidP="001B5651">
      <w:r>
        <w:separator/>
      </w:r>
    </w:p>
  </w:endnote>
  <w:endnote w:type="continuationSeparator" w:id="0">
    <w:p w14:paraId="53637083" w14:textId="77777777" w:rsidR="004D4FE1" w:rsidRDefault="004D4FE1" w:rsidP="001B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AF95" w14:textId="77777777" w:rsidR="002B4E7E" w:rsidRDefault="002B4E7E" w:rsidP="00F46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0D4C1" w14:textId="77777777" w:rsidR="002B4E7E" w:rsidRDefault="002B4E7E" w:rsidP="001B56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85FD" w14:textId="77777777" w:rsidR="002B4E7E" w:rsidRDefault="002B4E7E" w:rsidP="00F464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E32">
      <w:rPr>
        <w:rStyle w:val="PageNumber"/>
        <w:noProof/>
      </w:rPr>
      <w:t>1</w:t>
    </w:r>
    <w:r>
      <w:rPr>
        <w:rStyle w:val="PageNumber"/>
      </w:rPr>
      <w:fldChar w:fldCharType="end"/>
    </w:r>
  </w:p>
  <w:p w14:paraId="0E94A7F1" w14:textId="77777777" w:rsidR="002B4E7E" w:rsidRDefault="002B4E7E" w:rsidP="001B56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EFEAE" w14:textId="77777777" w:rsidR="004D4FE1" w:rsidRDefault="004D4FE1" w:rsidP="001B5651">
      <w:r>
        <w:separator/>
      </w:r>
    </w:p>
  </w:footnote>
  <w:footnote w:type="continuationSeparator" w:id="0">
    <w:p w14:paraId="5F32D421" w14:textId="77777777" w:rsidR="004D4FE1" w:rsidRDefault="004D4FE1" w:rsidP="001B56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D126B"/>
    <w:multiLevelType w:val="hybridMultilevel"/>
    <w:tmpl w:val="E27645E6"/>
    <w:lvl w:ilvl="0" w:tplc="D946D188">
      <w:start w:val="1"/>
      <w:numFmt w:val="decimal"/>
      <w:lvlText w:val="%1."/>
      <w:lvlJc w:val="left"/>
      <w:pPr>
        <w:ind w:left="720" w:hanging="360"/>
      </w:pPr>
      <w:rPr>
        <w:rFonts w:eastAsia="Times New Roman"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EE"/>
    <w:rsid w:val="000500B1"/>
    <w:rsid w:val="0006529B"/>
    <w:rsid w:val="0008647A"/>
    <w:rsid w:val="000E5B68"/>
    <w:rsid w:val="001013C6"/>
    <w:rsid w:val="001508D1"/>
    <w:rsid w:val="001B5651"/>
    <w:rsid w:val="001C4633"/>
    <w:rsid w:val="001E206C"/>
    <w:rsid w:val="00213C65"/>
    <w:rsid w:val="00224974"/>
    <w:rsid w:val="002476B2"/>
    <w:rsid w:val="00280697"/>
    <w:rsid w:val="0029559B"/>
    <w:rsid w:val="002B4E7E"/>
    <w:rsid w:val="002E0F1D"/>
    <w:rsid w:val="0035035E"/>
    <w:rsid w:val="003B64D6"/>
    <w:rsid w:val="003D1C33"/>
    <w:rsid w:val="00401FCE"/>
    <w:rsid w:val="0047115E"/>
    <w:rsid w:val="004C2509"/>
    <w:rsid w:val="004D4FE1"/>
    <w:rsid w:val="00506E2A"/>
    <w:rsid w:val="005B696D"/>
    <w:rsid w:val="005E07A2"/>
    <w:rsid w:val="006006EE"/>
    <w:rsid w:val="0060227F"/>
    <w:rsid w:val="0064542B"/>
    <w:rsid w:val="00650465"/>
    <w:rsid w:val="006804B0"/>
    <w:rsid w:val="00683E80"/>
    <w:rsid w:val="006D3111"/>
    <w:rsid w:val="00712845"/>
    <w:rsid w:val="007545EF"/>
    <w:rsid w:val="007A5B5C"/>
    <w:rsid w:val="007B2C76"/>
    <w:rsid w:val="00824E93"/>
    <w:rsid w:val="008727B2"/>
    <w:rsid w:val="008D7FF4"/>
    <w:rsid w:val="008F3D8A"/>
    <w:rsid w:val="00913382"/>
    <w:rsid w:val="009160AC"/>
    <w:rsid w:val="009A0009"/>
    <w:rsid w:val="009D0BF8"/>
    <w:rsid w:val="009E7E32"/>
    <w:rsid w:val="00A164BC"/>
    <w:rsid w:val="00A36711"/>
    <w:rsid w:val="00AD05F2"/>
    <w:rsid w:val="00AE0C29"/>
    <w:rsid w:val="00AE39FD"/>
    <w:rsid w:val="00B334FE"/>
    <w:rsid w:val="00B47BB0"/>
    <w:rsid w:val="00B94952"/>
    <w:rsid w:val="00D047DA"/>
    <w:rsid w:val="00D96572"/>
    <w:rsid w:val="00DF1D18"/>
    <w:rsid w:val="00DF5F5B"/>
    <w:rsid w:val="00E16FDC"/>
    <w:rsid w:val="00EB33F3"/>
    <w:rsid w:val="00EC3298"/>
    <w:rsid w:val="00EC76F0"/>
    <w:rsid w:val="00F032B0"/>
    <w:rsid w:val="00F46443"/>
    <w:rsid w:val="00FC78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1B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68"/>
    <w:pPr>
      <w:ind w:left="720"/>
      <w:contextualSpacing/>
    </w:pPr>
  </w:style>
  <w:style w:type="paragraph" w:styleId="BalloonText">
    <w:name w:val="Balloon Text"/>
    <w:basedOn w:val="Normal"/>
    <w:link w:val="BalloonTextChar"/>
    <w:uiPriority w:val="99"/>
    <w:semiHidden/>
    <w:unhideWhenUsed/>
    <w:rsid w:val="00754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5EF"/>
    <w:rPr>
      <w:rFonts w:ascii="Lucida Grande" w:hAnsi="Lucida Grande" w:cs="Lucida Grande"/>
      <w:sz w:val="18"/>
      <w:szCs w:val="18"/>
    </w:rPr>
  </w:style>
  <w:style w:type="paragraph" w:styleId="Footer">
    <w:name w:val="footer"/>
    <w:basedOn w:val="Normal"/>
    <w:link w:val="FooterChar"/>
    <w:uiPriority w:val="99"/>
    <w:unhideWhenUsed/>
    <w:rsid w:val="001B5651"/>
    <w:pPr>
      <w:tabs>
        <w:tab w:val="center" w:pos="4320"/>
        <w:tab w:val="right" w:pos="8640"/>
      </w:tabs>
    </w:pPr>
  </w:style>
  <w:style w:type="character" w:customStyle="1" w:styleId="FooterChar">
    <w:name w:val="Footer Char"/>
    <w:basedOn w:val="DefaultParagraphFont"/>
    <w:link w:val="Footer"/>
    <w:uiPriority w:val="99"/>
    <w:rsid w:val="001B5651"/>
  </w:style>
  <w:style w:type="character" w:styleId="PageNumber">
    <w:name w:val="page number"/>
    <w:basedOn w:val="DefaultParagraphFont"/>
    <w:uiPriority w:val="99"/>
    <w:semiHidden/>
    <w:unhideWhenUsed/>
    <w:rsid w:val="001B5651"/>
  </w:style>
  <w:style w:type="character" w:customStyle="1" w:styleId="country">
    <w:name w:val="country"/>
    <w:basedOn w:val="DefaultParagraphFont"/>
    <w:rsid w:val="00EC32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68"/>
    <w:pPr>
      <w:ind w:left="720"/>
      <w:contextualSpacing/>
    </w:pPr>
  </w:style>
  <w:style w:type="paragraph" w:styleId="BalloonText">
    <w:name w:val="Balloon Text"/>
    <w:basedOn w:val="Normal"/>
    <w:link w:val="BalloonTextChar"/>
    <w:uiPriority w:val="99"/>
    <w:semiHidden/>
    <w:unhideWhenUsed/>
    <w:rsid w:val="007545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5EF"/>
    <w:rPr>
      <w:rFonts w:ascii="Lucida Grande" w:hAnsi="Lucida Grande" w:cs="Lucida Grande"/>
      <w:sz w:val="18"/>
      <w:szCs w:val="18"/>
    </w:rPr>
  </w:style>
  <w:style w:type="paragraph" w:styleId="Footer">
    <w:name w:val="footer"/>
    <w:basedOn w:val="Normal"/>
    <w:link w:val="FooterChar"/>
    <w:uiPriority w:val="99"/>
    <w:unhideWhenUsed/>
    <w:rsid w:val="001B5651"/>
    <w:pPr>
      <w:tabs>
        <w:tab w:val="center" w:pos="4320"/>
        <w:tab w:val="right" w:pos="8640"/>
      </w:tabs>
    </w:pPr>
  </w:style>
  <w:style w:type="character" w:customStyle="1" w:styleId="FooterChar">
    <w:name w:val="Footer Char"/>
    <w:basedOn w:val="DefaultParagraphFont"/>
    <w:link w:val="Footer"/>
    <w:uiPriority w:val="99"/>
    <w:rsid w:val="001B5651"/>
  </w:style>
  <w:style w:type="character" w:styleId="PageNumber">
    <w:name w:val="page number"/>
    <w:basedOn w:val="DefaultParagraphFont"/>
    <w:uiPriority w:val="99"/>
    <w:semiHidden/>
    <w:unhideWhenUsed/>
    <w:rsid w:val="001B5651"/>
  </w:style>
  <w:style w:type="character" w:customStyle="1" w:styleId="country">
    <w:name w:val="country"/>
    <w:basedOn w:val="DefaultParagraphFont"/>
    <w:rsid w:val="00EC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531</Words>
  <Characters>3029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Osnabruck University</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Ok</dc:creator>
  <cp:keywords/>
  <dc:description/>
  <cp:lastModifiedBy>Salim Ok</cp:lastModifiedBy>
  <cp:revision>2</cp:revision>
  <cp:lastPrinted>2019-11-07T21:36:00Z</cp:lastPrinted>
  <dcterms:created xsi:type="dcterms:W3CDTF">2020-07-14T01:13:00Z</dcterms:created>
  <dcterms:modified xsi:type="dcterms:W3CDTF">2020-07-14T01:13:00Z</dcterms:modified>
</cp:coreProperties>
</file>