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2973"/>
        <w:gridCol w:w="2834"/>
        <w:gridCol w:w="3118"/>
        <w:gridCol w:w="3148"/>
        <w:gridCol w:w="3315"/>
      </w:tblGrid>
      <w:tr w:rsidR="000000FE" w:rsidRPr="00411866" w14:paraId="1BEA0FAB" w14:textId="77777777" w:rsidTr="0068133C">
        <w:tc>
          <w:tcPr>
            <w:tcW w:w="966" w:type="pct"/>
          </w:tcPr>
          <w:p w14:paraId="252B9D93" w14:textId="19EFB7FC" w:rsidR="00411866" w:rsidRPr="00411866" w:rsidRDefault="00411866" w:rsidP="004509D1">
            <w:pPr>
              <w:pStyle w:val="NoSpacing"/>
              <w:jc w:val="center"/>
              <w:rPr>
                <w:b/>
                <w:bCs/>
              </w:rPr>
            </w:pPr>
            <w:r w:rsidRPr="00411866">
              <w:rPr>
                <w:b/>
                <w:bCs/>
              </w:rPr>
              <w:t>Obstacle</w:t>
            </w:r>
          </w:p>
        </w:tc>
        <w:tc>
          <w:tcPr>
            <w:tcW w:w="921" w:type="pct"/>
          </w:tcPr>
          <w:p w14:paraId="1548CEE5" w14:textId="0ECAEF4E" w:rsidR="00411866" w:rsidRPr="00411866" w:rsidRDefault="00411866" w:rsidP="00411866">
            <w:pPr>
              <w:pStyle w:val="NoSpacing"/>
              <w:jc w:val="center"/>
              <w:rPr>
                <w:b/>
                <w:bCs/>
              </w:rPr>
            </w:pPr>
            <w:r w:rsidRPr="00411866">
              <w:rPr>
                <w:b/>
                <w:bCs/>
              </w:rPr>
              <w:t>Individual actions for ECRs</w:t>
            </w:r>
          </w:p>
        </w:tc>
        <w:tc>
          <w:tcPr>
            <w:tcW w:w="1013" w:type="pct"/>
          </w:tcPr>
          <w:p w14:paraId="2535ED67" w14:textId="5DA95F20" w:rsidR="00411866" w:rsidRPr="00411866" w:rsidRDefault="00411866" w:rsidP="00411866">
            <w:pPr>
              <w:pStyle w:val="NoSpacing"/>
              <w:jc w:val="center"/>
              <w:rPr>
                <w:b/>
                <w:bCs/>
              </w:rPr>
            </w:pPr>
            <w:r w:rsidRPr="00411866">
              <w:rPr>
                <w:b/>
                <w:bCs/>
              </w:rPr>
              <w:t>Institutional actions</w:t>
            </w:r>
          </w:p>
        </w:tc>
        <w:tc>
          <w:tcPr>
            <w:tcW w:w="1023" w:type="pct"/>
          </w:tcPr>
          <w:p w14:paraId="20E14377" w14:textId="04A66094" w:rsidR="00411866" w:rsidRPr="00411866" w:rsidRDefault="00411866" w:rsidP="00411866">
            <w:pPr>
              <w:pStyle w:val="NoSpacing"/>
              <w:jc w:val="center"/>
              <w:rPr>
                <w:b/>
                <w:bCs/>
              </w:rPr>
            </w:pPr>
            <w:r w:rsidRPr="00411866">
              <w:rPr>
                <w:b/>
                <w:bCs/>
              </w:rPr>
              <w:t>Actions by the wider research community</w:t>
            </w:r>
          </w:p>
        </w:tc>
        <w:tc>
          <w:tcPr>
            <w:tcW w:w="1077" w:type="pct"/>
          </w:tcPr>
          <w:p w14:paraId="7CE5E4CC" w14:textId="02CC501F" w:rsidR="00411866" w:rsidRPr="00411866" w:rsidRDefault="00411866" w:rsidP="00411866">
            <w:pPr>
              <w:pStyle w:val="NoSpacing"/>
              <w:jc w:val="center"/>
              <w:rPr>
                <w:b/>
                <w:bCs/>
              </w:rPr>
            </w:pPr>
            <w:r w:rsidRPr="00411866">
              <w:rPr>
                <w:b/>
                <w:bCs/>
              </w:rPr>
              <w:t>Examples in MEA</w:t>
            </w:r>
            <w:r w:rsidR="00584A4B">
              <w:rPr>
                <w:b/>
                <w:bCs/>
              </w:rPr>
              <w:t>S</w:t>
            </w:r>
            <w:r w:rsidRPr="00411866">
              <w:rPr>
                <w:b/>
                <w:bCs/>
              </w:rPr>
              <w:t>O</w:t>
            </w:r>
          </w:p>
        </w:tc>
      </w:tr>
      <w:tr w:rsidR="00962BFA" w:rsidRPr="00411866" w14:paraId="530572E4" w14:textId="77777777" w:rsidTr="004509D1">
        <w:tc>
          <w:tcPr>
            <w:tcW w:w="966" w:type="pct"/>
            <w:vMerge w:val="restart"/>
          </w:tcPr>
          <w:p w14:paraId="2B675AE6" w14:textId="77777777" w:rsidR="00962BFA" w:rsidRDefault="00962BFA" w:rsidP="004509D1">
            <w:pPr>
              <w:pStyle w:val="NoSpacing"/>
              <w:jc w:val="center"/>
            </w:pPr>
            <w:r w:rsidRPr="00411866">
              <w:rPr>
                <w:noProof/>
              </w:rPr>
              <w:drawing>
                <wp:anchor distT="0" distB="0" distL="114300" distR="114300" simplePos="0" relativeHeight="251659264" behindDoc="1" locked="0" layoutInCell="1" allowOverlap="1" wp14:anchorId="085771F6" wp14:editId="71AE4B66">
                  <wp:simplePos x="0" y="0"/>
                  <wp:positionH relativeFrom="column">
                    <wp:posOffset>708025</wp:posOffset>
                  </wp:positionH>
                  <wp:positionV relativeFrom="paragraph">
                    <wp:posOffset>64135</wp:posOffset>
                  </wp:positionV>
                  <wp:extent cx="343535" cy="3435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anchor>
              </w:drawing>
            </w:r>
            <w:r w:rsidRPr="00411866">
              <w:rPr>
                <w:rStyle w:val="Strong"/>
              </w:rPr>
              <w:t>Pressure to network</w:t>
            </w:r>
          </w:p>
          <w:p w14:paraId="72371B47" w14:textId="3D315422" w:rsidR="00962BFA" w:rsidRPr="00411866" w:rsidRDefault="002843B6" w:rsidP="004509D1">
            <w:pPr>
              <w:pStyle w:val="NoSpacing"/>
              <w:jc w:val="center"/>
              <w:rPr>
                <w:noProof/>
              </w:rPr>
            </w:pPr>
            <w:r w:rsidRPr="008672B5">
              <w:rPr>
                <w:rFonts w:ascii="Calibri" w:eastAsia="Calibri" w:hAnsi="Calibri" w:cs="Calibri"/>
              </w:rPr>
              <w:t>The highly competitive nature of modern academia, places huge amounts of pressure on ECRs to network with senior researchers at conferences and meetings</w:t>
            </w:r>
            <w:r>
              <w:rPr>
                <w:rFonts w:ascii="Calibri" w:eastAsia="Calibri" w:hAnsi="Calibri" w:cs="Calibri"/>
              </w:rPr>
              <w:t>.</w:t>
            </w:r>
          </w:p>
        </w:tc>
        <w:tc>
          <w:tcPr>
            <w:tcW w:w="4034" w:type="pct"/>
            <w:gridSpan w:val="4"/>
            <w:vAlign w:val="center"/>
          </w:tcPr>
          <w:p w14:paraId="3F8456DF" w14:textId="0ED1D5F2" w:rsidR="00962BFA" w:rsidRPr="00411866" w:rsidRDefault="00962BFA" w:rsidP="00962BFA">
            <w:pPr>
              <w:pStyle w:val="NoSpacing"/>
              <w:jc w:val="center"/>
              <w:rPr>
                <w:b/>
                <w:bCs/>
              </w:rPr>
            </w:pPr>
            <w:r>
              <w:rPr>
                <w:b/>
                <w:bCs/>
              </w:rPr>
              <w:t>Mentoring and sponsorship</w:t>
            </w:r>
          </w:p>
        </w:tc>
      </w:tr>
      <w:tr w:rsidR="00962BFA" w:rsidRPr="00411866" w14:paraId="0D1CA495" w14:textId="77777777" w:rsidTr="0068133C">
        <w:tc>
          <w:tcPr>
            <w:tcW w:w="966" w:type="pct"/>
            <w:vMerge/>
          </w:tcPr>
          <w:p w14:paraId="493A6489" w14:textId="0AB70C81" w:rsidR="00962BFA" w:rsidRPr="00411866" w:rsidRDefault="00962BFA" w:rsidP="004509D1">
            <w:pPr>
              <w:pStyle w:val="NoSpacing"/>
              <w:jc w:val="center"/>
              <w:rPr>
                <w:noProof/>
              </w:rPr>
            </w:pPr>
          </w:p>
        </w:tc>
        <w:tc>
          <w:tcPr>
            <w:tcW w:w="921" w:type="pct"/>
          </w:tcPr>
          <w:p w14:paraId="4F544E80" w14:textId="77D27C16" w:rsidR="00962BFA" w:rsidRDefault="00C43F4F" w:rsidP="00467B0B">
            <w:pPr>
              <w:pStyle w:val="NoSpacing"/>
              <w:numPr>
                <w:ilvl w:val="0"/>
                <w:numId w:val="6"/>
              </w:numPr>
            </w:pPr>
            <w:r>
              <w:t xml:space="preserve">Engage </w:t>
            </w:r>
            <w:r w:rsidR="00FE01E8">
              <w:t xml:space="preserve">in </w:t>
            </w:r>
            <w:r>
              <w:t xml:space="preserve">a </w:t>
            </w:r>
            <w:r w:rsidR="00FE01E8">
              <w:t>mentoring program</w:t>
            </w:r>
            <w:r w:rsidR="00ED14C6">
              <w:t xml:space="preserve"> to </w:t>
            </w:r>
            <w:r w:rsidR="00ED14C6" w:rsidRPr="00ED14C6">
              <w:t>develop relationships with senior researchers (Fenton et al. 2016)</w:t>
            </w:r>
          </w:p>
          <w:p w14:paraId="602FBB9A" w14:textId="6E1A673F" w:rsidR="00962BFA" w:rsidRPr="00ED14C6" w:rsidRDefault="00FE01E8" w:rsidP="00ED14C6">
            <w:pPr>
              <w:pStyle w:val="NoSpacing"/>
              <w:numPr>
                <w:ilvl w:val="0"/>
                <w:numId w:val="6"/>
              </w:numPr>
            </w:pPr>
            <w:r>
              <w:t xml:space="preserve">Find a personal sponsor </w:t>
            </w:r>
            <w:r w:rsidR="00ED14C6" w:rsidRPr="00ED14C6">
              <w:t xml:space="preserve">who can </w:t>
            </w:r>
            <w:r w:rsidR="00214BD8">
              <w:t>enhance</w:t>
            </w:r>
            <w:r w:rsidR="00ED14C6" w:rsidRPr="00ED14C6">
              <w:t xml:space="preserve"> your visibility, credibility, and professional networks (Gottlieb et al. 2018)</w:t>
            </w:r>
          </w:p>
        </w:tc>
        <w:tc>
          <w:tcPr>
            <w:tcW w:w="1013" w:type="pct"/>
          </w:tcPr>
          <w:p w14:paraId="53CBCEF8" w14:textId="01403FF5" w:rsidR="00962BFA" w:rsidRDefault="00962BFA" w:rsidP="00962BFA">
            <w:pPr>
              <w:pStyle w:val="NoSpacing"/>
              <w:numPr>
                <w:ilvl w:val="0"/>
                <w:numId w:val="6"/>
              </w:numPr>
            </w:pPr>
            <w:r>
              <w:t xml:space="preserve">International and diverse (including generational diversity) supervisory teams </w:t>
            </w:r>
          </w:p>
          <w:p w14:paraId="0F18191A" w14:textId="77777777" w:rsidR="003234AD" w:rsidRDefault="00962BFA" w:rsidP="003234AD">
            <w:pPr>
              <w:pStyle w:val="NoSpacing"/>
              <w:numPr>
                <w:ilvl w:val="0"/>
                <w:numId w:val="6"/>
              </w:numPr>
            </w:pPr>
            <w:r>
              <w:t>Institutions should introduce opportunities for ECRs to find and network with sponsors</w:t>
            </w:r>
          </w:p>
          <w:p w14:paraId="223CE900" w14:textId="7BF64C39" w:rsidR="003234AD" w:rsidRPr="00962BFA" w:rsidRDefault="003234AD" w:rsidP="003234AD">
            <w:pPr>
              <w:pStyle w:val="NoSpacing"/>
              <w:numPr>
                <w:ilvl w:val="0"/>
                <w:numId w:val="6"/>
              </w:numPr>
            </w:pPr>
            <w:r>
              <w:t>Formal mentor training programmes for supervisory staff</w:t>
            </w:r>
          </w:p>
        </w:tc>
        <w:tc>
          <w:tcPr>
            <w:tcW w:w="1023" w:type="pct"/>
          </w:tcPr>
          <w:p w14:paraId="15C3679D" w14:textId="0CCBF23F" w:rsidR="00962BFA" w:rsidRPr="004F3168" w:rsidRDefault="004F3168" w:rsidP="004F3168">
            <w:pPr>
              <w:pStyle w:val="NoSpacing"/>
              <w:numPr>
                <w:ilvl w:val="0"/>
                <w:numId w:val="6"/>
              </w:numPr>
            </w:pPr>
            <w:r w:rsidRPr="004F3168">
              <w:t>Create mechanisms for ECRs to contact potential mentors inside and outside their home institution (e.g. APECS mentor database)</w:t>
            </w:r>
          </w:p>
        </w:tc>
        <w:tc>
          <w:tcPr>
            <w:tcW w:w="1077" w:type="pct"/>
          </w:tcPr>
          <w:p w14:paraId="046AB7DF" w14:textId="53519BAD" w:rsidR="00962BFA" w:rsidRPr="00C43F4F" w:rsidRDefault="00363279" w:rsidP="00EB31A7">
            <w:pPr>
              <w:pStyle w:val="NoSpacing"/>
              <w:numPr>
                <w:ilvl w:val="0"/>
                <w:numId w:val="6"/>
              </w:numPr>
            </w:pPr>
            <w:r w:rsidRPr="00C43F4F">
              <w:t xml:space="preserve">Mentoring program at MEASO 2018 </w:t>
            </w:r>
          </w:p>
        </w:tc>
      </w:tr>
      <w:tr w:rsidR="00962BFA" w:rsidRPr="00411866" w14:paraId="12D13291" w14:textId="77777777" w:rsidTr="004509D1">
        <w:tc>
          <w:tcPr>
            <w:tcW w:w="966" w:type="pct"/>
            <w:vMerge/>
          </w:tcPr>
          <w:p w14:paraId="35FE73AC" w14:textId="7A0DC623" w:rsidR="00962BFA" w:rsidRPr="00411866" w:rsidRDefault="00962BFA" w:rsidP="004509D1">
            <w:pPr>
              <w:pStyle w:val="NoSpacing"/>
              <w:jc w:val="center"/>
              <w:rPr>
                <w:noProof/>
              </w:rPr>
            </w:pPr>
          </w:p>
        </w:tc>
        <w:tc>
          <w:tcPr>
            <w:tcW w:w="4034" w:type="pct"/>
            <w:gridSpan w:val="4"/>
          </w:tcPr>
          <w:p w14:paraId="13A74365" w14:textId="05F7D041" w:rsidR="00962BFA" w:rsidRPr="00962BFA" w:rsidRDefault="00424F68" w:rsidP="00962BFA">
            <w:pPr>
              <w:pStyle w:val="NoSpacing"/>
              <w:jc w:val="center"/>
              <w:rPr>
                <w:b/>
                <w:bCs/>
              </w:rPr>
            </w:pPr>
            <w:r>
              <w:rPr>
                <w:b/>
                <w:bCs/>
              </w:rPr>
              <w:t>Involvement in</w:t>
            </w:r>
            <w:r w:rsidR="00962BFA" w:rsidRPr="00411866">
              <w:rPr>
                <w:b/>
                <w:bCs/>
              </w:rPr>
              <w:t xml:space="preserve"> organi</w:t>
            </w:r>
            <w:r w:rsidR="00214BD8">
              <w:rPr>
                <w:b/>
                <w:bCs/>
              </w:rPr>
              <w:t>s</w:t>
            </w:r>
            <w:r w:rsidR="00962BFA" w:rsidRPr="00411866">
              <w:rPr>
                <w:b/>
                <w:bCs/>
              </w:rPr>
              <w:t>ations and research networks</w:t>
            </w:r>
          </w:p>
        </w:tc>
      </w:tr>
      <w:tr w:rsidR="00962BFA" w:rsidRPr="00411866" w14:paraId="5ABF7A1C" w14:textId="77777777" w:rsidTr="0068133C">
        <w:tc>
          <w:tcPr>
            <w:tcW w:w="966" w:type="pct"/>
            <w:vMerge/>
          </w:tcPr>
          <w:p w14:paraId="7D67CD56" w14:textId="18F4ED17" w:rsidR="00962BFA" w:rsidRPr="00411866" w:rsidRDefault="00962BFA" w:rsidP="004509D1">
            <w:pPr>
              <w:pStyle w:val="NoSpacing"/>
              <w:jc w:val="center"/>
            </w:pPr>
          </w:p>
        </w:tc>
        <w:tc>
          <w:tcPr>
            <w:tcW w:w="921" w:type="pct"/>
          </w:tcPr>
          <w:p w14:paraId="15C2BA3B" w14:textId="1BA3DB15" w:rsidR="00FE01E8" w:rsidRDefault="00962BFA" w:rsidP="002A643F">
            <w:pPr>
              <w:pStyle w:val="NoSpacing"/>
              <w:numPr>
                <w:ilvl w:val="0"/>
                <w:numId w:val="10"/>
              </w:numPr>
            </w:pPr>
            <w:r>
              <w:t xml:space="preserve">ECRs should get involved in </w:t>
            </w:r>
            <w:r w:rsidR="00214BD8">
              <w:t>organis</w:t>
            </w:r>
            <w:r>
              <w:t xml:space="preserve">ations and research networks early </w:t>
            </w:r>
            <w:r w:rsidR="00ED14C6">
              <w:t>to benefit</w:t>
            </w:r>
            <w:r>
              <w:t xml:space="preserve"> their career</w:t>
            </w:r>
            <w:r w:rsidR="00ED14C6">
              <w:t xml:space="preserve"> (</w:t>
            </w:r>
            <w:proofErr w:type="spellStart"/>
            <w:r w:rsidR="00ED14C6">
              <w:t>Ansmann</w:t>
            </w:r>
            <w:proofErr w:type="spellEnd"/>
            <w:r w:rsidR="00ED14C6">
              <w:t xml:space="preserve"> et al. 2014; </w:t>
            </w:r>
            <w:proofErr w:type="spellStart"/>
            <w:r w:rsidR="00ED14C6">
              <w:t>Bohleber</w:t>
            </w:r>
            <w:proofErr w:type="spellEnd"/>
            <w:r w:rsidR="00ED14C6">
              <w:t xml:space="preserve"> et al. 2020) </w:t>
            </w:r>
          </w:p>
          <w:p w14:paraId="65A4F22D" w14:textId="77777777" w:rsidR="00FE01E8" w:rsidRDefault="00962BFA" w:rsidP="002A643F">
            <w:pPr>
              <w:pStyle w:val="NoSpacing"/>
              <w:numPr>
                <w:ilvl w:val="0"/>
                <w:numId w:val="10"/>
              </w:numPr>
            </w:pPr>
            <w:r>
              <w:t xml:space="preserve">Utilise social media platforms </w:t>
            </w:r>
          </w:p>
          <w:p w14:paraId="19D6D6EA" w14:textId="781869E6" w:rsidR="00962BFA" w:rsidRDefault="00962BFA" w:rsidP="002A643F">
            <w:pPr>
              <w:pStyle w:val="NoSpacing"/>
              <w:numPr>
                <w:ilvl w:val="0"/>
                <w:numId w:val="10"/>
              </w:numPr>
            </w:pPr>
            <w:r>
              <w:t xml:space="preserve">ECR workshops can be a less intimidating way to network with other researchers </w:t>
            </w:r>
          </w:p>
          <w:p w14:paraId="66D223F4" w14:textId="77777777" w:rsidR="00962BFA" w:rsidRDefault="00962BFA" w:rsidP="00411866">
            <w:pPr>
              <w:pStyle w:val="NoSpacing"/>
            </w:pPr>
          </w:p>
          <w:p w14:paraId="123D619E" w14:textId="2D49E3F9" w:rsidR="00962BFA" w:rsidRPr="00411866" w:rsidRDefault="00962BFA" w:rsidP="000000FE">
            <w:pPr>
              <w:pStyle w:val="NoSpacing"/>
            </w:pPr>
            <w:r>
              <w:t xml:space="preserve"> </w:t>
            </w:r>
          </w:p>
        </w:tc>
        <w:tc>
          <w:tcPr>
            <w:tcW w:w="1013" w:type="pct"/>
          </w:tcPr>
          <w:p w14:paraId="57D6AA29" w14:textId="5BA3A260" w:rsidR="00962BFA" w:rsidRPr="00411866" w:rsidRDefault="00424F68" w:rsidP="004509D1">
            <w:pPr>
              <w:pStyle w:val="NoSpacing"/>
              <w:numPr>
                <w:ilvl w:val="0"/>
                <w:numId w:val="10"/>
              </w:numPr>
            </w:pPr>
            <w:r>
              <w:t xml:space="preserve">Organise and encourage ECR engagement in events such as seminars and workshops </w:t>
            </w:r>
          </w:p>
        </w:tc>
        <w:tc>
          <w:tcPr>
            <w:tcW w:w="1023" w:type="pct"/>
          </w:tcPr>
          <w:p w14:paraId="3D7A5C6A" w14:textId="300E3288" w:rsidR="00962BFA" w:rsidRDefault="00962BFA" w:rsidP="00FE01E8">
            <w:pPr>
              <w:pStyle w:val="NoSpacing"/>
              <w:numPr>
                <w:ilvl w:val="0"/>
                <w:numId w:val="7"/>
              </w:numPr>
            </w:pPr>
            <w:r>
              <w:t xml:space="preserve">Options for remotely attending conferences and meetings accommodate ECRs with limited travel funding </w:t>
            </w:r>
            <w:r w:rsidR="004F3168">
              <w:t xml:space="preserve">(Bradley et al. 2020) </w:t>
            </w:r>
            <w:r>
              <w:t>or disabilities</w:t>
            </w:r>
          </w:p>
          <w:p w14:paraId="23C05BAD" w14:textId="77777777" w:rsidR="00962BFA" w:rsidRDefault="00962BFA" w:rsidP="00962BFA">
            <w:pPr>
              <w:pStyle w:val="NoSpacing"/>
              <w:numPr>
                <w:ilvl w:val="0"/>
                <w:numId w:val="7"/>
              </w:numPr>
            </w:pPr>
            <w:r>
              <w:t xml:space="preserve">ECR involvement in local </w:t>
            </w:r>
            <w:r w:rsidR="00214BD8">
              <w:t>organis</w:t>
            </w:r>
            <w:r>
              <w:t xml:space="preserve">ations, conference </w:t>
            </w:r>
            <w:r w:rsidR="00214BD8">
              <w:t>organis</w:t>
            </w:r>
            <w:r>
              <w:t>ation, session chairing, panels and conference-associated workshops should be encouraged and supported</w:t>
            </w:r>
          </w:p>
          <w:p w14:paraId="614AD6D6" w14:textId="0D4F83E3" w:rsidR="00447C32" w:rsidRPr="00411866" w:rsidRDefault="00447C32" w:rsidP="00962BFA">
            <w:pPr>
              <w:pStyle w:val="NoSpacing"/>
              <w:numPr>
                <w:ilvl w:val="0"/>
                <w:numId w:val="7"/>
              </w:numPr>
            </w:pPr>
            <w:r>
              <w:t xml:space="preserve">Invite ECRs to give talks in </w:t>
            </w:r>
            <w:r w:rsidR="00D12226">
              <w:t xml:space="preserve">conferences and other </w:t>
            </w:r>
            <w:r>
              <w:t>events</w:t>
            </w:r>
            <w:r w:rsidR="00D12226">
              <w:t xml:space="preserve"> </w:t>
            </w:r>
          </w:p>
        </w:tc>
        <w:tc>
          <w:tcPr>
            <w:tcW w:w="1077" w:type="pct"/>
          </w:tcPr>
          <w:p w14:paraId="4C7DD42E" w14:textId="6C05D553" w:rsidR="00ED14C6" w:rsidRDefault="00962BFA" w:rsidP="00B7682B">
            <w:pPr>
              <w:pStyle w:val="NoSpacing"/>
              <w:numPr>
                <w:ilvl w:val="0"/>
                <w:numId w:val="7"/>
              </w:numPr>
            </w:pPr>
            <w:r>
              <w:t>Many ECRs were involved in the planning of MEASO2018</w:t>
            </w:r>
          </w:p>
          <w:p w14:paraId="5DEFB434" w14:textId="427D1103" w:rsidR="00962BFA" w:rsidRDefault="00962BFA" w:rsidP="00B7682B">
            <w:pPr>
              <w:pStyle w:val="NoSpacing"/>
              <w:numPr>
                <w:ilvl w:val="0"/>
                <w:numId w:val="7"/>
              </w:numPr>
            </w:pPr>
            <w:r>
              <w:t xml:space="preserve">MEASO waived the registration fee for ECR </w:t>
            </w:r>
            <w:r w:rsidR="00ED14C6">
              <w:t>organisers and prize winners</w:t>
            </w:r>
          </w:p>
          <w:p w14:paraId="41AF7D71" w14:textId="18F50060" w:rsidR="00ED14C6" w:rsidRDefault="00ED14C6" w:rsidP="00B7682B">
            <w:pPr>
              <w:pStyle w:val="NoSpacing"/>
              <w:numPr>
                <w:ilvl w:val="0"/>
                <w:numId w:val="7"/>
              </w:numPr>
            </w:pPr>
            <w:r>
              <w:t>Co-hosted an ECR workshop with APECS</w:t>
            </w:r>
          </w:p>
          <w:p w14:paraId="0A1C117C" w14:textId="4E35BD23" w:rsidR="004F3168" w:rsidRPr="004F3168" w:rsidRDefault="004F3168" w:rsidP="004F3168">
            <w:pPr>
              <w:pStyle w:val="ListParagraph"/>
              <w:numPr>
                <w:ilvl w:val="0"/>
                <w:numId w:val="7"/>
              </w:numPr>
              <w:rPr>
                <w:rFonts w:cstheme="minorHAnsi"/>
                <w:sz w:val="16"/>
                <w:szCs w:val="16"/>
              </w:rPr>
            </w:pPr>
            <w:r w:rsidRPr="004F3168">
              <w:rPr>
                <w:rFonts w:cstheme="minorHAnsi"/>
                <w:sz w:val="16"/>
                <w:szCs w:val="16"/>
              </w:rPr>
              <w:t>ECRs gave the final remarks of each theme at the end of MEASO2018</w:t>
            </w:r>
          </w:p>
          <w:p w14:paraId="65CC5F66" w14:textId="7CF5EECA" w:rsidR="00FE01E8" w:rsidRDefault="00962BFA" w:rsidP="00ED14C6">
            <w:pPr>
              <w:pStyle w:val="NoSpacing"/>
              <w:numPr>
                <w:ilvl w:val="0"/>
                <w:numId w:val="7"/>
              </w:numPr>
            </w:pPr>
            <w:r>
              <w:t>ECRs co-chair</w:t>
            </w:r>
            <w:r w:rsidR="00FE01E8">
              <w:t>ed</w:t>
            </w:r>
            <w:r>
              <w:t xml:space="preserve"> </w:t>
            </w:r>
            <w:r w:rsidR="00ED14C6">
              <w:t xml:space="preserve">conference </w:t>
            </w:r>
            <w:r>
              <w:t xml:space="preserve">sessions </w:t>
            </w:r>
          </w:p>
          <w:p w14:paraId="15D0B80A" w14:textId="678D4780" w:rsidR="00962BFA" w:rsidRPr="00962BFA" w:rsidRDefault="00ED14C6" w:rsidP="00B7682B">
            <w:pPr>
              <w:pStyle w:val="NoSpacing"/>
              <w:numPr>
                <w:ilvl w:val="0"/>
                <w:numId w:val="7"/>
              </w:numPr>
            </w:pPr>
            <w:r>
              <w:t>Remote attendance was offered for</w:t>
            </w:r>
            <w:r w:rsidR="00962BFA">
              <w:t xml:space="preserve"> </w:t>
            </w:r>
            <w:r>
              <w:t xml:space="preserve">the </w:t>
            </w:r>
            <w:r w:rsidR="00962BFA">
              <w:t>MEASO 2019 Woking workshop</w:t>
            </w:r>
          </w:p>
          <w:p w14:paraId="0F20B7D2" w14:textId="5D7B4BD0" w:rsidR="00962BFA" w:rsidRPr="00411866" w:rsidRDefault="00C615FA" w:rsidP="00962BFA">
            <w:pPr>
              <w:pStyle w:val="NoSpacing"/>
              <w:numPr>
                <w:ilvl w:val="0"/>
                <w:numId w:val="7"/>
              </w:numPr>
            </w:pPr>
            <w:r>
              <w:t xml:space="preserve">A </w:t>
            </w:r>
            <w:r w:rsidR="00086D39">
              <w:t>MEASO</w:t>
            </w:r>
            <w:r w:rsidR="00962BFA">
              <w:t xml:space="preserve"> ECR led Pew funded project </w:t>
            </w:r>
            <w:r>
              <w:t xml:space="preserve">conceptualised from MEASO introductions and discussions which resulted </w:t>
            </w:r>
            <w:r w:rsidR="00962BFA">
              <w:t>in a Nature publication (Cavan et al. 2019)</w:t>
            </w:r>
          </w:p>
        </w:tc>
      </w:tr>
      <w:tr w:rsidR="00045D60" w:rsidRPr="00411866" w14:paraId="189DD72A" w14:textId="77777777" w:rsidTr="004509D1">
        <w:tc>
          <w:tcPr>
            <w:tcW w:w="966" w:type="pct"/>
            <w:vMerge w:val="restart"/>
          </w:tcPr>
          <w:p w14:paraId="4B532C07" w14:textId="77777777" w:rsidR="00045D60" w:rsidRDefault="00045D60" w:rsidP="004509D1">
            <w:pPr>
              <w:pStyle w:val="NoSpacing"/>
              <w:jc w:val="center"/>
            </w:pPr>
            <w:r>
              <w:rPr>
                <w:noProof/>
              </w:rPr>
              <w:drawing>
                <wp:inline distT="0" distB="0" distL="0" distR="0" wp14:anchorId="0BD52B98" wp14:editId="0BF62D08">
                  <wp:extent cx="342000" cy="34200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000" cy="342000"/>
                          </a:xfrm>
                          <a:prstGeom prst="rect">
                            <a:avLst/>
                          </a:prstGeom>
                          <a:noFill/>
                          <a:ln>
                            <a:noFill/>
                          </a:ln>
                        </pic:spPr>
                      </pic:pic>
                    </a:graphicData>
                  </a:graphic>
                </wp:inline>
              </w:drawing>
            </w:r>
          </w:p>
          <w:p w14:paraId="50CCF03E" w14:textId="77777777" w:rsidR="00045D60" w:rsidRPr="00B01DCE" w:rsidRDefault="00045D60" w:rsidP="004509D1">
            <w:pPr>
              <w:pStyle w:val="NoSpacing"/>
              <w:jc w:val="center"/>
              <w:rPr>
                <w:b/>
                <w:bCs/>
              </w:rPr>
            </w:pPr>
            <w:r w:rsidRPr="00B01DCE">
              <w:rPr>
                <w:b/>
                <w:bCs/>
              </w:rPr>
              <w:t>Competition</w:t>
            </w:r>
          </w:p>
          <w:p w14:paraId="26E845D2" w14:textId="61296359" w:rsidR="00045D60" w:rsidRDefault="00045D60" w:rsidP="004509D1">
            <w:pPr>
              <w:pStyle w:val="NoSpacing"/>
              <w:jc w:val="center"/>
              <w:rPr>
                <w:noProof/>
              </w:rPr>
            </w:pPr>
            <w:r>
              <w:t>ECRs compete with mid-career and senior researchers, and in some cases their supervisors and team members, for funding and topics in Antarctic science.</w:t>
            </w:r>
          </w:p>
        </w:tc>
        <w:tc>
          <w:tcPr>
            <w:tcW w:w="4034" w:type="pct"/>
            <w:gridSpan w:val="4"/>
          </w:tcPr>
          <w:p w14:paraId="1F123592" w14:textId="7A50B58C" w:rsidR="00045D60" w:rsidRDefault="00045D60" w:rsidP="00CF0965">
            <w:pPr>
              <w:pStyle w:val="NoSpacing"/>
              <w:jc w:val="center"/>
            </w:pPr>
            <w:r>
              <w:rPr>
                <w:b/>
                <w:bCs/>
              </w:rPr>
              <w:t>Skill development</w:t>
            </w:r>
          </w:p>
        </w:tc>
      </w:tr>
      <w:tr w:rsidR="00045D60" w:rsidRPr="00411866" w14:paraId="25FF17DF" w14:textId="77777777" w:rsidTr="0068133C">
        <w:tc>
          <w:tcPr>
            <w:tcW w:w="966" w:type="pct"/>
            <w:vMerge/>
          </w:tcPr>
          <w:p w14:paraId="7EBC6C52" w14:textId="169ACA64" w:rsidR="00045D60" w:rsidRPr="00411866" w:rsidRDefault="00045D60" w:rsidP="004509D1">
            <w:pPr>
              <w:pStyle w:val="NoSpacing"/>
              <w:jc w:val="center"/>
            </w:pPr>
          </w:p>
        </w:tc>
        <w:tc>
          <w:tcPr>
            <w:tcW w:w="921" w:type="pct"/>
          </w:tcPr>
          <w:p w14:paraId="771EB7AB" w14:textId="5597F82C" w:rsidR="00ED14C6" w:rsidRDefault="00ED14C6" w:rsidP="003E2F4B">
            <w:pPr>
              <w:pStyle w:val="NoSpacing"/>
              <w:numPr>
                <w:ilvl w:val="0"/>
                <w:numId w:val="28"/>
              </w:numPr>
              <w:ind w:left="322" w:hanging="283"/>
            </w:pPr>
            <w:r>
              <w:t xml:space="preserve">Utilise ECR status to attend training programmes including practical certifications and research training </w:t>
            </w:r>
          </w:p>
          <w:p w14:paraId="1B01E6E8" w14:textId="56E599F4" w:rsidR="00045D60" w:rsidRDefault="00FE01E8" w:rsidP="003E2F4B">
            <w:pPr>
              <w:pStyle w:val="NoSpacing"/>
              <w:numPr>
                <w:ilvl w:val="0"/>
                <w:numId w:val="28"/>
              </w:numPr>
              <w:ind w:left="322" w:hanging="283"/>
            </w:pPr>
            <w:r>
              <w:t>Engage in</w:t>
            </w:r>
            <w:r w:rsidR="00045D60">
              <w:t xml:space="preserve"> writing projects or short-term visits abroad as a principal investigator </w:t>
            </w:r>
          </w:p>
          <w:p w14:paraId="1D947210" w14:textId="6464AE5F" w:rsidR="00DD3E2D" w:rsidRPr="00411866" w:rsidRDefault="00DD3E2D" w:rsidP="00ED14C6">
            <w:pPr>
              <w:pStyle w:val="NoSpacing"/>
              <w:ind w:left="322"/>
            </w:pPr>
          </w:p>
        </w:tc>
        <w:tc>
          <w:tcPr>
            <w:tcW w:w="1013" w:type="pct"/>
          </w:tcPr>
          <w:p w14:paraId="410DEC29" w14:textId="38FCB5D5" w:rsidR="00045D60" w:rsidRPr="00D55AD7" w:rsidRDefault="00045D60" w:rsidP="00B7682B">
            <w:pPr>
              <w:pStyle w:val="NoSpacing"/>
              <w:numPr>
                <w:ilvl w:val="0"/>
                <w:numId w:val="11"/>
              </w:numPr>
            </w:pPr>
            <w:r>
              <w:t xml:space="preserve">Institutes should encourage a minimum quota of ECRs within research programmes and incorporate career succession into PhD programs </w:t>
            </w:r>
          </w:p>
          <w:p w14:paraId="277834D3" w14:textId="4C160939" w:rsidR="00045D60" w:rsidRDefault="00045D60" w:rsidP="00D55AD7">
            <w:pPr>
              <w:pStyle w:val="NoSpacing"/>
              <w:numPr>
                <w:ilvl w:val="0"/>
                <w:numId w:val="11"/>
              </w:numPr>
            </w:pPr>
            <w:r>
              <w:t>Utilise local expertise to train ECRs in</w:t>
            </w:r>
            <w:r w:rsidR="00214BD8">
              <w:t>-</w:t>
            </w:r>
            <w:r>
              <w:t xml:space="preserve">house </w:t>
            </w:r>
          </w:p>
          <w:p w14:paraId="62E8956B" w14:textId="59661DDF" w:rsidR="00045D60" w:rsidRPr="008A1F2F" w:rsidRDefault="000D6FA5" w:rsidP="00ED14C6">
            <w:pPr>
              <w:pStyle w:val="NoSpacing"/>
              <w:numPr>
                <w:ilvl w:val="0"/>
                <w:numId w:val="11"/>
              </w:numPr>
            </w:pPr>
            <w:r>
              <w:t>Promote</w:t>
            </w:r>
            <w:r w:rsidRPr="00396258">
              <w:t xml:space="preserve"> more humane, collaborative, and healthy</w:t>
            </w:r>
            <w:r w:rsidR="00214BD8">
              <w:t xml:space="preserve"> work environments that discourage</w:t>
            </w:r>
            <w:r>
              <w:t xml:space="preserve"> </w:t>
            </w:r>
            <w:r w:rsidR="00214BD8">
              <w:t>competition</w:t>
            </w:r>
            <w:r>
              <w:t xml:space="preserve"> (</w:t>
            </w:r>
            <w:proofErr w:type="spellStart"/>
            <w:r>
              <w:t>Maestre</w:t>
            </w:r>
            <w:proofErr w:type="spellEnd"/>
            <w:r>
              <w:t xml:space="preserve"> 2019)</w:t>
            </w:r>
          </w:p>
        </w:tc>
        <w:tc>
          <w:tcPr>
            <w:tcW w:w="1023" w:type="pct"/>
          </w:tcPr>
          <w:p w14:paraId="4908E022" w14:textId="3D94E72D" w:rsidR="00045D60" w:rsidRPr="00045D60" w:rsidRDefault="00045D60" w:rsidP="00B7682B">
            <w:pPr>
              <w:pStyle w:val="NoSpacing"/>
              <w:numPr>
                <w:ilvl w:val="0"/>
                <w:numId w:val="11"/>
              </w:numPr>
            </w:pPr>
            <w:r>
              <w:t>Encourage additional training through course discounts or free online courses</w:t>
            </w:r>
          </w:p>
          <w:p w14:paraId="3D0352A6" w14:textId="0746768B" w:rsidR="00045D60" w:rsidRDefault="00045D60" w:rsidP="00045D60">
            <w:pPr>
              <w:pStyle w:val="NoSpacing"/>
              <w:numPr>
                <w:ilvl w:val="0"/>
                <w:numId w:val="11"/>
              </w:numPr>
            </w:pPr>
            <w:r>
              <w:t xml:space="preserve">Provide small research grants that support collaborations and publication costs e.g. SCAR </w:t>
            </w:r>
            <w:r w:rsidR="004F3168">
              <w:t xml:space="preserve">and CCAMLR </w:t>
            </w:r>
            <w:r>
              <w:t>Fellowships</w:t>
            </w:r>
          </w:p>
          <w:p w14:paraId="0FB92043" w14:textId="7A557F58" w:rsidR="00045D60" w:rsidRPr="00411866" w:rsidRDefault="00045D60" w:rsidP="00B7682B">
            <w:pPr>
              <w:pStyle w:val="NoSpacing"/>
            </w:pPr>
          </w:p>
        </w:tc>
        <w:tc>
          <w:tcPr>
            <w:tcW w:w="1077" w:type="pct"/>
          </w:tcPr>
          <w:p w14:paraId="3D3A1205" w14:textId="77777777" w:rsidR="00DC38C2" w:rsidRDefault="00045D60" w:rsidP="00B7682B">
            <w:pPr>
              <w:pStyle w:val="NoSpacing"/>
              <w:numPr>
                <w:ilvl w:val="0"/>
                <w:numId w:val="9"/>
              </w:numPr>
            </w:pPr>
            <w:r>
              <w:t>ECRs were specifically asked to provide content for the SOKI pages on Antarctic and Southern Ocean biota and ecosystems</w:t>
            </w:r>
          </w:p>
          <w:p w14:paraId="4C175D84" w14:textId="0280B5F3" w:rsidR="00045D60" w:rsidRPr="00411866" w:rsidRDefault="00DC38C2" w:rsidP="004F3168">
            <w:pPr>
              <w:pStyle w:val="NoSpacing"/>
              <w:numPr>
                <w:ilvl w:val="0"/>
                <w:numId w:val="9"/>
              </w:numPr>
            </w:pPr>
            <w:r>
              <w:t xml:space="preserve">ECRs </w:t>
            </w:r>
            <w:r w:rsidR="00045D60">
              <w:t>lead and co-author</w:t>
            </w:r>
            <w:r>
              <w:t>ed</w:t>
            </w:r>
            <w:r w:rsidR="00045D60">
              <w:t xml:space="preserve"> manuscripts for th</w:t>
            </w:r>
            <w:r>
              <w:t>is</w:t>
            </w:r>
            <w:r w:rsidR="00045D60">
              <w:t xml:space="preserve"> special issue</w:t>
            </w:r>
          </w:p>
        </w:tc>
      </w:tr>
      <w:tr w:rsidR="00267AFF" w:rsidRPr="00411866" w14:paraId="65FB5663" w14:textId="77777777" w:rsidTr="004509D1">
        <w:tc>
          <w:tcPr>
            <w:tcW w:w="966" w:type="pct"/>
            <w:vMerge w:val="restart"/>
          </w:tcPr>
          <w:p w14:paraId="261BCD92" w14:textId="77777777" w:rsidR="00267AFF" w:rsidRDefault="00267AFF" w:rsidP="004509D1">
            <w:pPr>
              <w:pStyle w:val="NoSpacing"/>
              <w:jc w:val="center"/>
            </w:pPr>
            <w:r>
              <w:rPr>
                <w:noProof/>
              </w:rPr>
              <w:drawing>
                <wp:inline distT="0" distB="0" distL="0" distR="0" wp14:anchorId="41BD0D19" wp14:editId="0CAC47CF">
                  <wp:extent cx="342000" cy="34200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000" cy="342000"/>
                          </a:xfrm>
                          <a:prstGeom prst="rect">
                            <a:avLst/>
                          </a:prstGeom>
                          <a:noFill/>
                          <a:ln>
                            <a:noFill/>
                          </a:ln>
                        </pic:spPr>
                      </pic:pic>
                    </a:graphicData>
                  </a:graphic>
                </wp:inline>
              </w:drawing>
            </w:r>
          </w:p>
          <w:p w14:paraId="13AA342E" w14:textId="77777777" w:rsidR="00267AFF" w:rsidRDefault="00267AFF" w:rsidP="004509D1">
            <w:pPr>
              <w:pStyle w:val="NoSpacing"/>
              <w:jc w:val="center"/>
              <w:rPr>
                <w:b/>
                <w:bCs/>
              </w:rPr>
            </w:pPr>
            <w:r w:rsidRPr="00B01DCE">
              <w:rPr>
                <w:b/>
                <w:bCs/>
              </w:rPr>
              <w:t>Pressure to publish</w:t>
            </w:r>
          </w:p>
          <w:p w14:paraId="03A08FE6" w14:textId="77777777" w:rsidR="00267AFF" w:rsidRPr="00B01DCE" w:rsidRDefault="00267AFF" w:rsidP="004509D1">
            <w:pPr>
              <w:pStyle w:val="NoSpacing"/>
              <w:jc w:val="center"/>
              <w:rPr>
                <w:b/>
                <w:bCs/>
              </w:rPr>
            </w:pPr>
            <w:r>
              <w:t xml:space="preserve">Researchers are evaluated based on publication and citation numbers (Chapman et al. 2019). Many ECRs publish within their PhD but are not yet established enough to be invited to co-author manuscripts or take on these </w:t>
            </w:r>
            <w:r>
              <w:lastRenderedPageBreak/>
              <w:t>additional tasks without support or funding, both of which are imperative to the success of the project.</w:t>
            </w:r>
          </w:p>
          <w:p w14:paraId="2266F613" w14:textId="77777777" w:rsidR="00267AFF" w:rsidRDefault="00267AFF" w:rsidP="004509D1">
            <w:pPr>
              <w:pStyle w:val="NoSpacing"/>
              <w:jc w:val="center"/>
              <w:rPr>
                <w:noProof/>
              </w:rPr>
            </w:pPr>
          </w:p>
        </w:tc>
        <w:tc>
          <w:tcPr>
            <w:tcW w:w="4034" w:type="pct"/>
            <w:gridSpan w:val="4"/>
          </w:tcPr>
          <w:p w14:paraId="796655ED" w14:textId="59F955E5" w:rsidR="00267AFF" w:rsidRPr="008A1F2F" w:rsidRDefault="00267AFF" w:rsidP="003E2F4B">
            <w:pPr>
              <w:pStyle w:val="NoSpacing"/>
              <w:ind w:left="322" w:hanging="283"/>
              <w:jc w:val="center"/>
              <w:rPr>
                <w:b/>
                <w:bCs/>
              </w:rPr>
            </w:pPr>
            <w:r w:rsidRPr="00B01DCE">
              <w:rPr>
                <w:b/>
                <w:bCs/>
              </w:rPr>
              <w:lastRenderedPageBreak/>
              <w:t>Valuing alternative research outcomes and activities</w:t>
            </w:r>
          </w:p>
        </w:tc>
      </w:tr>
      <w:tr w:rsidR="00267AFF" w:rsidRPr="00411866" w14:paraId="5642AC9C" w14:textId="77777777" w:rsidTr="0068133C">
        <w:tc>
          <w:tcPr>
            <w:tcW w:w="966" w:type="pct"/>
            <w:vMerge/>
          </w:tcPr>
          <w:p w14:paraId="46439FDA" w14:textId="2EADEAC1" w:rsidR="00267AFF" w:rsidRPr="00411866" w:rsidRDefault="00267AFF" w:rsidP="004509D1">
            <w:pPr>
              <w:pStyle w:val="NoSpacing"/>
              <w:jc w:val="center"/>
            </w:pPr>
          </w:p>
        </w:tc>
        <w:tc>
          <w:tcPr>
            <w:tcW w:w="921" w:type="pct"/>
          </w:tcPr>
          <w:p w14:paraId="2B583FDE" w14:textId="5E3C60E7" w:rsidR="00267AFF" w:rsidRPr="00411866" w:rsidRDefault="00267AFF" w:rsidP="003E2F4B">
            <w:pPr>
              <w:pStyle w:val="NoSpacing"/>
              <w:numPr>
                <w:ilvl w:val="0"/>
                <w:numId w:val="29"/>
              </w:numPr>
              <w:ind w:left="322" w:hanging="283"/>
            </w:pPr>
            <w:r>
              <w:t xml:space="preserve">Recognizing other research outcomes and activities alongside publications </w:t>
            </w:r>
          </w:p>
        </w:tc>
        <w:tc>
          <w:tcPr>
            <w:tcW w:w="1013" w:type="pct"/>
          </w:tcPr>
          <w:p w14:paraId="73970109" w14:textId="49278731" w:rsidR="00267AFF" w:rsidRPr="00411866" w:rsidRDefault="00FD7DEA" w:rsidP="001F2D03">
            <w:pPr>
              <w:pStyle w:val="NoSpacing"/>
              <w:numPr>
                <w:ilvl w:val="0"/>
                <w:numId w:val="29"/>
              </w:numPr>
              <w:ind w:left="453" w:hanging="425"/>
            </w:pPr>
            <w:r>
              <w:t>Contribution to p</w:t>
            </w:r>
            <w:r w:rsidR="00267AFF">
              <w:t>olicy reports</w:t>
            </w:r>
            <w:r>
              <w:t xml:space="preserve"> and</w:t>
            </w:r>
            <w:r w:rsidR="00267AFF">
              <w:t xml:space="preserve"> online articles, </w:t>
            </w:r>
            <w:r w:rsidR="00214BD8">
              <w:t>organis</w:t>
            </w:r>
            <w:r w:rsidR="00267AFF">
              <w:t xml:space="preserve">ation of scientific events, public outreach, teaching and mentoring, all require skill and expertise and should be </w:t>
            </w:r>
            <w:r>
              <w:t xml:space="preserve">more </w:t>
            </w:r>
            <w:r w:rsidR="00267AFF">
              <w:t>valued</w:t>
            </w:r>
          </w:p>
        </w:tc>
        <w:tc>
          <w:tcPr>
            <w:tcW w:w="1023" w:type="pct"/>
          </w:tcPr>
          <w:p w14:paraId="2DC5DDBA" w14:textId="77777777" w:rsidR="00FE01E8" w:rsidRDefault="00267AFF" w:rsidP="00FE01E8">
            <w:pPr>
              <w:pStyle w:val="NoSpacing"/>
              <w:numPr>
                <w:ilvl w:val="0"/>
                <w:numId w:val="29"/>
              </w:numPr>
            </w:pPr>
            <w:r>
              <w:t>The inclusion of awards for ECRs at scientific events provides measurable CV-specific outputs for potential employers</w:t>
            </w:r>
          </w:p>
          <w:p w14:paraId="229524BA" w14:textId="0C7A35AD" w:rsidR="00267AFF" w:rsidRDefault="00267AFF" w:rsidP="006B340D">
            <w:pPr>
              <w:pStyle w:val="NoSpacing"/>
              <w:numPr>
                <w:ilvl w:val="0"/>
                <w:numId w:val="29"/>
              </w:numPr>
            </w:pPr>
            <w:r>
              <w:t>Awards can lead to tangible outcomes for ECRs further into their careers</w:t>
            </w:r>
          </w:p>
          <w:p w14:paraId="030FAADD" w14:textId="3D63392C" w:rsidR="00267AFF" w:rsidRPr="00411866" w:rsidRDefault="00267AFF" w:rsidP="00B7682B">
            <w:pPr>
              <w:pStyle w:val="NoSpacing"/>
            </w:pPr>
          </w:p>
        </w:tc>
        <w:tc>
          <w:tcPr>
            <w:tcW w:w="1077" w:type="pct"/>
          </w:tcPr>
          <w:p w14:paraId="156BBB2E" w14:textId="4769DD47" w:rsidR="00267AFF" w:rsidRDefault="00267AFF" w:rsidP="00CF0965">
            <w:pPr>
              <w:pStyle w:val="NoSpacing"/>
              <w:numPr>
                <w:ilvl w:val="0"/>
                <w:numId w:val="9"/>
              </w:numPr>
            </w:pPr>
            <w:r>
              <w:t>ECR presentations and posters were awarded at the end of the MEASO</w:t>
            </w:r>
            <w:r w:rsidR="00142101">
              <w:t xml:space="preserve"> </w:t>
            </w:r>
            <w:r>
              <w:t>2018 conference, many of which were published later</w:t>
            </w:r>
            <w:r w:rsidR="00FD7DEA">
              <w:t>, e.g.</w:t>
            </w:r>
            <w:r>
              <w:t xml:space="preserve"> Ericson et al. </w:t>
            </w:r>
            <w:r w:rsidR="00142101">
              <w:t>(</w:t>
            </w:r>
            <w:r>
              <w:t>2018</w:t>
            </w:r>
            <w:r w:rsidR="00142101">
              <w:t>)</w:t>
            </w:r>
            <w:r>
              <w:t xml:space="preserve">, Weldrick et al. </w:t>
            </w:r>
            <w:r w:rsidR="00142101">
              <w:t>(</w:t>
            </w:r>
            <w:r>
              <w:t>2019</w:t>
            </w:r>
            <w:r w:rsidR="00142101">
              <w:t>)</w:t>
            </w:r>
            <w:r>
              <w:t xml:space="preserve">, </w:t>
            </w:r>
            <w:proofErr w:type="spellStart"/>
            <w:r>
              <w:t>Hellesey</w:t>
            </w:r>
            <w:proofErr w:type="spellEnd"/>
            <w:r>
              <w:t xml:space="preserve"> et al. </w:t>
            </w:r>
            <w:r w:rsidR="00142101">
              <w:t>(</w:t>
            </w:r>
            <w:r>
              <w:t>2020)</w:t>
            </w:r>
          </w:p>
          <w:p w14:paraId="0B1A85AE" w14:textId="435AC5CF" w:rsidR="00267AFF" w:rsidRPr="00411866" w:rsidRDefault="00267AFF" w:rsidP="00CF0965">
            <w:pPr>
              <w:pStyle w:val="NoSpacing"/>
              <w:numPr>
                <w:ilvl w:val="0"/>
                <w:numId w:val="9"/>
              </w:numPr>
            </w:pPr>
            <w:r>
              <w:t>ECRs were interviewed by local radio stations during the conference</w:t>
            </w:r>
          </w:p>
        </w:tc>
      </w:tr>
      <w:tr w:rsidR="00267AFF" w:rsidRPr="00411866" w14:paraId="5E98D817" w14:textId="77777777" w:rsidTr="004509D1">
        <w:tc>
          <w:tcPr>
            <w:tcW w:w="966" w:type="pct"/>
            <w:vMerge/>
          </w:tcPr>
          <w:p w14:paraId="22E17371" w14:textId="77777777" w:rsidR="00267AFF" w:rsidRDefault="00267AFF" w:rsidP="004509D1">
            <w:pPr>
              <w:pStyle w:val="NoSpacing"/>
              <w:jc w:val="center"/>
              <w:rPr>
                <w:noProof/>
              </w:rPr>
            </w:pPr>
          </w:p>
        </w:tc>
        <w:tc>
          <w:tcPr>
            <w:tcW w:w="4034" w:type="pct"/>
            <w:gridSpan w:val="4"/>
          </w:tcPr>
          <w:p w14:paraId="4D1FF8CE" w14:textId="7C209183" w:rsidR="00267AFF" w:rsidRPr="00267AFF" w:rsidRDefault="00267AFF" w:rsidP="00267AFF">
            <w:pPr>
              <w:pStyle w:val="NoSpacing"/>
              <w:jc w:val="center"/>
              <w:rPr>
                <w:b/>
                <w:bCs/>
              </w:rPr>
            </w:pPr>
            <w:r w:rsidRPr="00B01DCE">
              <w:rPr>
                <w:b/>
                <w:bCs/>
              </w:rPr>
              <w:t>Facilita</w:t>
            </w:r>
            <w:r>
              <w:rPr>
                <w:b/>
                <w:bCs/>
              </w:rPr>
              <w:t>te</w:t>
            </w:r>
            <w:r w:rsidRPr="00B01DCE">
              <w:rPr>
                <w:b/>
                <w:bCs/>
              </w:rPr>
              <w:t xml:space="preserve"> the successful publication of ECR research</w:t>
            </w:r>
          </w:p>
        </w:tc>
      </w:tr>
      <w:tr w:rsidR="001F2D03" w:rsidRPr="00411866" w14:paraId="7E407688" w14:textId="77777777" w:rsidTr="0068133C">
        <w:trPr>
          <w:trHeight w:val="1721"/>
        </w:trPr>
        <w:tc>
          <w:tcPr>
            <w:tcW w:w="966" w:type="pct"/>
            <w:vMerge/>
          </w:tcPr>
          <w:p w14:paraId="35A3BE0D" w14:textId="77777777" w:rsidR="001F2D03" w:rsidRDefault="001F2D03" w:rsidP="001F2D03">
            <w:pPr>
              <w:pStyle w:val="NoSpacing"/>
              <w:jc w:val="center"/>
              <w:rPr>
                <w:noProof/>
              </w:rPr>
            </w:pPr>
          </w:p>
        </w:tc>
        <w:tc>
          <w:tcPr>
            <w:tcW w:w="921" w:type="pct"/>
          </w:tcPr>
          <w:p w14:paraId="65BEBF87" w14:textId="0C6367F3" w:rsidR="001F2D03" w:rsidRDefault="003C3348" w:rsidP="003C3348">
            <w:pPr>
              <w:pStyle w:val="NoSpacing"/>
              <w:numPr>
                <w:ilvl w:val="0"/>
                <w:numId w:val="32"/>
              </w:numPr>
              <w:ind w:left="322"/>
            </w:pPr>
            <w:r>
              <w:t>Seek involvement in collaborative projects that could lead to research projects and co-authorship</w:t>
            </w:r>
          </w:p>
        </w:tc>
        <w:tc>
          <w:tcPr>
            <w:tcW w:w="1013" w:type="pct"/>
          </w:tcPr>
          <w:p w14:paraId="61C690D5" w14:textId="5C978F45" w:rsidR="001F2D03" w:rsidRDefault="003E2F4B" w:rsidP="003E2F4B">
            <w:pPr>
              <w:pStyle w:val="NoSpacing"/>
              <w:numPr>
                <w:ilvl w:val="0"/>
                <w:numId w:val="31"/>
              </w:numPr>
              <w:ind w:left="311" w:hanging="283"/>
            </w:pPr>
            <w:r>
              <w:t>M</w:t>
            </w:r>
            <w:r w:rsidR="001F2D03">
              <w:t xml:space="preserve">entors </w:t>
            </w:r>
            <w:r>
              <w:t xml:space="preserve">and senior researchers </w:t>
            </w:r>
            <w:r w:rsidR="001F2D03">
              <w:t xml:space="preserve">should </w:t>
            </w:r>
            <w:r>
              <w:t xml:space="preserve">invite </w:t>
            </w:r>
            <w:r w:rsidR="001F2D03" w:rsidRPr="0042002D">
              <w:t xml:space="preserve">meritorious ECRs to </w:t>
            </w:r>
            <w:r>
              <w:t xml:space="preserve">contribute to research </w:t>
            </w:r>
            <w:r w:rsidR="001F2D03" w:rsidRPr="0042002D">
              <w:t>papers</w:t>
            </w:r>
            <w:r w:rsidR="001F2D03">
              <w:t xml:space="preserve"> (</w:t>
            </w:r>
            <w:proofErr w:type="spellStart"/>
            <w:r w:rsidR="001F2D03">
              <w:t>Maestre</w:t>
            </w:r>
            <w:proofErr w:type="spellEnd"/>
            <w:r w:rsidR="001F2D03">
              <w:t xml:space="preserve"> 2019)</w:t>
            </w:r>
          </w:p>
        </w:tc>
        <w:tc>
          <w:tcPr>
            <w:tcW w:w="1023" w:type="pct"/>
          </w:tcPr>
          <w:p w14:paraId="195B229E" w14:textId="77777777" w:rsidR="001F2D03" w:rsidRDefault="001F2D03" w:rsidP="001F2D03">
            <w:pPr>
              <w:pStyle w:val="NoSpacing"/>
              <w:numPr>
                <w:ilvl w:val="0"/>
                <w:numId w:val="1"/>
              </w:numPr>
              <w:ind w:left="318" w:hanging="318"/>
            </w:pPr>
            <w:r>
              <w:t>Invite ECRs to co-author papers</w:t>
            </w:r>
          </w:p>
          <w:p w14:paraId="19AF1FB6" w14:textId="78EDF3C5" w:rsidR="001F2D03" w:rsidRPr="002A643F" w:rsidRDefault="001F2D03" w:rsidP="001F2D03">
            <w:pPr>
              <w:pStyle w:val="NoSpacing"/>
              <w:numPr>
                <w:ilvl w:val="0"/>
                <w:numId w:val="1"/>
              </w:numPr>
              <w:ind w:left="318" w:hanging="318"/>
            </w:pPr>
            <w:r>
              <w:t xml:space="preserve">Establish an ECR quota on </w:t>
            </w:r>
            <w:r w:rsidR="00142101">
              <w:t>f</w:t>
            </w:r>
            <w:r>
              <w:t>ee waivers for ECRs in journals, especially as open access publishing is becoming more common</w:t>
            </w:r>
          </w:p>
        </w:tc>
        <w:tc>
          <w:tcPr>
            <w:tcW w:w="1077" w:type="pct"/>
          </w:tcPr>
          <w:p w14:paraId="6E6044E8" w14:textId="652533A3" w:rsidR="001F2D03" w:rsidRPr="00CF0965" w:rsidRDefault="001F2D03" w:rsidP="001F2D03">
            <w:pPr>
              <w:pStyle w:val="NoSpacing"/>
              <w:numPr>
                <w:ilvl w:val="0"/>
                <w:numId w:val="9"/>
              </w:numPr>
            </w:pPr>
            <w:r>
              <w:t xml:space="preserve">Many ECRs </w:t>
            </w:r>
            <w:r w:rsidR="00FD7DEA">
              <w:t xml:space="preserve">participated as </w:t>
            </w:r>
            <w:r>
              <w:t xml:space="preserve">lead and co-authors in this special issue as well as </w:t>
            </w:r>
            <w:r w:rsidR="00FD7DEA">
              <w:t xml:space="preserve">in </w:t>
            </w:r>
            <w:r>
              <w:t>earlier MEASO publications (e.g. Brasier et al. 2019)</w:t>
            </w:r>
            <w:r w:rsidR="00E16313">
              <w:t xml:space="preserve">. </w:t>
            </w:r>
            <w:r w:rsidR="00C96447">
              <w:t xml:space="preserve">As MEASO </w:t>
            </w:r>
            <w:r w:rsidR="00E30BC5">
              <w:t>applied</w:t>
            </w:r>
            <w:r w:rsidR="00C96447">
              <w:t xml:space="preserve"> an inclusive and collaborative approach, ECRs had a good example of how </w:t>
            </w:r>
            <w:proofErr w:type="spellStart"/>
            <w:r w:rsidR="00C96447">
              <w:t>coauthors</w:t>
            </w:r>
            <w:proofErr w:type="spellEnd"/>
            <w:r w:rsidR="00C96447">
              <w:t xml:space="preserve"> should behave</w:t>
            </w:r>
            <w:r w:rsidR="00E16313">
              <w:t xml:space="preserve"> </w:t>
            </w:r>
            <w:r w:rsidR="00C118D3">
              <w:t>for</w:t>
            </w:r>
            <w:r w:rsidR="00E30BC5">
              <w:t xml:space="preserve"> </w:t>
            </w:r>
            <w:r w:rsidR="00E37AF2">
              <w:t xml:space="preserve">future </w:t>
            </w:r>
            <w:r w:rsidR="00E30BC5">
              <w:t>papers</w:t>
            </w:r>
            <w:r w:rsidR="00E37AF2">
              <w:t xml:space="preserve"> where they </w:t>
            </w:r>
            <w:r w:rsidR="00AD4EED">
              <w:t>are involved</w:t>
            </w:r>
            <w:r w:rsidR="003F22AA">
              <w:t>.</w:t>
            </w:r>
          </w:p>
        </w:tc>
      </w:tr>
      <w:tr w:rsidR="001F2D03" w:rsidRPr="00411866" w14:paraId="7626DB33" w14:textId="77777777" w:rsidTr="004509D1">
        <w:tc>
          <w:tcPr>
            <w:tcW w:w="966" w:type="pct"/>
            <w:vMerge w:val="restart"/>
          </w:tcPr>
          <w:p w14:paraId="5A371597" w14:textId="5C010508" w:rsidR="001F2D03" w:rsidRDefault="001F2D03" w:rsidP="001F2D03">
            <w:pPr>
              <w:pStyle w:val="NoSpacing"/>
              <w:jc w:val="center"/>
            </w:pPr>
            <w:r>
              <w:rPr>
                <w:noProof/>
              </w:rPr>
              <w:drawing>
                <wp:inline distT="0" distB="0" distL="0" distR="0" wp14:anchorId="6337E4A3" wp14:editId="724B2F48">
                  <wp:extent cx="342000" cy="34200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000" cy="342000"/>
                          </a:xfrm>
                          <a:prstGeom prst="rect">
                            <a:avLst/>
                          </a:prstGeom>
                          <a:noFill/>
                          <a:ln>
                            <a:noFill/>
                          </a:ln>
                        </pic:spPr>
                      </pic:pic>
                    </a:graphicData>
                  </a:graphic>
                </wp:inline>
              </w:drawing>
            </w:r>
          </w:p>
          <w:p w14:paraId="0E441541" w14:textId="77777777" w:rsidR="001F2D03" w:rsidRDefault="001F2D03" w:rsidP="001F2D03">
            <w:pPr>
              <w:pStyle w:val="NoSpacing"/>
              <w:jc w:val="center"/>
              <w:rPr>
                <w:b/>
                <w:bCs/>
              </w:rPr>
            </w:pPr>
            <w:r w:rsidRPr="00922AA9">
              <w:rPr>
                <w:b/>
                <w:bCs/>
              </w:rPr>
              <w:t>Academic job market and career uncertainty</w:t>
            </w:r>
          </w:p>
          <w:p w14:paraId="64F01875" w14:textId="77777777" w:rsidR="001F2D03" w:rsidRDefault="001F2D03" w:rsidP="001F2D03">
            <w:pPr>
              <w:pStyle w:val="NoSpacing"/>
              <w:jc w:val="center"/>
            </w:pPr>
            <w:r w:rsidRPr="00922AA9">
              <w:t>The lack of jobs in academia</w:t>
            </w:r>
            <w:r>
              <w:t xml:space="preserve"> </w:t>
            </w:r>
            <w:r w:rsidRPr="00922AA9">
              <w:t>and highly competitive nature of funding schemes can make relocation for research an essential part of a career in polar science (</w:t>
            </w:r>
            <w:proofErr w:type="spellStart"/>
            <w:r w:rsidRPr="00922AA9">
              <w:t>Skakni</w:t>
            </w:r>
            <w:proofErr w:type="spellEnd"/>
            <w:r w:rsidRPr="00922AA9">
              <w:t xml:space="preserve"> et al. 2019).</w:t>
            </w:r>
          </w:p>
          <w:p w14:paraId="5F51CFF6" w14:textId="69E72308" w:rsidR="001F2D03" w:rsidRDefault="001F2D03" w:rsidP="001F2D03">
            <w:pPr>
              <w:pStyle w:val="NoSpacing"/>
              <w:jc w:val="center"/>
              <w:rPr>
                <w:noProof/>
              </w:rPr>
            </w:pPr>
            <w:r>
              <w:t>S</w:t>
            </w:r>
            <w:r w:rsidRPr="00922AA9">
              <w:t xml:space="preserve">hort-time </w:t>
            </w:r>
            <w:r>
              <w:t xml:space="preserve">term contracts </w:t>
            </w:r>
            <w:r w:rsidRPr="00922AA9">
              <w:t xml:space="preserve">can limit </w:t>
            </w:r>
            <w:r>
              <w:t>research output</w:t>
            </w:r>
            <w:r w:rsidRPr="00922AA9">
              <w:t xml:space="preserve"> and prevent settling into a new job, e.g. meeting colleagues and integrating into a new institute.</w:t>
            </w:r>
          </w:p>
        </w:tc>
        <w:tc>
          <w:tcPr>
            <w:tcW w:w="4034" w:type="pct"/>
            <w:gridSpan w:val="4"/>
          </w:tcPr>
          <w:p w14:paraId="5F26FF8E" w14:textId="5387A7D3" w:rsidR="001F2D03" w:rsidRPr="00922AA9" w:rsidRDefault="001F2D03" w:rsidP="001F2D03">
            <w:pPr>
              <w:pStyle w:val="NoSpacing"/>
              <w:jc w:val="center"/>
              <w:rPr>
                <w:b/>
                <w:bCs/>
              </w:rPr>
            </w:pPr>
            <w:r w:rsidRPr="00922AA9">
              <w:rPr>
                <w:b/>
                <w:bCs/>
              </w:rPr>
              <w:t>Interdisciplinary networks and parties</w:t>
            </w:r>
          </w:p>
        </w:tc>
      </w:tr>
      <w:tr w:rsidR="001F2D03" w:rsidRPr="00411866" w14:paraId="08B9BC71" w14:textId="77777777" w:rsidTr="0068133C">
        <w:trPr>
          <w:trHeight w:val="923"/>
        </w:trPr>
        <w:tc>
          <w:tcPr>
            <w:tcW w:w="966" w:type="pct"/>
            <w:vMerge/>
          </w:tcPr>
          <w:p w14:paraId="0B6A1BAE" w14:textId="55849438" w:rsidR="001F2D03" w:rsidRDefault="001F2D03" w:rsidP="001F2D03">
            <w:pPr>
              <w:pStyle w:val="NoSpacing"/>
              <w:jc w:val="center"/>
              <w:rPr>
                <w:noProof/>
              </w:rPr>
            </w:pPr>
          </w:p>
        </w:tc>
        <w:tc>
          <w:tcPr>
            <w:tcW w:w="921" w:type="pct"/>
          </w:tcPr>
          <w:p w14:paraId="00B498EA" w14:textId="69FBF102" w:rsidR="001F2D03" w:rsidRPr="00142101" w:rsidRDefault="00142101" w:rsidP="00142101">
            <w:pPr>
              <w:pStyle w:val="NoSpacing"/>
              <w:numPr>
                <w:ilvl w:val="0"/>
                <w:numId w:val="9"/>
              </w:numPr>
              <w:rPr>
                <w:b/>
                <w:bCs/>
              </w:rPr>
            </w:pPr>
            <w:r>
              <w:t>Seek i</w:t>
            </w:r>
            <w:r w:rsidR="001F2D03">
              <w:t xml:space="preserve">nvolvement in NGOs, national parties of Antarctic </w:t>
            </w:r>
            <w:r w:rsidR="00214BD8">
              <w:t>organis</w:t>
            </w:r>
            <w:r w:rsidR="001F2D03">
              <w:t xml:space="preserve">ations (e.g. CCAMLR) or in international initiatives </w:t>
            </w:r>
          </w:p>
        </w:tc>
        <w:tc>
          <w:tcPr>
            <w:tcW w:w="1013" w:type="pct"/>
          </w:tcPr>
          <w:p w14:paraId="2B5AED0D" w14:textId="6667AEE1" w:rsidR="001F2D03" w:rsidRPr="002D26F2" w:rsidRDefault="001F2D03" w:rsidP="001F2D03">
            <w:pPr>
              <w:pStyle w:val="NoSpacing"/>
              <w:numPr>
                <w:ilvl w:val="0"/>
                <w:numId w:val="9"/>
              </w:numPr>
            </w:pPr>
            <w:r>
              <w:t>Paid internships and fellowships in different sectors, e.g. policy and management</w:t>
            </w:r>
          </w:p>
        </w:tc>
        <w:tc>
          <w:tcPr>
            <w:tcW w:w="1023" w:type="pct"/>
          </w:tcPr>
          <w:p w14:paraId="5A44CD5C" w14:textId="66D29FE3" w:rsidR="001F2D03" w:rsidRPr="00DB5BBF" w:rsidRDefault="00DB5BBF" w:rsidP="00DB5BBF">
            <w:pPr>
              <w:pStyle w:val="NoSpacing"/>
              <w:numPr>
                <w:ilvl w:val="0"/>
                <w:numId w:val="9"/>
              </w:numPr>
            </w:pPr>
            <w:r w:rsidRPr="00DB5BBF">
              <w:t>Involvement of NGOs, companies, etc. in conferences.</w:t>
            </w:r>
          </w:p>
        </w:tc>
        <w:tc>
          <w:tcPr>
            <w:tcW w:w="1077" w:type="pct"/>
          </w:tcPr>
          <w:p w14:paraId="1C872C43" w14:textId="1549E166" w:rsidR="001F2D03" w:rsidRPr="00922AA9" w:rsidRDefault="00DB5BBF" w:rsidP="00DB5BBF">
            <w:pPr>
              <w:pStyle w:val="NoSpacing"/>
              <w:numPr>
                <w:ilvl w:val="0"/>
                <w:numId w:val="9"/>
              </w:numPr>
              <w:rPr>
                <w:b/>
                <w:bCs/>
              </w:rPr>
            </w:pPr>
            <w:r>
              <w:t>Policymakers, stakeholders and NGOs were represented at MEASO2018 and consulted throughout manuscript development of MEASO special issue articles</w:t>
            </w:r>
          </w:p>
        </w:tc>
      </w:tr>
      <w:tr w:rsidR="001F2D03" w:rsidRPr="00411866" w14:paraId="425AB69E" w14:textId="77777777" w:rsidTr="004509D1">
        <w:tc>
          <w:tcPr>
            <w:tcW w:w="966" w:type="pct"/>
            <w:vMerge/>
          </w:tcPr>
          <w:p w14:paraId="4B34ADDA" w14:textId="5B9078E5" w:rsidR="001F2D03" w:rsidRDefault="001F2D03" w:rsidP="001F2D03">
            <w:pPr>
              <w:pStyle w:val="NoSpacing"/>
              <w:jc w:val="center"/>
              <w:rPr>
                <w:noProof/>
              </w:rPr>
            </w:pPr>
          </w:p>
        </w:tc>
        <w:tc>
          <w:tcPr>
            <w:tcW w:w="4034" w:type="pct"/>
            <w:gridSpan w:val="4"/>
          </w:tcPr>
          <w:p w14:paraId="59CDAC60" w14:textId="4731FF10" w:rsidR="001F2D03" w:rsidRPr="00922AA9" w:rsidRDefault="001F2D03" w:rsidP="001F2D03">
            <w:pPr>
              <w:pStyle w:val="NoSpacing"/>
              <w:jc w:val="center"/>
              <w:rPr>
                <w:b/>
                <w:bCs/>
              </w:rPr>
            </w:pPr>
            <w:r>
              <w:rPr>
                <w:b/>
                <w:bCs/>
              </w:rPr>
              <w:t>Contracts and funding</w:t>
            </w:r>
          </w:p>
        </w:tc>
      </w:tr>
      <w:tr w:rsidR="001F2D03" w:rsidRPr="00411866" w14:paraId="708B428A" w14:textId="77777777" w:rsidTr="0068133C">
        <w:tc>
          <w:tcPr>
            <w:tcW w:w="966" w:type="pct"/>
            <w:vMerge/>
          </w:tcPr>
          <w:p w14:paraId="56E4C7AB" w14:textId="01D5A841" w:rsidR="001F2D03" w:rsidRPr="00922AA9" w:rsidRDefault="001F2D03" w:rsidP="001F2D03">
            <w:pPr>
              <w:pStyle w:val="NoSpacing"/>
              <w:jc w:val="center"/>
            </w:pPr>
          </w:p>
        </w:tc>
        <w:tc>
          <w:tcPr>
            <w:tcW w:w="921" w:type="pct"/>
          </w:tcPr>
          <w:p w14:paraId="21CCD3A6" w14:textId="020E8089" w:rsidR="001F2D03" w:rsidRPr="00411866" w:rsidRDefault="001F2D03" w:rsidP="001F2D03">
            <w:pPr>
              <w:pStyle w:val="NoSpacing"/>
              <w:numPr>
                <w:ilvl w:val="0"/>
                <w:numId w:val="12"/>
              </w:numPr>
            </w:pPr>
            <w:r>
              <w:t>ECRs may combine their short-term fellowships with grants to attend conferences and do short research visits abroad, although these fellowships generally only cover travel plus living costs</w:t>
            </w:r>
          </w:p>
        </w:tc>
        <w:tc>
          <w:tcPr>
            <w:tcW w:w="1013" w:type="pct"/>
          </w:tcPr>
          <w:p w14:paraId="47FD9F6B" w14:textId="0165C417" w:rsidR="001F2D03" w:rsidRDefault="00142101" w:rsidP="00142101">
            <w:pPr>
              <w:pStyle w:val="NoSpacing"/>
              <w:numPr>
                <w:ilvl w:val="0"/>
                <w:numId w:val="12"/>
              </w:numPr>
            </w:pPr>
            <w:r>
              <w:t>I</w:t>
            </w:r>
            <w:r w:rsidR="001F2D03">
              <w:t>nstitutes should prioritize creating long-term contracts (&gt;1 year)</w:t>
            </w:r>
          </w:p>
          <w:p w14:paraId="0E797B33" w14:textId="3820624D" w:rsidR="00142101" w:rsidRDefault="00142101" w:rsidP="00142101">
            <w:pPr>
              <w:pStyle w:val="NoSpacing"/>
              <w:numPr>
                <w:ilvl w:val="0"/>
                <w:numId w:val="12"/>
              </w:numPr>
            </w:pPr>
            <w:r>
              <w:t>Remove</w:t>
            </w:r>
            <w:r w:rsidR="001F2D03">
              <w:t xml:space="preserve"> financial barriers by covering the costs of relocation for ECRs</w:t>
            </w:r>
          </w:p>
          <w:p w14:paraId="49E049B1" w14:textId="4D67FA6F" w:rsidR="001F2D03" w:rsidRPr="00411866" w:rsidRDefault="00142101" w:rsidP="00142101">
            <w:pPr>
              <w:pStyle w:val="NoSpacing"/>
              <w:numPr>
                <w:ilvl w:val="0"/>
                <w:numId w:val="12"/>
              </w:numPr>
            </w:pPr>
            <w:r>
              <w:t>Host w</w:t>
            </w:r>
            <w:r w:rsidR="001F2D03">
              <w:t>orkshops on how to attract funding and how to generate successful multidisciplinary funding bids (</w:t>
            </w:r>
            <w:proofErr w:type="spellStart"/>
            <w:r w:rsidR="001F2D03">
              <w:t>Sobey</w:t>
            </w:r>
            <w:proofErr w:type="spellEnd"/>
            <w:r w:rsidR="001F2D03">
              <w:t xml:space="preserve"> et al. 2013)</w:t>
            </w:r>
          </w:p>
        </w:tc>
        <w:tc>
          <w:tcPr>
            <w:tcW w:w="1023" w:type="pct"/>
          </w:tcPr>
          <w:p w14:paraId="32465CCF" w14:textId="66100B4C" w:rsidR="001F2D03" w:rsidRDefault="001F2D03" w:rsidP="001F2D03">
            <w:pPr>
              <w:pStyle w:val="NoSpacing"/>
              <w:numPr>
                <w:ilvl w:val="0"/>
                <w:numId w:val="12"/>
              </w:numPr>
            </w:pPr>
            <w:r>
              <w:t xml:space="preserve">Short-term research visits could provide a solution </w:t>
            </w:r>
            <w:r w:rsidR="00142101">
              <w:t xml:space="preserve">for those unable to relocate, </w:t>
            </w:r>
            <w:r>
              <w:t xml:space="preserve">allowing ECRs to acquire the necessary training abroad </w:t>
            </w:r>
            <w:r w:rsidR="005A2084">
              <w:t xml:space="preserve">before </w:t>
            </w:r>
            <w:r>
              <w:t>return</w:t>
            </w:r>
            <w:r w:rsidR="005A2084">
              <w:t>ing</w:t>
            </w:r>
            <w:r>
              <w:t xml:space="preserve"> home to complete </w:t>
            </w:r>
            <w:r w:rsidR="005A2084">
              <w:t xml:space="preserve">their </w:t>
            </w:r>
            <w:r>
              <w:t>research</w:t>
            </w:r>
          </w:p>
          <w:p w14:paraId="4CC95D91" w14:textId="108E5567" w:rsidR="00142101" w:rsidRDefault="00142101" w:rsidP="001F2D03">
            <w:pPr>
              <w:pStyle w:val="NoSpacing"/>
              <w:numPr>
                <w:ilvl w:val="0"/>
                <w:numId w:val="12"/>
              </w:numPr>
            </w:pPr>
            <w:r>
              <w:t>L</w:t>
            </w:r>
            <w:r w:rsidR="001F2D03">
              <w:t>ong-term support programs are needed within and between institutions</w:t>
            </w:r>
          </w:p>
          <w:p w14:paraId="3C77E298" w14:textId="2287A7C2" w:rsidR="001F2D03" w:rsidRPr="00411866" w:rsidRDefault="00142101" w:rsidP="001F2D03">
            <w:pPr>
              <w:pStyle w:val="NoSpacing"/>
              <w:numPr>
                <w:ilvl w:val="0"/>
                <w:numId w:val="12"/>
              </w:numPr>
            </w:pPr>
            <w:r>
              <w:t>Research grants should</w:t>
            </w:r>
            <w:r w:rsidR="001F2D03">
              <w:t xml:space="preserve"> include salar</w:t>
            </w:r>
            <w:r w:rsidR="005A2084">
              <w:t>ies</w:t>
            </w:r>
            <w:r w:rsidR="001F2D03">
              <w:t xml:space="preserve"> for ECRs</w:t>
            </w:r>
          </w:p>
        </w:tc>
        <w:tc>
          <w:tcPr>
            <w:tcW w:w="1077" w:type="pct"/>
          </w:tcPr>
          <w:p w14:paraId="5E3CAC25" w14:textId="4E58CF69" w:rsidR="001F2D03" w:rsidRPr="00411866" w:rsidRDefault="001F2D03" w:rsidP="001F2D03">
            <w:pPr>
              <w:pStyle w:val="NoSpacing"/>
              <w:numPr>
                <w:ilvl w:val="0"/>
                <w:numId w:val="12"/>
              </w:numPr>
            </w:pPr>
            <w:r>
              <w:t xml:space="preserve">MEASO employed several </w:t>
            </w:r>
            <w:r w:rsidR="004F3168">
              <w:t xml:space="preserve">temporary </w:t>
            </w:r>
            <w:r>
              <w:t>ECR workers from 6-18 months but due to funding uncertainty, longer-term contracts were not possible</w:t>
            </w:r>
          </w:p>
        </w:tc>
      </w:tr>
      <w:tr w:rsidR="001F2D03" w:rsidRPr="00411866" w14:paraId="136536A6" w14:textId="77777777" w:rsidTr="004509D1">
        <w:tc>
          <w:tcPr>
            <w:tcW w:w="966" w:type="pct"/>
            <w:vMerge w:val="restart"/>
          </w:tcPr>
          <w:p w14:paraId="7BA5889C" w14:textId="77777777" w:rsidR="001F2D03" w:rsidRDefault="001F2D03" w:rsidP="001F2D03">
            <w:pPr>
              <w:pStyle w:val="NoSpacing"/>
              <w:jc w:val="center"/>
            </w:pPr>
            <w:r>
              <w:rPr>
                <w:noProof/>
              </w:rPr>
              <w:drawing>
                <wp:inline distT="0" distB="0" distL="0" distR="0" wp14:anchorId="4945863A" wp14:editId="0B3B33AB">
                  <wp:extent cx="342000" cy="342000"/>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000" cy="342000"/>
                          </a:xfrm>
                          <a:prstGeom prst="rect">
                            <a:avLst/>
                          </a:prstGeom>
                          <a:noFill/>
                          <a:ln>
                            <a:noFill/>
                          </a:ln>
                        </pic:spPr>
                      </pic:pic>
                    </a:graphicData>
                  </a:graphic>
                </wp:inline>
              </w:drawing>
            </w:r>
          </w:p>
          <w:p w14:paraId="1876CBCD" w14:textId="77777777" w:rsidR="001F2D03" w:rsidRDefault="001F2D03" w:rsidP="001F2D03">
            <w:pPr>
              <w:pStyle w:val="NoSpacing"/>
              <w:jc w:val="center"/>
              <w:rPr>
                <w:b/>
                <w:bCs/>
              </w:rPr>
            </w:pPr>
            <w:r w:rsidRPr="00410515">
              <w:rPr>
                <w:b/>
                <w:bCs/>
              </w:rPr>
              <w:t>Work-life balance</w:t>
            </w:r>
          </w:p>
          <w:p w14:paraId="57871853" w14:textId="20752628" w:rsidR="001F2D03" w:rsidRDefault="001F2D03" w:rsidP="001F2D03">
            <w:pPr>
              <w:pStyle w:val="NoSpacing"/>
              <w:jc w:val="center"/>
              <w:rPr>
                <w:noProof/>
              </w:rPr>
            </w:pPr>
            <w:r w:rsidRPr="00410515">
              <w:t>Maintaining a work-life balance runs parallel to the academic culture of productivity and publication outputs (</w:t>
            </w:r>
            <w:proofErr w:type="spellStart"/>
            <w:r w:rsidRPr="00410515">
              <w:t>Bielczyk</w:t>
            </w:r>
            <w:proofErr w:type="spellEnd"/>
            <w:r w:rsidRPr="00410515">
              <w:t xml:space="preserve"> et al 2019). Without consideration for personal well-being, ECRs run the risk of experiencing burn out and mental health issues (e.g. Petersen 2011).</w:t>
            </w:r>
          </w:p>
        </w:tc>
        <w:tc>
          <w:tcPr>
            <w:tcW w:w="4034" w:type="pct"/>
            <w:gridSpan w:val="4"/>
          </w:tcPr>
          <w:p w14:paraId="676B1DDB" w14:textId="55CAD0BE" w:rsidR="001F2D03" w:rsidRPr="00410515" w:rsidRDefault="001F2D03" w:rsidP="001F2D03">
            <w:pPr>
              <w:pStyle w:val="NoSpacing"/>
              <w:jc w:val="center"/>
              <w:rPr>
                <w:b/>
                <w:bCs/>
              </w:rPr>
            </w:pPr>
            <w:r>
              <w:rPr>
                <w:b/>
                <w:bCs/>
              </w:rPr>
              <w:t>Support and self-care</w:t>
            </w:r>
          </w:p>
        </w:tc>
      </w:tr>
      <w:tr w:rsidR="001F2D03" w:rsidRPr="00411866" w14:paraId="2EA51362" w14:textId="77777777" w:rsidTr="0068133C">
        <w:tc>
          <w:tcPr>
            <w:tcW w:w="966" w:type="pct"/>
            <w:vMerge/>
          </w:tcPr>
          <w:p w14:paraId="2984A484" w14:textId="63457BA6" w:rsidR="001F2D03" w:rsidRPr="00410515" w:rsidRDefault="001F2D03" w:rsidP="001F2D03">
            <w:pPr>
              <w:pStyle w:val="NoSpacing"/>
              <w:jc w:val="center"/>
            </w:pPr>
          </w:p>
        </w:tc>
        <w:tc>
          <w:tcPr>
            <w:tcW w:w="921" w:type="pct"/>
          </w:tcPr>
          <w:p w14:paraId="24E94555" w14:textId="354E9ACD" w:rsidR="001F2D03" w:rsidRDefault="001F2D03" w:rsidP="001F2D03">
            <w:pPr>
              <w:pStyle w:val="NoSpacing"/>
              <w:numPr>
                <w:ilvl w:val="0"/>
                <w:numId w:val="21"/>
              </w:numPr>
            </w:pPr>
            <w:r>
              <w:t>Negotiating flexible working arrangements to meet individual well-being needs</w:t>
            </w:r>
          </w:p>
          <w:p w14:paraId="68D87C58" w14:textId="23957E78" w:rsidR="001F2D03" w:rsidRDefault="001F2D03" w:rsidP="001F2D03">
            <w:pPr>
              <w:pStyle w:val="NoSpacing"/>
              <w:numPr>
                <w:ilvl w:val="0"/>
                <w:numId w:val="21"/>
              </w:numPr>
            </w:pPr>
            <w:r>
              <w:t>Select research laboratory groups with project leaders that support flexibility (</w:t>
            </w:r>
            <w:proofErr w:type="spellStart"/>
            <w:r>
              <w:t>Maestre</w:t>
            </w:r>
            <w:proofErr w:type="spellEnd"/>
            <w:r>
              <w:t xml:space="preserve"> 2019)</w:t>
            </w:r>
          </w:p>
          <w:p w14:paraId="60A82382" w14:textId="39219853" w:rsidR="001F2D03" w:rsidRPr="00411866" w:rsidRDefault="00142101" w:rsidP="001F2D03">
            <w:pPr>
              <w:pStyle w:val="NoSpacing"/>
              <w:numPr>
                <w:ilvl w:val="0"/>
                <w:numId w:val="21"/>
              </w:numPr>
            </w:pPr>
            <w:r>
              <w:t>S</w:t>
            </w:r>
            <w:r w:rsidR="001F2D03">
              <w:t>eek help and guidance in times of need</w:t>
            </w:r>
          </w:p>
        </w:tc>
        <w:tc>
          <w:tcPr>
            <w:tcW w:w="1013" w:type="pct"/>
          </w:tcPr>
          <w:p w14:paraId="2A2E1849" w14:textId="10E80C58" w:rsidR="001F2D03" w:rsidRDefault="001F2D03" w:rsidP="001F2D03">
            <w:pPr>
              <w:pStyle w:val="NoSpacing"/>
              <w:numPr>
                <w:ilvl w:val="0"/>
                <w:numId w:val="2"/>
              </w:numPr>
              <w:ind w:left="259" w:hanging="283"/>
            </w:pPr>
            <w:r>
              <w:t xml:space="preserve">Designated counselling staff with (free) drop-in sessions available on a regular basis </w:t>
            </w:r>
          </w:p>
          <w:p w14:paraId="456666B6" w14:textId="77777777" w:rsidR="001F2D03" w:rsidRDefault="001F2D03" w:rsidP="001F2D03">
            <w:pPr>
              <w:pStyle w:val="NoSpacing"/>
              <w:numPr>
                <w:ilvl w:val="0"/>
                <w:numId w:val="2"/>
              </w:numPr>
              <w:ind w:left="259" w:hanging="283"/>
            </w:pPr>
            <w:r>
              <w:t>Well-being workshops, e.g. sport or stress relief sessions</w:t>
            </w:r>
          </w:p>
          <w:p w14:paraId="2D671DFA" w14:textId="031B7BE0" w:rsidR="001F2D03" w:rsidRPr="00411866" w:rsidRDefault="001F2D03" w:rsidP="00142101">
            <w:pPr>
              <w:pStyle w:val="NoSpacing"/>
              <w:numPr>
                <w:ilvl w:val="0"/>
                <w:numId w:val="2"/>
              </w:numPr>
              <w:ind w:left="259" w:hanging="283"/>
            </w:pPr>
            <w:r>
              <w:t>Mental-health first aid training should be compulsory for at least all supervisors and faculty</w:t>
            </w:r>
          </w:p>
        </w:tc>
        <w:tc>
          <w:tcPr>
            <w:tcW w:w="1023" w:type="pct"/>
          </w:tcPr>
          <w:p w14:paraId="65875F29" w14:textId="3CE36C4A" w:rsidR="001F2D03" w:rsidRDefault="005A2084" w:rsidP="0066535D">
            <w:pPr>
              <w:pStyle w:val="NoSpacing"/>
              <w:numPr>
                <w:ilvl w:val="0"/>
                <w:numId w:val="30"/>
              </w:numPr>
              <w:ind w:left="458" w:hanging="425"/>
            </w:pPr>
            <w:r>
              <w:t>D</w:t>
            </w:r>
            <w:r w:rsidR="001F2D03">
              <w:t xml:space="preserve">iscussion </w:t>
            </w:r>
            <w:r>
              <w:t>of</w:t>
            </w:r>
            <w:r w:rsidR="001F2D03">
              <w:t xml:space="preserve"> healthy work-life balance and mental health issues must be normalized</w:t>
            </w:r>
          </w:p>
          <w:p w14:paraId="155A827C" w14:textId="77777777" w:rsidR="001F2D03" w:rsidRDefault="001F2D03" w:rsidP="001F2D03">
            <w:pPr>
              <w:pStyle w:val="NoSpacing"/>
            </w:pPr>
          </w:p>
          <w:p w14:paraId="67F5BAF0" w14:textId="07F55370" w:rsidR="001F2D03" w:rsidRPr="00411866" w:rsidRDefault="001F2D03" w:rsidP="001F2D03">
            <w:pPr>
              <w:pStyle w:val="NoSpacing"/>
            </w:pPr>
            <w:r>
              <w:t xml:space="preserve"> </w:t>
            </w:r>
          </w:p>
        </w:tc>
        <w:tc>
          <w:tcPr>
            <w:tcW w:w="1077" w:type="pct"/>
          </w:tcPr>
          <w:p w14:paraId="59116F17" w14:textId="5702178F" w:rsidR="001F2D03" w:rsidRPr="00411866" w:rsidRDefault="00E85C0A" w:rsidP="00E85C0A">
            <w:pPr>
              <w:pStyle w:val="NoSpacing"/>
              <w:numPr>
                <w:ilvl w:val="0"/>
                <w:numId w:val="33"/>
              </w:numPr>
              <w:ind w:left="291"/>
            </w:pPr>
            <w:r>
              <w:t>Meeting notes were circulated for those unable to attending online lead author and committee meetings</w:t>
            </w:r>
          </w:p>
        </w:tc>
      </w:tr>
      <w:tr w:rsidR="001F2D03" w:rsidRPr="00411866" w14:paraId="7E2CA70D" w14:textId="77777777" w:rsidTr="004509D1">
        <w:tc>
          <w:tcPr>
            <w:tcW w:w="966" w:type="pct"/>
            <w:vMerge/>
          </w:tcPr>
          <w:p w14:paraId="63184D8B" w14:textId="77777777" w:rsidR="001F2D03" w:rsidRDefault="001F2D03" w:rsidP="001F2D03">
            <w:pPr>
              <w:pStyle w:val="NoSpacing"/>
              <w:jc w:val="center"/>
              <w:rPr>
                <w:noProof/>
              </w:rPr>
            </w:pPr>
          </w:p>
        </w:tc>
        <w:tc>
          <w:tcPr>
            <w:tcW w:w="4034" w:type="pct"/>
            <w:gridSpan w:val="4"/>
          </w:tcPr>
          <w:p w14:paraId="4E53C155" w14:textId="7D9BA992" w:rsidR="001F2D03" w:rsidRPr="00410515" w:rsidRDefault="001F2D03" w:rsidP="001F2D03">
            <w:pPr>
              <w:pStyle w:val="NoSpacing"/>
              <w:jc w:val="center"/>
              <w:rPr>
                <w:b/>
                <w:bCs/>
              </w:rPr>
            </w:pPr>
            <w:r w:rsidRPr="00A86A35">
              <w:rPr>
                <w:b/>
                <w:bCs/>
              </w:rPr>
              <w:t>Family-friendly support</w:t>
            </w:r>
          </w:p>
        </w:tc>
      </w:tr>
      <w:tr w:rsidR="001F2D03" w:rsidRPr="00411866" w14:paraId="26DE0EF9" w14:textId="77777777" w:rsidTr="0068133C">
        <w:tc>
          <w:tcPr>
            <w:tcW w:w="966" w:type="pct"/>
            <w:vMerge/>
          </w:tcPr>
          <w:p w14:paraId="43E908B1" w14:textId="77777777" w:rsidR="001F2D03" w:rsidRDefault="001F2D03" w:rsidP="001F2D03">
            <w:pPr>
              <w:pStyle w:val="NoSpacing"/>
              <w:jc w:val="center"/>
              <w:rPr>
                <w:noProof/>
              </w:rPr>
            </w:pPr>
          </w:p>
        </w:tc>
        <w:tc>
          <w:tcPr>
            <w:tcW w:w="921" w:type="pct"/>
          </w:tcPr>
          <w:p w14:paraId="46130B11" w14:textId="7BBE2873" w:rsidR="001F2D03" w:rsidRPr="00A86A35" w:rsidRDefault="001F2D03" w:rsidP="001F2D03">
            <w:pPr>
              <w:pStyle w:val="NoSpacing"/>
              <w:numPr>
                <w:ilvl w:val="0"/>
                <w:numId w:val="22"/>
              </w:numPr>
              <w:rPr>
                <w:b/>
                <w:bCs/>
              </w:rPr>
            </w:pPr>
            <w:r>
              <w:t xml:space="preserve">Joining parenting networks at work or online can support isolated groups and provide resources for parents in academia, e.g. </w:t>
            </w:r>
            <w:proofErr w:type="spellStart"/>
            <w:r>
              <w:t>aKIDemic</w:t>
            </w:r>
            <w:proofErr w:type="spellEnd"/>
            <w:r>
              <w:t xml:space="preserve"> life (https://akidemiclife.com/)</w:t>
            </w:r>
          </w:p>
        </w:tc>
        <w:tc>
          <w:tcPr>
            <w:tcW w:w="1013" w:type="pct"/>
          </w:tcPr>
          <w:p w14:paraId="7D3E2589" w14:textId="77777777" w:rsidR="001F2D03" w:rsidRPr="004F3168" w:rsidRDefault="001F2D03" w:rsidP="001F2D03">
            <w:pPr>
              <w:pStyle w:val="NoSpacing"/>
              <w:numPr>
                <w:ilvl w:val="0"/>
                <w:numId w:val="22"/>
              </w:numPr>
              <w:rPr>
                <w:b/>
                <w:bCs/>
              </w:rPr>
            </w:pPr>
            <w:r>
              <w:t>Workplace adjustments to create a family-friendly environment, including parental leave for both parents, flexible working arrangements, and establishing institutional childcare</w:t>
            </w:r>
          </w:p>
          <w:p w14:paraId="0CF5EA00" w14:textId="77777777" w:rsidR="004F3168" w:rsidRPr="006D6F3E" w:rsidRDefault="004F3168" w:rsidP="001F2D03">
            <w:pPr>
              <w:pStyle w:val="NoSpacing"/>
              <w:numPr>
                <w:ilvl w:val="0"/>
                <w:numId w:val="22"/>
              </w:numPr>
              <w:rPr>
                <w:b/>
                <w:bCs/>
              </w:rPr>
            </w:pPr>
            <w:r>
              <w:t>Funding agencies and fellowships do not cover childcare as a travel expense (Bradley et al. 2020) which should change</w:t>
            </w:r>
          </w:p>
          <w:p w14:paraId="0835AF75" w14:textId="77777777" w:rsidR="006D6F3E" w:rsidRPr="004121D1" w:rsidRDefault="00D636B2" w:rsidP="001F2D03">
            <w:pPr>
              <w:pStyle w:val="NoSpacing"/>
              <w:numPr>
                <w:ilvl w:val="0"/>
                <w:numId w:val="22"/>
              </w:numPr>
              <w:rPr>
                <w:b/>
                <w:bCs/>
              </w:rPr>
            </w:pPr>
            <w:r>
              <w:t>Provide</w:t>
            </w:r>
            <w:r w:rsidR="006D6F3E">
              <w:t xml:space="preserve"> care and support </w:t>
            </w:r>
            <w:r>
              <w:t>staff for PhD students</w:t>
            </w:r>
            <w:r w:rsidR="009A5CD9">
              <w:t xml:space="preserve"> and ECRs. With opportunities for regular catch ups or drop in sessions</w:t>
            </w:r>
            <w:r>
              <w:t xml:space="preserve"> </w:t>
            </w:r>
          </w:p>
          <w:p w14:paraId="15BF7693" w14:textId="77777777" w:rsidR="004121D1" w:rsidRDefault="004121D1" w:rsidP="004121D1">
            <w:pPr>
              <w:pStyle w:val="NoSpacing"/>
              <w:rPr>
                <w:b/>
                <w:bCs/>
              </w:rPr>
            </w:pPr>
          </w:p>
          <w:p w14:paraId="639C6550" w14:textId="0E98C4B8" w:rsidR="004121D1" w:rsidRPr="00A86A35" w:rsidRDefault="004121D1" w:rsidP="004121D1">
            <w:pPr>
              <w:pStyle w:val="NoSpacing"/>
              <w:rPr>
                <w:b/>
                <w:bCs/>
              </w:rPr>
            </w:pPr>
          </w:p>
        </w:tc>
        <w:tc>
          <w:tcPr>
            <w:tcW w:w="1023" w:type="pct"/>
          </w:tcPr>
          <w:p w14:paraId="01E79B9D" w14:textId="2054A787" w:rsidR="001F2D03" w:rsidRPr="00A86A35" w:rsidRDefault="001F2D03" w:rsidP="001F2D03">
            <w:pPr>
              <w:pStyle w:val="NoSpacing"/>
              <w:numPr>
                <w:ilvl w:val="0"/>
                <w:numId w:val="22"/>
              </w:numPr>
              <w:rPr>
                <w:b/>
                <w:bCs/>
              </w:rPr>
            </w:pPr>
            <w:r>
              <w:t xml:space="preserve">Conference </w:t>
            </w:r>
            <w:r w:rsidR="00214BD8">
              <w:t>organis</w:t>
            </w:r>
            <w:r>
              <w:t xml:space="preserve">ers should include family-friendly options (see </w:t>
            </w:r>
            <w:proofErr w:type="spellStart"/>
            <w:r>
              <w:t>Calisi</w:t>
            </w:r>
            <w:proofErr w:type="spellEnd"/>
            <w:r>
              <w:t xml:space="preserve"> 2018 for details)</w:t>
            </w:r>
          </w:p>
        </w:tc>
        <w:tc>
          <w:tcPr>
            <w:tcW w:w="1077" w:type="pct"/>
          </w:tcPr>
          <w:p w14:paraId="5DFF5148" w14:textId="280DB08E" w:rsidR="001F2D03" w:rsidRPr="008C3B58" w:rsidRDefault="001F2D03" w:rsidP="00E85C0A">
            <w:pPr>
              <w:pStyle w:val="NoSpacing"/>
              <w:numPr>
                <w:ilvl w:val="0"/>
                <w:numId w:val="22"/>
              </w:numPr>
              <w:ind w:left="291"/>
              <w:rPr>
                <w:b/>
                <w:bCs/>
              </w:rPr>
            </w:pPr>
            <w:r>
              <w:t>MEASO2018 provided free on-site childcare facilities</w:t>
            </w:r>
            <w:r w:rsidR="00142101">
              <w:t xml:space="preserve"> and personnel</w:t>
            </w:r>
            <w:r>
              <w:t xml:space="preserve"> for all attendees</w:t>
            </w:r>
          </w:p>
        </w:tc>
      </w:tr>
      <w:tr w:rsidR="001F2D03" w:rsidRPr="00411866" w14:paraId="7C31866F" w14:textId="77777777" w:rsidTr="004509D1">
        <w:tc>
          <w:tcPr>
            <w:tcW w:w="966" w:type="pct"/>
            <w:vMerge w:val="restart"/>
          </w:tcPr>
          <w:p w14:paraId="1794E427" w14:textId="77777777" w:rsidR="001F2D03" w:rsidRDefault="001F2D03" w:rsidP="001F2D03">
            <w:pPr>
              <w:pStyle w:val="NoSpacing"/>
              <w:jc w:val="center"/>
            </w:pPr>
            <w:r>
              <w:rPr>
                <w:noProof/>
              </w:rPr>
              <w:lastRenderedPageBreak/>
              <w:drawing>
                <wp:inline distT="0" distB="0" distL="0" distR="0" wp14:anchorId="1EE40525" wp14:editId="2CA615EA">
                  <wp:extent cx="342000" cy="342000"/>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000" cy="342000"/>
                          </a:xfrm>
                          <a:prstGeom prst="rect">
                            <a:avLst/>
                          </a:prstGeom>
                          <a:noFill/>
                          <a:ln>
                            <a:noFill/>
                          </a:ln>
                        </pic:spPr>
                      </pic:pic>
                    </a:graphicData>
                  </a:graphic>
                </wp:inline>
              </w:drawing>
            </w:r>
          </w:p>
          <w:p w14:paraId="46017885" w14:textId="77777777" w:rsidR="001F2D03" w:rsidRPr="00410515" w:rsidRDefault="001F2D03" w:rsidP="001F2D03">
            <w:pPr>
              <w:pStyle w:val="NoSpacing"/>
              <w:jc w:val="center"/>
              <w:rPr>
                <w:b/>
                <w:bCs/>
              </w:rPr>
            </w:pPr>
            <w:r w:rsidRPr="00410515">
              <w:rPr>
                <w:b/>
                <w:bCs/>
              </w:rPr>
              <w:t>Language barriers</w:t>
            </w:r>
          </w:p>
          <w:p w14:paraId="417963AD" w14:textId="77777777" w:rsidR="001F2D03" w:rsidRDefault="001F2D03" w:rsidP="001F2D03">
            <w:pPr>
              <w:pStyle w:val="NoSpacing"/>
              <w:jc w:val="center"/>
            </w:pPr>
            <w:r>
              <w:t>ECRs that come from non-English speaking countries cannot easily express their ideas effectively in an English-only environment. This limits their potential output and restricts the reach of their research.</w:t>
            </w:r>
          </w:p>
          <w:p w14:paraId="68F1CA1F" w14:textId="3EC3E141" w:rsidR="001F2D03" w:rsidRDefault="001F2D03" w:rsidP="001F2D03">
            <w:pPr>
              <w:pStyle w:val="NoSpacing"/>
              <w:jc w:val="center"/>
            </w:pPr>
            <w:r>
              <w:t>Additionally, terminology between disciplines can be a barrier for collaboration across science, policy, and the social sciences (Pa</w:t>
            </w:r>
            <w:r w:rsidR="00FC1602">
              <w:t>n</w:t>
            </w:r>
            <w:r>
              <w:t>nell et al. 2019).</w:t>
            </w:r>
          </w:p>
          <w:p w14:paraId="6FCA41D1" w14:textId="77777777" w:rsidR="001F2D03" w:rsidRDefault="001F2D03" w:rsidP="001F2D03">
            <w:pPr>
              <w:pStyle w:val="NoSpacing"/>
              <w:jc w:val="center"/>
              <w:rPr>
                <w:noProof/>
              </w:rPr>
            </w:pPr>
          </w:p>
        </w:tc>
        <w:tc>
          <w:tcPr>
            <w:tcW w:w="4034" w:type="pct"/>
            <w:gridSpan w:val="4"/>
          </w:tcPr>
          <w:p w14:paraId="6316C933" w14:textId="3B8931CE" w:rsidR="001F2D03" w:rsidRPr="00AE3FCB" w:rsidRDefault="001F2D03" w:rsidP="001F2D03">
            <w:pPr>
              <w:pStyle w:val="NoSpacing"/>
              <w:jc w:val="center"/>
              <w:rPr>
                <w:b/>
                <w:bCs/>
              </w:rPr>
            </w:pPr>
            <w:r>
              <w:rPr>
                <w:b/>
                <w:bCs/>
              </w:rPr>
              <w:t>Language training</w:t>
            </w:r>
          </w:p>
        </w:tc>
      </w:tr>
      <w:tr w:rsidR="001F2D03" w:rsidRPr="00411866" w14:paraId="18C4D193" w14:textId="77777777" w:rsidTr="0068133C">
        <w:tc>
          <w:tcPr>
            <w:tcW w:w="966" w:type="pct"/>
            <w:vMerge/>
          </w:tcPr>
          <w:p w14:paraId="21DF5989" w14:textId="77777777" w:rsidR="001F2D03" w:rsidRDefault="001F2D03" w:rsidP="001F2D03">
            <w:pPr>
              <w:pStyle w:val="NoSpacing"/>
              <w:jc w:val="center"/>
              <w:rPr>
                <w:noProof/>
              </w:rPr>
            </w:pPr>
          </w:p>
        </w:tc>
        <w:tc>
          <w:tcPr>
            <w:tcW w:w="921" w:type="pct"/>
          </w:tcPr>
          <w:p w14:paraId="107AA095" w14:textId="285AB4D0" w:rsidR="001F2D03" w:rsidRPr="00410515" w:rsidRDefault="001F2D03" w:rsidP="001F2D03">
            <w:pPr>
              <w:pStyle w:val="NoSpacing"/>
              <w:numPr>
                <w:ilvl w:val="0"/>
                <w:numId w:val="23"/>
              </w:numPr>
              <w:rPr>
                <w:b/>
                <w:bCs/>
              </w:rPr>
            </w:pPr>
            <w:r>
              <w:t>ECRs should make use of language training programs offered on both web-based and local platforms</w:t>
            </w:r>
          </w:p>
        </w:tc>
        <w:tc>
          <w:tcPr>
            <w:tcW w:w="1013" w:type="pct"/>
          </w:tcPr>
          <w:p w14:paraId="547B336F" w14:textId="0CDAC4E1" w:rsidR="001F2D03" w:rsidRDefault="001F2D03" w:rsidP="001F2D03">
            <w:pPr>
              <w:pStyle w:val="NoSpacing"/>
              <w:numPr>
                <w:ilvl w:val="0"/>
                <w:numId w:val="23"/>
              </w:numPr>
            </w:pPr>
            <w:r>
              <w:t>Institutes should offer additional language training with reduced costs</w:t>
            </w:r>
          </w:p>
          <w:p w14:paraId="4B6F365D" w14:textId="724A8718" w:rsidR="00142101" w:rsidRPr="003B3AA8" w:rsidRDefault="00142101" w:rsidP="00142101">
            <w:pPr>
              <w:pStyle w:val="NoSpacing"/>
            </w:pPr>
            <w:r>
              <w:t xml:space="preserve"> </w:t>
            </w:r>
          </w:p>
        </w:tc>
        <w:tc>
          <w:tcPr>
            <w:tcW w:w="1023" w:type="pct"/>
          </w:tcPr>
          <w:p w14:paraId="0DA29983" w14:textId="3FBFB1DF" w:rsidR="001F2D03" w:rsidRDefault="001F2D03" w:rsidP="001F2D03">
            <w:pPr>
              <w:pStyle w:val="NoSpacing"/>
              <w:numPr>
                <w:ilvl w:val="0"/>
                <w:numId w:val="23"/>
              </w:numPr>
            </w:pPr>
            <w:r>
              <w:t>The provision of translators or interpreters at conferences to remove language barriers and increase communication</w:t>
            </w:r>
          </w:p>
          <w:p w14:paraId="04857D82" w14:textId="38179273" w:rsidR="001F2D03" w:rsidRPr="003B3AA8" w:rsidRDefault="00142101" w:rsidP="001F2D03">
            <w:pPr>
              <w:pStyle w:val="NoSpacing"/>
              <w:numPr>
                <w:ilvl w:val="0"/>
                <w:numId w:val="23"/>
              </w:numPr>
            </w:pPr>
            <w:r>
              <w:t>Translation of c</w:t>
            </w:r>
            <w:r w:rsidR="001F2D03">
              <w:t xml:space="preserve">onference materials </w:t>
            </w:r>
            <w:r>
              <w:t>and meeting outcomes to</w:t>
            </w:r>
            <w:r w:rsidR="001F2D03">
              <w:t xml:space="preserve"> the main languages of the attendees</w:t>
            </w:r>
          </w:p>
        </w:tc>
        <w:tc>
          <w:tcPr>
            <w:tcW w:w="1077" w:type="pct"/>
          </w:tcPr>
          <w:p w14:paraId="102C9109" w14:textId="77777777" w:rsidR="001F2D03" w:rsidRPr="00AE3FCB" w:rsidRDefault="001F2D03" w:rsidP="001F2D03">
            <w:pPr>
              <w:pStyle w:val="NoSpacing"/>
              <w:rPr>
                <w:b/>
                <w:bCs/>
              </w:rPr>
            </w:pPr>
          </w:p>
        </w:tc>
      </w:tr>
      <w:tr w:rsidR="001F2D03" w:rsidRPr="00411866" w14:paraId="448B625C" w14:textId="77777777" w:rsidTr="004509D1">
        <w:tc>
          <w:tcPr>
            <w:tcW w:w="966" w:type="pct"/>
            <w:vMerge/>
          </w:tcPr>
          <w:p w14:paraId="2AB3FEE2" w14:textId="77777777" w:rsidR="001F2D03" w:rsidRPr="00411866" w:rsidRDefault="001F2D03" w:rsidP="001F2D03">
            <w:pPr>
              <w:pStyle w:val="NoSpacing"/>
              <w:jc w:val="center"/>
            </w:pPr>
          </w:p>
        </w:tc>
        <w:tc>
          <w:tcPr>
            <w:tcW w:w="4034" w:type="pct"/>
            <w:gridSpan w:val="4"/>
          </w:tcPr>
          <w:p w14:paraId="6D4D2B84" w14:textId="5FEECEE9" w:rsidR="001F2D03" w:rsidRPr="008C33DA" w:rsidRDefault="001F2D03" w:rsidP="001F2D03">
            <w:pPr>
              <w:pStyle w:val="NoSpacing"/>
              <w:jc w:val="center"/>
              <w:rPr>
                <w:b/>
                <w:bCs/>
              </w:rPr>
            </w:pPr>
            <w:r w:rsidRPr="008C33DA">
              <w:rPr>
                <w:b/>
                <w:bCs/>
              </w:rPr>
              <w:t>Terminology</w:t>
            </w:r>
          </w:p>
        </w:tc>
      </w:tr>
      <w:tr w:rsidR="001F2D03" w:rsidRPr="00411866" w14:paraId="6A6D495D" w14:textId="77777777" w:rsidTr="0068133C">
        <w:tc>
          <w:tcPr>
            <w:tcW w:w="966" w:type="pct"/>
            <w:vMerge/>
          </w:tcPr>
          <w:p w14:paraId="0DE56AE6" w14:textId="00CBBCDC" w:rsidR="001F2D03" w:rsidRPr="00411866" w:rsidRDefault="001F2D03" w:rsidP="001F2D03">
            <w:pPr>
              <w:pStyle w:val="NoSpacing"/>
              <w:jc w:val="center"/>
            </w:pPr>
          </w:p>
        </w:tc>
        <w:tc>
          <w:tcPr>
            <w:tcW w:w="921" w:type="pct"/>
          </w:tcPr>
          <w:p w14:paraId="3542BA4B" w14:textId="7B5A28D4" w:rsidR="001F2D03" w:rsidRPr="00411866" w:rsidRDefault="001F2D03" w:rsidP="001F2D03">
            <w:pPr>
              <w:pStyle w:val="NoSpacing"/>
              <w:numPr>
                <w:ilvl w:val="0"/>
                <w:numId w:val="24"/>
              </w:numPr>
            </w:pPr>
            <w:r>
              <w:t xml:space="preserve">Involvement in national parties of Antarctic </w:t>
            </w:r>
            <w:r w:rsidR="00214BD8">
              <w:t>organis</w:t>
            </w:r>
            <w:r>
              <w:t xml:space="preserve">ations (e.g. CCAMLR) or in international initiatives (such as MEASO) </w:t>
            </w:r>
          </w:p>
        </w:tc>
        <w:tc>
          <w:tcPr>
            <w:tcW w:w="1013" w:type="pct"/>
          </w:tcPr>
          <w:p w14:paraId="2A14CD95" w14:textId="48E9F268" w:rsidR="001F2D03" w:rsidRDefault="00A85558" w:rsidP="00A85558">
            <w:pPr>
              <w:pStyle w:val="NoSpacing"/>
              <w:numPr>
                <w:ilvl w:val="0"/>
                <w:numId w:val="24"/>
              </w:numPr>
              <w:ind w:hanging="325"/>
            </w:pPr>
            <w:r>
              <w:t xml:space="preserve">Free or discounted </w:t>
            </w:r>
            <w:r w:rsidR="001F2D03">
              <w:t xml:space="preserve">copy-editing services </w:t>
            </w:r>
            <w:r>
              <w:t>for</w:t>
            </w:r>
            <w:r w:rsidR="001F2D03">
              <w:t xml:space="preserve"> non-English speaking ECR</w:t>
            </w:r>
            <w:r>
              <w:t>s</w:t>
            </w:r>
          </w:p>
          <w:p w14:paraId="7B1FA7DD" w14:textId="77777777" w:rsidR="001F2D03" w:rsidRDefault="001F2D03" w:rsidP="00A85558">
            <w:pPr>
              <w:pStyle w:val="NoSpacing"/>
              <w:numPr>
                <w:ilvl w:val="0"/>
                <w:numId w:val="3"/>
              </w:numPr>
              <w:ind w:left="360" w:hanging="325"/>
            </w:pPr>
            <w:r>
              <w:t>Increase awareness among non-English speaking ECRs of such services</w:t>
            </w:r>
          </w:p>
          <w:p w14:paraId="08B696A2" w14:textId="145E6AAF" w:rsidR="001F2D03" w:rsidRDefault="001F2D03" w:rsidP="00A85558">
            <w:pPr>
              <w:pStyle w:val="NoSpacing"/>
              <w:numPr>
                <w:ilvl w:val="0"/>
                <w:numId w:val="3"/>
              </w:numPr>
              <w:ind w:left="360" w:hanging="325"/>
            </w:pPr>
            <w:r>
              <w:t>Increase the impetus on the English-speaking ECR community to support their non-English-speaking ECR colleagues by offering proof-reading services</w:t>
            </w:r>
          </w:p>
          <w:p w14:paraId="5BF1A6B0" w14:textId="2FFFF068" w:rsidR="001F2D03" w:rsidRPr="00411866" w:rsidRDefault="001F2D03" w:rsidP="00A85558">
            <w:pPr>
              <w:pStyle w:val="NoSpacing"/>
              <w:ind w:left="360" w:hanging="325"/>
            </w:pPr>
          </w:p>
        </w:tc>
        <w:tc>
          <w:tcPr>
            <w:tcW w:w="1023" w:type="pct"/>
          </w:tcPr>
          <w:p w14:paraId="609486CD" w14:textId="4CDD522A" w:rsidR="001F2D03" w:rsidRPr="00411866" w:rsidRDefault="001F2D03" w:rsidP="001F2D03">
            <w:pPr>
              <w:pStyle w:val="NoSpacing"/>
              <w:numPr>
                <w:ilvl w:val="0"/>
                <w:numId w:val="23"/>
              </w:numPr>
            </w:pPr>
            <w:proofErr w:type="spellStart"/>
            <w:r>
              <w:t>Panell</w:t>
            </w:r>
            <w:proofErr w:type="spellEnd"/>
            <w:r>
              <w:t xml:space="preserve"> et al. (2019) suggest that facilitated knowledge sharing and normalizing progress reporting between projects could overcome terminological barriers</w:t>
            </w:r>
          </w:p>
        </w:tc>
        <w:tc>
          <w:tcPr>
            <w:tcW w:w="1077" w:type="pct"/>
          </w:tcPr>
          <w:p w14:paraId="3E4CBF2F" w14:textId="348AB27F" w:rsidR="001F2D03" w:rsidRDefault="001F2D03" w:rsidP="001F2D03">
            <w:pPr>
              <w:pStyle w:val="NoSpacing"/>
              <w:numPr>
                <w:ilvl w:val="0"/>
                <w:numId w:val="26"/>
              </w:numPr>
            </w:pPr>
            <w:r>
              <w:t>MEASO2018 held a session that brought together policymakers and scientists to find common ground in terms of language and knowledge exchange</w:t>
            </w:r>
          </w:p>
          <w:p w14:paraId="10CB37DC" w14:textId="77777777" w:rsidR="001F2D03" w:rsidRDefault="001F2D03" w:rsidP="001F2D03">
            <w:pPr>
              <w:pStyle w:val="NoSpacing"/>
              <w:numPr>
                <w:ilvl w:val="0"/>
                <w:numId w:val="25"/>
              </w:numPr>
            </w:pPr>
            <w:r>
              <w:t>MEASO will publish a plain English summary highlighting key messages for policymakers and stakeholders</w:t>
            </w:r>
          </w:p>
          <w:p w14:paraId="3D0450A6" w14:textId="3CFE9677" w:rsidR="004F3168" w:rsidRPr="00411866" w:rsidRDefault="004F3168" w:rsidP="001F2D03">
            <w:pPr>
              <w:pStyle w:val="NoSpacing"/>
              <w:numPr>
                <w:ilvl w:val="0"/>
                <w:numId w:val="25"/>
              </w:numPr>
            </w:pPr>
            <w:r>
              <w:t xml:space="preserve">At the MEASO Woking workshop there was discussion about translating the MEASO summary for policymakers </w:t>
            </w:r>
            <w:r w:rsidR="00E836B5">
              <w:t>into</w:t>
            </w:r>
            <w:r>
              <w:t xml:space="preserve"> languages used by the Antarctic Treaty System</w:t>
            </w:r>
          </w:p>
        </w:tc>
      </w:tr>
      <w:tr w:rsidR="001F2D03" w:rsidRPr="00411866" w14:paraId="21A12F2D" w14:textId="77777777" w:rsidTr="0068133C">
        <w:tc>
          <w:tcPr>
            <w:tcW w:w="966" w:type="pct"/>
          </w:tcPr>
          <w:p w14:paraId="0EE08829" w14:textId="50B2D3ED" w:rsidR="001F2D03" w:rsidRPr="00AE3FCB" w:rsidRDefault="001F2D03" w:rsidP="001F2D03">
            <w:pPr>
              <w:pStyle w:val="NoSpacing"/>
              <w:jc w:val="center"/>
              <w:rPr>
                <w:noProof/>
                <w:color w:val="FF0000"/>
              </w:rPr>
            </w:pPr>
            <w:r>
              <w:rPr>
                <w:noProof/>
              </w:rPr>
              <w:drawing>
                <wp:inline distT="0" distB="0" distL="0" distR="0" wp14:anchorId="7CD3C0BE" wp14:editId="18503D0D">
                  <wp:extent cx="327546" cy="3275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9377" cy="339377"/>
                          </a:xfrm>
                          <a:prstGeom prst="rect">
                            <a:avLst/>
                          </a:prstGeom>
                          <a:noFill/>
                          <a:ln>
                            <a:noFill/>
                          </a:ln>
                        </pic:spPr>
                      </pic:pic>
                    </a:graphicData>
                  </a:graphic>
                </wp:inline>
              </w:drawing>
            </w:r>
          </w:p>
          <w:p w14:paraId="73EFD30E" w14:textId="3F24C791" w:rsidR="001F2D03" w:rsidRPr="00AE3FCB" w:rsidRDefault="001F2D03" w:rsidP="001F2D03">
            <w:pPr>
              <w:pStyle w:val="NoSpacing"/>
              <w:jc w:val="center"/>
              <w:rPr>
                <w:b/>
                <w:bCs/>
                <w:noProof/>
              </w:rPr>
            </w:pPr>
            <w:r w:rsidRPr="00AE3FCB">
              <w:rPr>
                <w:b/>
                <w:bCs/>
                <w:noProof/>
              </w:rPr>
              <w:t>Voicing an opposing opinion</w:t>
            </w:r>
          </w:p>
          <w:p w14:paraId="688881AE" w14:textId="5280B20D" w:rsidR="001F2D03" w:rsidRDefault="001F2D03" w:rsidP="001F2D03">
            <w:pPr>
              <w:pStyle w:val="NoSpacing"/>
              <w:jc w:val="center"/>
              <w:rPr>
                <w:noProof/>
              </w:rPr>
            </w:pPr>
            <w:r>
              <w:rPr>
                <w:noProof/>
              </w:rPr>
              <w:t>ECRs can be hesitant to publish controversial research or object to proposed projects (e.g. comment on the Australian Aerodrome EPBC act) for fear of damage to future career prospects in Antarctic science.</w:t>
            </w:r>
          </w:p>
        </w:tc>
        <w:tc>
          <w:tcPr>
            <w:tcW w:w="921" w:type="pct"/>
          </w:tcPr>
          <w:p w14:paraId="5BC70706" w14:textId="26D5B7FA" w:rsidR="001F2D03" w:rsidRDefault="001F2D03" w:rsidP="001F2D03">
            <w:pPr>
              <w:pStyle w:val="NoSpacing"/>
              <w:numPr>
                <w:ilvl w:val="0"/>
                <w:numId w:val="20"/>
              </w:numPr>
            </w:pPr>
            <w:r>
              <w:t>Utilise opportunities to discuss your scientific opinions or research ideas in a safe space before voicing to a larger audience.</w:t>
            </w:r>
          </w:p>
          <w:p w14:paraId="57E3EFF6" w14:textId="6FFFA90A" w:rsidR="001F2D03" w:rsidRPr="00411866" w:rsidRDefault="001F2D03" w:rsidP="001F2D03">
            <w:pPr>
              <w:pStyle w:val="NoSpacing"/>
              <w:numPr>
                <w:ilvl w:val="0"/>
                <w:numId w:val="20"/>
              </w:numPr>
            </w:pPr>
            <w:r>
              <w:t>By teaming up with other ECRs from the same institute or research network, opinions are more likely to be voiced and taken into consideration</w:t>
            </w:r>
          </w:p>
        </w:tc>
        <w:tc>
          <w:tcPr>
            <w:tcW w:w="1013" w:type="pct"/>
          </w:tcPr>
          <w:p w14:paraId="5E79A4F4" w14:textId="3E04DFD1" w:rsidR="001F2D03" w:rsidRPr="00411866" w:rsidRDefault="001F2D03" w:rsidP="001F2D03">
            <w:pPr>
              <w:pStyle w:val="NoSpacing"/>
              <w:numPr>
                <w:ilvl w:val="0"/>
                <w:numId w:val="20"/>
              </w:numPr>
            </w:pPr>
            <w:r>
              <w:t>Institutes should offer related workshops to help establish a culture of exchanging different opinions</w:t>
            </w:r>
          </w:p>
        </w:tc>
        <w:tc>
          <w:tcPr>
            <w:tcW w:w="1023" w:type="pct"/>
          </w:tcPr>
          <w:p w14:paraId="7BBA16C1" w14:textId="6621A204" w:rsidR="001F2D03" w:rsidRPr="00411866" w:rsidRDefault="001F2D03" w:rsidP="001F2D03">
            <w:pPr>
              <w:pStyle w:val="NoSpacing"/>
              <w:numPr>
                <w:ilvl w:val="0"/>
                <w:numId w:val="20"/>
              </w:numPr>
            </w:pPr>
            <w:r>
              <w:t xml:space="preserve">Invoke a code of conduct </w:t>
            </w:r>
            <w:r w:rsidR="005A2084">
              <w:t xml:space="preserve">that </w:t>
            </w:r>
            <w:r>
              <w:t>aims to provide a harassment-free conference experience for the attendees (including ECRs</w:t>
            </w:r>
            <w:r w:rsidR="005A2084">
              <w:t>)</w:t>
            </w:r>
          </w:p>
        </w:tc>
        <w:tc>
          <w:tcPr>
            <w:tcW w:w="1077" w:type="pct"/>
          </w:tcPr>
          <w:p w14:paraId="2D07DC75" w14:textId="4CA17464" w:rsidR="001F2D03" w:rsidRPr="00AE3FCB" w:rsidRDefault="001F2D03" w:rsidP="001F2D03">
            <w:pPr>
              <w:pStyle w:val="NoSpacing"/>
              <w:numPr>
                <w:ilvl w:val="0"/>
                <w:numId w:val="20"/>
              </w:numPr>
            </w:pPr>
            <w:r w:rsidRPr="00AE3FCB">
              <w:t xml:space="preserve">The MEASO process </w:t>
            </w:r>
            <w:r w:rsidR="005A2084">
              <w:t xml:space="preserve">aimed to provide an unbiased assessment </w:t>
            </w:r>
            <w:r w:rsidRPr="00AE3FCB">
              <w:t xml:space="preserve">of the literature </w:t>
            </w:r>
            <w:r w:rsidR="005A2084">
              <w:t>which represented diverse</w:t>
            </w:r>
            <w:r w:rsidR="005A2084" w:rsidRPr="00AE3FCB">
              <w:t xml:space="preserve"> </w:t>
            </w:r>
            <w:r w:rsidRPr="00AE3FCB">
              <w:t xml:space="preserve">scientific </w:t>
            </w:r>
            <w:r w:rsidR="005A2084">
              <w:t>perspectives</w:t>
            </w:r>
          </w:p>
        </w:tc>
      </w:tr>
      <w:tr w:rsidR="001F2D03" w:rsidRPr="00411866" w14:paraId="71A68FE5" w14:textId="77777777" w:rsidTr="0068133C">
        <w:trPr>
          <w:trHeight w:val="2338"/>
        </w:trPr>
        <w:tc>
          <w:tcPr>
            <w:tcW w:w="966" w:type="pct"/>
          </w:tcPr>
          <w:p w14:paraId="66F05676" w14:textId="77777777" w:rsidR="001F2D03" w:rsidRDefault="001F2D03" w:rsidP="001F2D03">
            <w:pPr>
              <w:pStyle w:val="NoSpacing"/>
              <w:jc w:val="center"/>
              <w:rPr>
                <w:b/>
                <w:bCs/>
                <w:noProof/>
              </w:rPr>
            </w:pPr>
            <w:r>
              <w:rPr>
                <w:noProof/>
              </w:rPr>
              <w:drawing>
                <wp:inline distT="0" distB="0" distL="0" distR="0" wp14:anchorId="5BA3B47B" wp14:editId="324FB31E">
                  <wp:extent cx="313055" cy="313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313055" cy="313055"/>
                          </a:xfrm>
                          <a:prstGeom prst="rect">
                            <a:avLst/>
                          </a:prstGeom>
                          <a:noFill/>
                          <a:ln>
                            <a:noFill/>
                          </a:ln>
                        </pic:spPr>
                      </pic:pic>
                    </a:graphicData>
                  </a:graphic>
                </wp:inline>
              </w:drawing>
            </w:r>
          </w:p>
          <w:p w14:paraId="74432EBC" w14:textId="14FD02FC" w:rsidR="001F2D03" w:rsidRPr="00AE3FCB" w:rsidRDefault="001B1C5D" w:rsidP="001F2D03">
            <w:pPr>
              <w:pStyle w:val="NoSpacing"/>
              <w:jc w:val="center"/>
              <w:rPr>
                <w:b/>
                <w:bCs/>
                <w:noProof/>
              </w:rPr>
            </w:pPr>
            <w:r>
              <w:rPr>
                <w:b/>
                <w:bCs/>
                <w:noProof/>
              </w:rPr>
              <w:t>Discrimination</w:t>
            </w:r>
          </w:p>
          <w:p w14:paraId="77D52947" w14:textId="04624D6A" w:rsidR="001F2D03" w:rsidRDefault="001F2D03" w:rsidP="001F2D03">
            <w:pPr>
              <w:pStyle w:val="NoSpacing"/>
              <w:jc w:val="center"/>
              <w:rPr>
                <w:noProof/>
              </w:rPr>
            </w:pPr>
            <w:r>
              <w:rPr>
                <w:noProof/>
              </w:rPr>
              <w:t>ECRs often provide new perspectives and offer novel solutions for a problem, which allows them to question traditional methods and theories. However, due to their early career status or gender, they are often not taken seriously by established researchers. Discrimination as a result of someone's age, career stage</w:t>
            </w:r>
            <w:r w:rsidR="001B1C5D">
              <w:rPr>
                <w:noProof/>
              </w:rPr>
              <w:t>, class, race</w:t>
            </w:r>
            <w:r>
              <w:rPr>
                <w:noProof/>
              </w:rPr>
              <w:t xml:space="preserve"> and gender should not be tolerated.</w:t>
            </w:r>
          </w:p>
          <w:p w14:paraId="563AEEBC" w14:textId="15BC6757" w:rsidR="001F2D03" w:rsidRDefault="001F2D03" w:rsidP="001F2D03">
            <w:pPr>
              <w:pStyle w:val="NoSpacing"/>
              <w:jc w:val="center"/>
              <w:rPr>
                <w:noProof/>
              </w:rPr>
            </w:pPr>
          </w:p>
        </w:tc>
        <w:tc>
          <w:tcPr>
            <w:tcW w:w="921" w:type="pct"/>
          </w:tcPr>
          <w:p w14:paraId="66BF8F95" w14:textId="59C34FF3" w:rsidR="001F2D03" w:rsidRDefault="001F2D03" w:rsidP="001F2D03">
            <w:pPr>
              <w:pStyle w:val="NoSpacing"/>
              <w:numPr>
                <w:ilvl w:val="0"/>
                <w:numId w:val="13"/>
              </w:numPr>
            </w:pPr>
            <w:r>
              <w:t xml:space="preserve">Join groups that promote diversity in science such as Pride in Polar Research or </w:t>
            </w:r>
            <w:r w:rsidR="00CF18F2">
              <w:t>Women in Polar Science</w:t>
            </w:r>
          </w:p>
          <w:p w14:paraId="2DE5825B" w14:textId="7EDABB1C" w:rsidR="001F2D03" w:rsidRPr="00411866" w:rsidRDefault="001F2D03" w:rsidP="001F2D03">
            <w:pPr>
              <w:pStyle w:val="NoSpacing"/>
              <w:numPr>
                <w:ilvl w:val="0"/>
                <w:numId w:val="13"/>
              </w:numPr>
            </w:pPr>
            <w:r>
              <w:t>Make use of counselling sessions and seek guidance on how best to report harassment or misconduct</w:t>
            </w:r>
          </w:p>
        </w:tc>
        <w:tc>
          <w:tcPr>
            <w:tcW w:w="1013" w:type="pct"/>
          </w:tcPr>
          <w:p w14:paraId="3D78A156" w14:textId="71F31540" w:rsidR="001F2D03" w:rsidRDefault="001F2D03" w:rsidP="001F2D03">
            <w:pPr>
              <w:pStyle w:val="NoSpacing"/>
              <w:numPr>
                <w:ilvl w:val="0"/>
                <w:numId w:val="13"/>
              </w:numPr>
            </w:pPr>
            <w:r>
              <w:t>Institutes should have clear and accessible reporting mechanisms for harassment, abuse or bullying at the workplace with appropriate penalties</w:t>
            </w:r>
            <w:r w:rsidR="004F3168">
              <w:t xml:space="preserve"> and transparent processes.</w:t>
            </w:r>
          </w:p>
          <w:p w14:paraId="6BBC0EDC" w14:textId="77777777" w:rsidR="001F2D03" w:rsidRDefault="001F2D03" w:rsidP="00A85558">
            <w:pPr>
              <w:pStyle w:val="NoSpacing"/>
              <w:numPr>
                <w:ilvl w:val="0"/>
                <w:numId w:val="13"/>
              </w:numPr>
            </w:pPr>
            <w:r>
              <w:t>Discrimination based on career stage or sex will be reduced by establishing diverse leadership teams at institutions</w:t>
            </w:r>
          </w:p>
          <w:p w14:paraId="58C6B1A7" w14:textId="2892FAF2" w:rsidR="004F3168" w:rsidRPr="00411866" w:rsidRDefault="004F3168" w:rsidP="00A85558">
            <w:pPr>
              <w:pStyle w:val="NoSpacing"/>
              <w:numPr>
                <w:ilvl w:val="0"/>
                <w:numId w:val="13"/>
              </w:numPr>
            </w:pPr>
            <w:r>
              <w:t>Senior researchers need to re-evaluate priorities so that mentorship and investment in the success of ECRs are part of their legacy and valued as part of their accomplishments (e.g. the APECS mentorship award)</w:t>
            </w:r>
          </w:p>
        </w:tc>
        <w:tc>
          <w:tcPr>
            <w:tcW w:w="1023" w:type="pct"/>
          </w:tcPr>
          <w:p w14:paraId="367B8177" w14:textId="2B421174" w:rsidR="001F2D03" w:rsidRDefault="001F2D03" w:rsidP="001F2D03">
            <w:pPr>
              <w:pStyle w:val="NoSpacing"/>
              <w:numPr>
                <w:ilvl w:val="0"/>
                <w:numId w:val="13"/>
              </w:numPr>
            </w:pPr>
            <w:r>
              <w:t xml:space="preserve">Supporting working groups that promote diversity e.g. Pride in polar science </w:t>
            </w:r>
            <w:r w:rsidR="00A8086F">
              <w:t xml:space="preserve">and Women in Polar Science </w:t>
            </w:r>
          </w:p>
          <w:p w14:paraId="50E2F545" w14:textId="20A4502E" w:rsidR="001F2D03" w:rsidRDefault="001F2D03" w:rsidP="001F2D03">
            <w:pPr>
              <w:pStyle w:val="NoSpacing"/>
              <w:numPr>
                <w:ilvl w:val="0"/>
                <w:numId w:val="13"/>
              </w:numPr>
            </w:pPr>
            <w:r>
              <w:t>Supporting ECR voices by recognizing the power differentials in the hierarchical nature of science</w:t>
            </w:r>
          </w:p>
          <w:p w14:paraId="5AA4C1A9" w14:textId="2DFC209D" w:rsidR="00A8086F" w:rsidRPr="000439AB" w:rsidRDefault="00951E4D" w:rsidP="001F2D03">
            <w:pPr>
              <w:pStyle w:val="NoSpacing"/>
              <w:numPr>
                <w:ilvl w:val="0"/>
                <w:numId w:val="13"/>
              </w:numPr>
            </w:pPr>
            <w:r>
              <w:t xml:space="preserve">Promote diversity by leading by example e.g. </w:t>
            </w:r>
            <w:r w:rsidR="002C622B">
              <w:t>representation on selection panels and committees</w:t>
            </w:r>
            <w:r w:rsidR="001B1C5D">
              <w:t xml:space="preserve"> (Nash et al. 2019). </w:t>
            </w:r>
            <w:r w:rsidR="002C622B">
              <w:t xml:space="preserve"> </w:t>
            </w:r>
          </w:p>
          <w:p w14:paraId="599A3047" w14:textId="05ACDCF0" w:rsidR="001F2D03" w:rsidRPr="00411866" w:rsidRDefault="001F2D03" w:rsidP="004F3168">
            <w:pPr>
              <w:pStyle w:val="NoSpacing"/>
              <w:ind w:left="360"/>
            </w:pPr>
          </w:p>
        </w:tc>
        <w:tc>
          <w:tcPr>
            <w:tcW w:w="1077" w:type="pct"/>
          </w:tcPr>
          <w:p w14:paraId="29C4FDFE" w14:textId="0E98389B" w:rsidR="001B1C5D" w:rsidRDefault="001B1C5D" w:rsidP="001B1C5D">
            <w:pPr>
              <w:pStyle w:val="NoSpacing"/>
              <w:numPr>
                <w:ilvl w:val="0"/>
                <w:numId w:val="18"/>
              </w:numPr>
            </w:pPr>
            <w:r>
              <w:t xml:space="preserve">MEASO 2018 hosted a Women in Antarctic Science breakout session </w:t>
            </w:r>
          </w:p>
          <w:p w14:paraId="248AC181" w14:textId="5E0CBD3F" w:rsidR="001F2D03" w:rsidRDefault="001F2D03" w:rsidP="001F2D03">
            <w:pPr>
              <w:pStyle w:val="NoSpacing"/>
              <w:numPr>
                <w:ilvl w:val="0"/>
                <w:numId w:val="18"/>
              </w:numPr>
            </w:pPr>
            <w:r>
              <w:t>MEASO ensured that on-site participation for the workshop in June 2019 was diverse across gender, nations, expertise, and experience</w:t>
            </w:r>
          </w:p>
          <w:p w14:paraId="0B3B011E" w14:textId="36E13EE8" w:rsidR="00F873EC" w:rsidRPr="00411866" w:rsidRDefault="00F873EC" w:rsidP="001B1C5D">
            <w:pPr>
              <w:pStyle w:val="NoSpacing"/>
            </w:pPr>
          </w:p>
        </w:tc>
      </w:tr>
    </w:tbl>
    <w:p w14:paraId="335F119D" w14:textId="4D244350" w:rsidR="00437A73" w:rsidRDefault="002843B6" w:rsidP="000A62F6"/>
    <w:p w14:paraId="7AE13DE4" w14:textId="77777777" w:rsidR="00E27B13" w:rsidRDefault="00E27B13">
      <w:r>
        <w:br w:type="page"/>
      </w:r>
    </w:p>
    <w:p w14:paraId="033725E3" w14:textId="4B64F393" w:rsidR="00E27B13" w:rsidRPr="00F140B0" w:rsidRDefault="00E27B13" w:rsidP="000A62F6">
      <w:pPr>
        <w:rPr>
          <w:sz w:val="18"/>
          <w:szCs w:val="18"/>
        </w:rPr>
      </w:pPr>
      <w:r w:rsidRPr="00F140B0">
        <w:rPr>
          <w:sz w:val="18"/>
          <w:szCs w:val="18"/>
        </w:rPr>
        <w:lastRenderedPageBreak/>
        <w:t>References</w:t>
      </w:r>
    </w:p>
    <w:p w14:paraId="184B5EE0" w14:textId="2F43F8C5" w:rsidR="00CC1966" w:rsidRPr="00F140B0" w:rsidRDefault="00CC1966" w:rsidP="00B909AB">
      <w:pPr>
        <w:rPr>
          <w:sz w:val="18"/>
          <w:szCs w:val="18"/>
        </w:rPr>
      </w:pPr>
      <w:proofErr w:type="spellStart"/>
      <w:r w:rsidRPr="00F140B0">
        <w:rPr>
          <w:sz w:val="18"/>
          <w:szCs w:val="18"/>
        </w:rPr>
        <w:t>Ansmann</w:t>
      </w:r>
      <w:proofErr w:type="spellEnd"/>
      <w:r w:rsidRPr="00F140B0">
        <w:rPr>
          <w:sz w:val="18"/>
          <w:szCs w:val="18"/>
        </w:rPr>
        <w:t xml:space="preserve">, L., Flickinger, T.E., </w:t>
      </w:r>
      <w:proofErr w:type="spellStart"/>
      <w:r w:rsidRPr="00F140B0">
        <w:rPr>
          <w:sz w:val="18"/>
          <w:szCs w:val="18"/>
        </w:rPr>
        <w:t>Barello</w:t>
      </w:r>
      <w:proofErr w:type="spellEnd"/>
      <w:r w:rsidRPr="00F140B0">
        <w:rPr>
          <w:sz w:val="18"/>
          <w:szCs w:val="18"/>
        </w:rPr>
        <w:t xml:space="preserve">, S., </w:t>
      </w:r>
      <w:proofErr w:type="spellStart"/>
      <w:r w:rsidRPr="00F140B0">
        <w:rPr>
          <w:sz w:val="18"/>
          <w:szCs w:val="18"/>
        </w:rPr>
        <w:t>Kunneman</w:t>
      </w:r>
      <w:proofErr w:type="spellEnd"/>
      <w:r w:rsidRPr="00F140B0">
        <w:rPr>
          <w:sz w:val="18"/>
          <w:szCs w:val="18"/>
        </w:rPr>
        <w:t xml:space="preserve">, M., </w:t>
      </w:r>
      <w:proofErr w:type="spellStart"/>
      <w:r w:rsidRPr="00F140B0">
        <w:rPr>
          <w:sz w:val="18"/>
          <w:szCs w:val="18"/>
        </w:rPr>
        <w:t>Mantwill</w:t>
      </w:r>
      <w:proofErr w:type="spellEnd"/>
      <w:r w:rsidRPr="00F140B0">
        <w:rPr>
          <w:sz w:val="18"/>
          <w:szCs w:val="18"/>
        </w:rPr>
        <w:t xml:space="preserve">, S., </w:t>
      </w:r>
      <w:proofErr w:type="spellStart"/>
      <w:r w:rsidRPr="00F140B0">
        <w:rPr>
          <w:sz w:val="18"/>
          <w:szCs w:val="18"/>
        </w:rPr>
        <w:t>Quilligan</w:t>
      </w:r>
      <w:proofErr w:type="spellEnd"/>
      <w:r w:rsidRPr="00F140B0">
        <w:rPr>
          <w:sz w:val="18"/>
          <w:szCs w:val="18"/>
        </w:rPr>
        <w:t xml:space="preserve">, S., </w:t>
      </w:r>
      <w:proofErr w:type="spellStart"/>
      <w:r w:rsidRPr="00F140B0">
        <w:rPr>
          <w:sz w:val="18"/>
          <w:szCs w:val="18"/>
        </w:rPr>
        <w:t>Zanini</w:t>
      </w:r>
      <w:proofErr w:type="spellEnd"/>
      <w:r w:rsidRPr="00F140B0">
        <w:rPr>
          <w:sz w:val="18"/>
          <w:szCs w:val="18"/>
        </w:rPr>
        <w:t xml:space="preserve">, C., &amp; </w:t>
      </w:r>
      <w:proofErr w:type="spellStart"/>
      <w:r w:rsidRPr="00F140B0">
        <w:rPr>
          <w:sz w:val="18"/>
          <w:szCs w:val="18"/>
        </w:rPr>
        <w:t>Aelbrecht</w:t>
      </w:r>
      <w:proofErr w:type="spellEnd"/>
      <w:r w:rsidRPr="00F140B0">
        <w:rPr>
          <w:sz w:val="18"/>
          <w:szCs w:val="18"/>
        </w:rPr>
        <w:t xml:space="preserve">, K. (2014). Career Development for Early Career Academics: Benefits of Networking and the Role of Professional Societies. Patient Education and </w:t>
      </w:r>
      <w:proofErr w:type="spellStart"/>
      <w:r w:rsidRPr="00F140B0">
        <w:rPr>
          <w:sz w:val="18"/>
          <w:szCs w:val="18"/>
        </w:rPr>
        <w:t>Counseling</w:t>
      </w:r>
      <w:proofErr w:type="spellEnd"/>
      <w:r w:rsidRPr="00F140B0">
        <w:rPr>
          <w:sz w:val="18"/>
          <w:szCs w:val="18"/>
        </w:rPr>
        <w:t xml:space="preserve">, 97(1), 132–34. </w:t>
      </w:r>
      <w:proofErr w:type="spellStart"/>
      <w:r w:rsidRPr="00F140B0">
        <w:rPr>
          <w:sz w:val="18"/>
          <w:szCs w:val="18"/>
        </w:rPr>
        <w:t>doi</w:t>
      </w:r>
      <w:proofErr w:type="spellEnd"/>
      <w:r w:rsidRPr="00F140B0">
        <w:rPr>
          <w:sz w:val="18"/>
          <w:szCs w:val="18"/>
        </w:rPr>
        <w:t>: 10.1016/j.pec.2014.06.013</w:t>
      </w:r>
    </w:p>
    <w:p w14:paraId="0938163F" w14:textId="0FACD5AD" w:rsidR="00010BD7" w:rsidRPr="00F140B0" w:rsidRDefault="00010BD7" w:rsidP="00B909AB">
      <w:pPr>
        <w:rPr>
          <w:sz w:val="18"/>
          <w:szCs w:val="18"/>
        </w:rPr>
      </w:pPr>
      <w:proofErr w:type="spellStart"/>
      <w:r w:rsidRPr="00F140B0">
        <w:rPr>
          <w:rFonts w:ascii="Calibri" w:hAnsi="Calibri" w:cs="Calibri"/>
          <w:color w:val="000000"/>
          <w:sz w:val="18"/>
          <w:szCs w:val="18"/>
        </w:rPr>
        <w:t>Bielczyk</w:t>
      </w:r>
      <w:proofErr w:type="spellEnd"/>
      <w:r w:rsidRPr="00F140B0">
        <w:rPr>
          <w:rFonts w:ascii="Calibri" w:hAnsi="Calibri" w:cs="Calibri"/>
          <w:color w:val="000000"/>
          <w:sz w:val="18"/>
          <w:szCs w:val="18"/>
        </w:rPr>
        <w:t xml:space="preserve">, N., Ando, A., Badhwar, A., Gao, M, </w:t>
      </w:r>
      <w:proofErr w:type="spellStart"/>
      <w:r w:rsidRPr="00F140B0">
        <w:rPr>
          <w:rFonts w:ascii="Calibri" w:hAnsi="Calibri" w:cs="Calibri"/>
          <w:color w:val="000000"/>
          <w:sz w:val="18"/>
          <w:szCs w:val="18"/>
        </w:rPr>
        <w:t>Haugg</w:t>
      </w:r>
      <w:proofErr w:type="spellEnd"/>
      <w:r w:rsidRPr="00F140B0">
        <w:rPr>
          <w:rFonts w:ascii="Calibri" w:hAnsi="Calibri" w:cs="Calibri"/>
          <w:color w:val="000000"/>
          <w:sz w:val="18"/>
          <w:szCs w:val="18"/>
        </w:rPr>
        <w:t xml:space="preserve">, A., Hernandez, L., Ito, K., Kessler, D., Lurie, D., </w:t>
      </w:r>
      <w:proofErr w:type="spellStart"/>
      <w:r w:rsidRPr="00F140B0">
        <w:rPr>
          <w:rFonts w:ascii="Calibri" w:hAnsi="Calibri" w:cs="Calibri"/>
          <w:color w:val="000000"/>
          <w:sz w:val="18"/>
          <w:szCs w:val="18"/>
        </w:rPr>
        <w:t>Makary</w:t>
      </w:r>
      <w:proofErr w:type="spellEnd"/>
      <w:r w:rsidRPr="00F140B0">
        <w:rPr>
          <w:rFonts w:ascii="Calibri" w:hAnsi="Calibri" w:cs="Calibri"/>
          <w:color w:val="000000"/>
          <w:sz w:val="18"/>
          <w:szCs w:val="18"/>
        </w:rPr>
        <w:t xml:space="preserve">, M.M., </w:t>
      </w:r>
      <w:proofErr w:type="spellStart"/>
      <w:r w:rsidRPr="00F140B0">
        <w:rPr>
          <w:rFonts w:ascii="Calibri" w:hAnsi="Calibri" w:cs="Calibri"/>
          <w:color w:val="000000"/>
          <w:sz w:val="18"/>
          <w:szCs w:val="18"/>
        </w:rPr>
        <w:t>Niolaidis</w:t>
      </w:r>
      <w:proofErr w:type="spellEnd"/>
      <w:r w:rsidRPr="00F140B0">
        <w:rPr>
          <w:rFonts w:ascii="Calibri" w:hAnsi="Calibri" w:cs="Calibri"/>
          <w:color w:val="000000"/>
          <w:sz w:val="18"/>
          <w:szCs w:val="18"/>
        </w:rPr>
        <w:t xml:space="preserve">, A., </w:t>
      </w:r>
      <w:proofErr w:type="spellStart"/>
      <w:r w:rsidRPr="00F140B0">
        <w:rPr>
          <w:rFonts w:ascii="Calibri" w:hAnsi="Calibri" w:cs="Calibri"/>
          <w:color w:val="000000"/>
          <w:sz w:val="18"/>
          <w:szCs w:val="18"/>
        </w:rPr>
        <w:t>Veldsman</w:t>
      </w:r>
      <w:proofErr w:type="spellEnd"/>
      <w:r w:rsidRPr="00F140B0">
        <w:rPr>
          <w:rFonts w:ascii="Calibri" w:hAnsi="Calibri" w:cs="Calibri"/>
          <w:color w:val="000000"/>
          <w:sz w:val="18"/>
          <w:szCs w:val="18"/>
        </w:rPr>
        <w:t xml:space="preserve">, M., OHBM Student and Postdoc Special Interest Group (2019). Effective Self-Management for Early Career Researchers in the Natural Sciences. Working paper, &amp; OHBM Student and Postdoc Special Interest Group, 1, 1–22. </w:t>
      </w:r>
      <w:proofErr w:type="spellStart"/>
      <w:r w:rsidRPr="00F140B0">
        <w:rPr>
          <w:rFonts w:ascii="Calibri" w:hAnsi="Calibri" w:cs="Calibri"/>
          <w:color w:val="000000"/>
          <w:sz w:val="18"/>
          <w:szCs w:val="18"/>
        </w:rPr>
        <w:t>doi</w:t>
      </w:r>
      <w:proofErr w:type="spellEnd"/>
      <w:r w:rsidRPr="00F140B0">
        <w:rPr>
          <w:rFonts w:ascii="Calibri" w:hAnsi="Calibri" w:cs="Calibri"/>
          <w:color w:val="000000"/>
          <w:sz w:val="18"/>
          <w:szCs w:val="18"/>
        </w:rPr>
        <w:t>: 10.17605/OSF.IO/W6EMK</w:t>
      </w:r>
    </w:p>
    <w:p w14:paraId="192F06D7" w14:textId="57739C18" w:rsidR="00CC1966" w:rsidRPr="00F140B0" w:rsidRDefault="00CC1966" w:rsidP="00B909AB">
      <w:pPr>
        <w:rPr>
          <w:sz w:val="18"/>
          <w:szCs w:val="18"/>
        </w:rPr>
      </w:pPr>
      <w:proofErr w:type="spellStart"/>
      <w:r w:rsidRPr="00F140B0">
        <w:rPr>
          <w:sz w:val="18"/>
          <w:szCs w:val="18"/>
        </w:rPr>
        <w:t>Bohleber</w:t>
      </w:r>
      <w:proofErr w:type="spellEnd"/>
      <w:r w:rsidRPr="00F140B0">
        <w:rPr>
          <w:sz w:val="18"/>
          <w:szCs w:val="18"/>
        </w:rPr>
        <w:t xml:space="preserve">, P., Casado, M., Ashworth, K., Baker, C.A., Belcher, A., Caccavo, J.A., Jenkins, H.E., Satterthwaite, E., </w:t>
      </w:r>
      <w:proofErr w:type="spellStart"/>
      <w:r w:rsidRPr="00F140B0">
        <w:rPr>
          <w:sz w:val="18"/>
          <w:szCs w:val="18"/>
        </w:rPr>
        <w:t>Spolaor</w:t>
      </w:r>
      <w:proofErr w:type="spellEnd"/>
      <w:r w:rsidRPr="00F140B0">
        <w:rPr>
          <w:sz w:val="18"/>
          <w:szCs w:val="18"/>
        </w:rPr>
        <w:t xml:space="preserve">, A., &amp; Winton, V.H.L. (2020). Successful practice in early career networks: insights from the polar sciences. Advances in Geosciences, 53, 1-14. </w:t>
      </w:r>
      <w:proofErr w:type="spellStart"/>
      <w:r w:rsidRPr="00F140B0">
        <w:rPr>
          <w:sz w:val="18"/>
          <w:szCs w:val="18"/>
        </w:rPr>
        <w:t>doi</w:t>
      </w:r>
      <w:proofErr w:type="spellEnd"/>
      <w:r w:rsidRPr="00F140B0">
        <w:rPr>
          <w:sz w:val="18"/>
          <w:szCs w:val="18"/>
        </w:rPr>
        <w:t>: 10.5194/adgeo-53-1-2020</w:t>
      </w:r>
    </w:p>
    <w:p w14:paraId="5873E8EF" w14:textId="09B09EAC" w:rsidR="00F75543" w:rsidRPr="00F140B0" w:rsidRDefault="00F75543" w:rsidP="00B909AB">
      <w:pPr>
        <w:rPr>
          <w:rFonts w:ascii="Calibri" w:hAnsi="Calibri" w:cs="Calibri"/>
          <w:color w:val="000000"/>
          <w:sz w:val="18"/>
          <w:szCs w:val="18"/>
        </w:rPr>
      </w:pPr>
      <w:r w:rsidRPr="00F140B0">
        <w:rPr>
          <w:rFonts w:ascii="Calibri" w:hAnsi="Calibri" w:cs="Calibri"/>
          <w:color w:val="000000"/>
          <w:sz w:val="18"/>
          <w:szCs w:val="18"/>
        </w:rPr>
        <w:t xml:space="preserve">Bradley, A., </w:t>
      </w:r>
      <w:proofErr w:type="spellStart"/>
      <w:r w:rsidRPr="00F140B0">
        <w:rPr>
          <w:rFonts w:ascii="Calibri" w:hAnsi="Calibri" w:cs="Calibri"/>
          <w:color w:val="000000"/>
          <w:sz w:val="18"/>
          <w:szCs w:val="18"/>
        </w:rPr>
        <w:t>Höfer</w:t>
      </w:r>
      <w:proofErr w:type="spellEnd"/>
      <w:r w:rsidRPr="00F140B0">
        <w:rPr>
          <w:rFonts w:ascii="Calibri" w:hAnsi="Calibri" w:cs="Calibri"/>
          <w:color w:val="000000"/>
          <w:sz w:val="18"/>
          <w:szCs w:val="18"/>
        </w:rPr>
        <w:t xml:space="preserve">, J., </w:t>
      </w:r>
      <w:proofErr w:type="spellStart"/>
      <w:r w:rsidRPr="00F140B0">
        <w:rPr>
          <w:rFonts w:ascii="Calibri" w:hAnsi="Calibri" w:cs="Calibri"/>
          <w:color w:val="000000"/>
          <w:sz w:val="18"/>
          <w:szCs w:val="18"/>
        </w:rPr>
        <w:t>Savaglia</w:t>
      </w:r>
      <w:proofErr w:type="spellEnd"/>
      <w:r w:rsidRPr="00F140B0">
        <w:rPr>
          <w:rFonts w:ascii="Calibri" w:hAnsi="Calibri" w:cs="Calibri"/>
          <w:color w:val="000000"/>
          <w:sz w:val="18"/>
          <w:szCs w:val="18"/>
        </w:rPr>
        <w:t xml:space="preserve">, V., </w:t>
      </w:r>
      <w:proofErr w:type="spellStart"/>
      <w:r w:rsidRPr="00F140B0">
        <w:rPr>
          <w:rFonts w:ascii="Calibri" w:hAnsi="Calibri" w:cs="Calibri"/>
          <w:color w:val="000000"/>
          <w:sz w:val="18"/>
          <w:szCs w:val="18"/>
        </w:rPr>
        <w:t>Eayrs</w:t>
      </w:r>
      <w:proofErr w:type="spellEnd"/>
      <w:r w:rsidRPr="00F140B0">
        <w:rPr>
          <w:rFonts w:ascii="Calibri" w:hAnsi="Calibri" w:cs="Calibri"/>
          <w:color w:val="000000"/>
          <w:sz w:val="18"/>
          <w:szCs w:val="18"/>
        </w:rPr>
        <w:t>, C.  In press. Survey on early career travel support shows geographic, career stage, and indigenous status inequality in access to polar science events. Advances in Geosciences.</w:t>
      </w:r>
    </w:p>
    <w:p w14:paraId="5D415D55" w14:textId="2735DD34" w:rsidR="009E4942" w:rsidRPr="00F140B0" w:rsidRDefault="009E4942" w:rsidP="00B909AB">
      <w:pPr>
        <w:rPr>
          <w:sz w:val="18"/>
          <w:szCs w:val="18"/>
        </w:rPr>
      </w:pPr>
      <w:r w:rsidRPr="00F140B0">
        <w:rPr>
          <w:rFonts w:ascii="Calibri" w:hAnsi="Calibri" w:cs="Calibri"/>
          <w:color w:val="000000"/>
          <w:sz w:val="18"/>
          <w:szCs w:val="18"/>
        </w:rPr>
        <w:t xml:space="preserve">Cavan, E.L., Belcher, A., Atkinson, A., Hill, S.L., Kawaguchi, S., McCormack, S., Meyer, B., Nicol, S., Ratnarajah, L., Schmidt, K. &amp; Steinberg, D.K. (2019). The importance of Antarctic krill in biogeochemical cycles. Nature communications, 10(1), 1-13. </w:t>
      </w:r>
      <w:proofErr w:type="spellStart"/>
      <w:r w:rsidRPr="00F140B0">
        <w:rPr>
          <w:rFonts w:ascii="Calibri" w:hAnsi="Calibri" w:cs="Calibri"/>
          <w:color w:val="000000"/>
          <w:sz w:val="18"/>
          <w:szCs w:val="18"/>
        </w:rPr>
        <w:t>doi</w:t>
      </w:r>
      <w:proofErr w:type="spellEnd"/>
      <w:r w:rsidRPr="00F140B0">
        <w:rPr>
          <w:rFonts w:ascii="Calibri" w:hAnsi="Calibri" w:cs="Calibri"/>
          <w:color w:val="000000"/>
          <w:sz w:val="18"/>
          <w:szCs w:val="18"/>
        </w:rPr>
        <w:t>: 10.1038/s41467-019-12668-7</w:t>
      </w:r>
    </w:p>
    <w:p w14:paraId="603C4162" w14:textId="49F45DEB" w:rsidR="00FC1602" w:rsidRPr="00F140B0" w:rsidRDefault="00FC1602" w:rsidP="00B909AB">
      <w:pPr>
        <w:rPr>
          <w:sz w:val="18"/>
          <w:szCs w:val="18"/>
        </w:rPr>
      </w:pPr>
      <w:r w:rsidRPr="00F140B0">
        <w:rPr>
          <w:rFonts w:ascii="Calibri" w:hAnsi="Calibri" w:cs="Calibri"/>
          <w:color w:val="000000"/>
          <w:sz w:val="18"/>
          <w:szCs w:val="18"/>
        </w:rPr>
        <w:t xml:space="preserve">Chapman, C.A., </w:t>
      </w:r>
      <w:proofErr w:type="spellStart"/>
      <w:r w:rsidRPr="00F140B0">
        <w:rPr>
          <w:rFonts w:ascii="Calibri" w:hAnsi="Calibri" w:cs="Calibri"/>
          <w:color w:val="000000"/>
          <w:sz w:val="18"/>
          <w:szCs w:val="18"/>
        </w:rPr>
        <w:t>Bicca</w:t>
      </w:r>
      <w:proofErr w:type="spellEnd"/>
      <w:r w:rsidRPr="00F140B0">
        <w:rPr>
          <w:rFonts w:ascii="Calibri" w:hAnsi="Calibri" w:cs="Calibri"/>
          <w:color w:val="000000"/>
          <w:sz w:val="18"/>
          <w:szCs w:val="18"/>
        </w:rPr>
        <w:t xml:space="preserve">-Marques, J.C., </w:t>
      </w:r>
      <w:proofErr w:type="spellStart"/>
      <w:r w:rsidRPr="00F140B0">
        <w:rPr>
          <w:rFonts w:ascii="Calibri" w:hAnsi="Calibri" w:cs="Calibri"/>
          <w:color w:val="000000"/>
          <w:sz w:val="18"/>
          <w:szCs w:val="18"/>
        </w:rPr>
        <w:t>Calvignac</w:t>
      </w:r>
      <w:proofErr w:type="spellEnd"/>
      <w:r w:rsidRPr="00F140B0">
        <w:rPr>
          <w:rFonts w:ascii="Calibri" w:hAnsi="Calibri" w:cs="Calibri"/>
          <w:color w:val="000000"/>
          <w:sz w:val="18"/>
          <w:szCs w:val="18"/>
        </w:rPr>
        <w:t xml:space="preserve">-Spencer, S., Fan, P., </w:t>
      </w:r>
      <w:proofErr w:type="spellStart"/>
      <w:r w:rsidRPr="00F140B0">
        <w:rPr>
          <w:rFonts w:ascii="Calibri" w:hAnsi="Calibri" w:cs="Calibri"/>
          <w:color w:val="000000"/>
          <w:sz w:val="18"/>
          <w:szCs w:val="18"/>
        </w:rPr>
        <w:t>Fashing</w:t>
      </w:r>
      <w:proofErr w:type="spellEnd"/>
      <w:r w:rsidRPr="00F140B0">
        <w:rPr>
          <w:rFonts w:ascii="Calibri" w:hAnsi="Calibri" w:cs="Calibri"/>
          <w:color w:val="000000"/>
          <w:sz w:val="18"/>
          <w:szCs w:val="18"/>
        </w:rPr>
        <w:t xml:space="preserve">, P.J., </w:t>
      </w:r>
      <w:proofErr w:type="spellStart"/>
      <w:r w:rsidRPr="00F140B0">
        <w:rPr>
          <w:rFonts w:ascii="Calibri" w:hAnsi="Calibri" w:cs="Calibri"/>
          <w:color w:val="000000"/>
          <w:sz w:val="18"/>
          <w:szCs w:val="18"/>
        </w:rPr>
        <w:t>Gogarten</w:t>
      </w:r>
      <w:proofErr w:type="spellEnd"/>
      <w:r w:rsidRPr="00F140B0">
        <w:rPr>
          <w:rFonts w:ascii="Calibri" w:hAnsi="Calibri" w:cs="Calibri"/>
          <w:color w:val="000000"/>
          <w:sz w:val="18"/>
          <w:szCs w:val="18"/>
        </w:rPr>
        <w:t xml:space="preserve">, J., Guo, S., Hemingway, C.A., </w:t>
      </w:r>
      <w:proofErr w:type="spellStart"/>
      <w:r w:rsidRPr="00F140B0">
        <w:rPr>
          <w:rFonts w:ascii="Calibri" w:hAnsi="Calibri" w:cs="Calibri"/>
          <w:color w:val="000000"/>
          <w:sz w:val="18"/>
          <w:szCs w:val="18"/>
        </w:rPr>
        <w:t>Leendertz</w:t>
      </w:r>
      <w:proofErr w:type="spellEnd"/>
      <w:r w:rsidRPr="00F140B0">
        <w:rPr>
          <w:rFonts w:ascii="Calibri" w:hAnsi="Calibri" w:cs="Calibri"/>
          <w:color w:val="000000"/>
          <w:sz w:val="18"/>
          <w:szCs w:val="18"/>
        </w:rPr>
        <w:t xml:space="preserve">, F., &amp; Li, B. (2019). Games academics play and their consequences: how authorship, h-index and journal impact factors are shaping the future of academia. Proceedings of the Royal Society B, 286, 20192047. </w:t>
      </w:r>
      <w:proofErr w:type="spellStart"/>
      <w:r w:rsidRPr="00F140B0">
        <w:rPr>
          <w:rFonts w:ascii="Calibri" w:hAnsi="Calibri" w:cs="Calibri"/>
          <w:color w:val="000000"/>
          <w:sz w:val="18"/>
          <w:szCs w:val="18"/>
        </w:rPr>
        <w:t>doi</w:t>
      </w:r>
      <w:proofErr w:type="spellEnd"/>
      <w:r w:rsidRPr="00F140B0">
        <w:rPr>
          <w:rFonts w:ascii="Calibri" w:hAnsi="Calibri" w:cs="Calibri"/>
          <w:color w:val="000000"/>
          <w:sz w:val="18"/>
          <w:szCs w:val="18"/>
        </w:rPr>
        <w:t>: 10.1098/rspb.2019.2047</w:t>
      </w:r>
    </w:p>
    <w:p w14:paraId="60E72CA5" w14:textId="00949C49" w:rsidR="006B12C2" w:rsidRPr="00F140B0" w:rsidRDefault="006B12C2" w:rsidP="00B909AB">
      <w:pPr>
        <w:rPr>
          <w:sz w:val="18"/>
          <w:szCs w:val="18"/>
        </w:rPr>
      </w:pPr>
      <w:r w:rsidRPr="00F140B0">
        <w:rPr>
          <w:sz w:val="18"/>
          <w:szCs w:val="18"/>
        </w:rPr>
        <w:t xml:space="preserve">Ericson, J.A., Hellessey, N., Kawaguchi, S., Nicol, S., Nichols, P.D., </w:t>
      </w:r>
      <w:proofErr w:type="spellStart"/>
      <w:r w:rsidRPr="00F140B0">
        <w:rPr>
          <w:sz w:val="18"/>
          <w:szCs w:val="18"/>
        </w:rPr>
        <w:t>Hoem</w:t>
      </w:r>
      <w:proofErr w:type="spellEnd"/>
      <w:r w:rsidRPr="00F140B0">
        <w:rPr>
          <w:sz w:val="18"/>
          <w:szCs w:val="18"/>
        </w:rPr>
        <w:t xml:space="preserve">, N. &amp; Virtue, P. (2018). Adult Antarctic krill proves resilient in a simulated high CO2 ocean. Communications Biology, 1, 190. </w:t>
      </w:r>
      <w:proofErr w:type="spellStart"/>
      <w:r w:rsidRPr="00F140B0">
        <w:rPr>
          <w:sz w:val="18"/>
          <w:szCs w:val="18"/>
        </w:rPr>
        <w:t>doi</w:t>
      </w:r>
      <w:proofErr w:type="spellEnd"/>
      <w:r w:rsidRPr="00F140B0">
        <w:rPr>
          <w:sz w:val="18"/>
          <w:szCs w:val="18"/>
        </w:rPr>
        <w:t>: 10.1038/s42003-018-0195-</w:t>
      </w:r>
      <w:proofErr w:type="gramStart"/>
      <w:r w:rsidRPr="00F140B0">
        <w:rPr>
          <w:sz w:val="18"/>
          <w:szCs w:val="18"/>
        </w:rPr>
        <w:t>3  (</w:t>
      </w:r>
      <w:proofErr w:type="gramEnd"/>
      <w:r w:rsidRPr="00F140B0">
        <w:rPr>
          <w:sz w:val="18"/>
          <w:szCs w:val="18"/>
        </w:rPr>
        <w:t>also awarded "Editor's Choice" for Communication's Biology's 1st year anniversary edition)</w:t>
      </w:r>
    </w:p>
    <w:p w14:paraId="0FF88076" w14:textId="1150B973" w:rsidR="00E27B13" w:rsidRPr="00F140B0" w:rsidRDefault="00B909AB" w:rsidP="00B909AB">
      <w:pPr>
        <w:rPr>
          <w:sz w:val="18"/>
          <w:szCs w:val="18"/>
        </w:rPr>
      </w:pPr>
      <w:r w:rsidRPr="00F140B0">
        <w:rPr>
          <w:sz w:val="18"/>
          <w:szCs w:val="18"/>
        </w:rPr>
        <w:t>Fenton A., Walsh K., MacDonald A. (2016). Capacity Building of Early Career Researchers Through Cross-Institutional Mentoring. In: Johannessen B. (eds) Global Co-Mentoring Networks in Higher Education. Springer, Cham.</w:t>
      </w:r>
    </w:p>
    <w:p w14:paraId="2A414DBC" w14:textId="36DF3265" w:rsidR="006B12C2" w:rsidRPr="00F140B0" w:rsidRDefault="006B12C2" w:rsidP="00B909AB">
      <w:pPr>
        <w:rPr>
          <w:sz w:val="18"/>
          <w:szCs w:val="18"/>
        </w:rPr>
      </w:pPr>
      <w:r w:rsidRPr="00F140B0">
        <w:rPr>
          <w:sz w:val="18"/>
          <w:szCs w:val="18"/>
        </w:rPr>
        <w:t xml:space="preserve">Gottlieb, A.S., &amp; Travis, E.L. (2018). Rationale and Models for Career Advancement Sponsorship in Academic Medicine: The Time Is Here; the Time Is Now. Academic Medicine, 93(11), 1620-1623. </w:t>
      </w:r>
      <w:proofErr w:type="spellStart"/>
      <w:r w:rsidRPr="00F140B0">
        <w:rPr>
          <w:sz w:val="18"/>
          <w:szCs w:val="18"/>
        </w:rPr>
        <w:t>doi</w:t>
      </w:r>
      <w:proofErr w:type="spellEnd"/>
      <w:r w:rsidRPr="00F140B0">
        <w:rPr>
          <w:sz w:val="18"/>
          <w:szCs w:val="18"/>
        </w:rPr>
        <w:t>: 10.1097/acm.0000000000002342</w:t>
      </w:r>
    </w:p>
    <w:p w14:paraId="74B50816" w14:textId="641331A2" w:rsidR="00546641" w:rsidRPr="00F140B0" w:rsidRDefault="00546641" w:rsidP="00B909AB">
      <w:pPr>
        <w:rPr>
          <w:sz w:val="18"/>
          <w:szCs w:val="18"/>
        </w:rPr>
      </w:pPr>
      <w:r w:rsidRPr="00F140B0">
        <w:rPr>
          <w:sz w:val="18"/>
          <w:szCs w:val="18"/>
        </w:rPr>
        <w:t xml:space="preserve">Hellessey, N., Johnson, R., Ericson, J.A., Nichols, P.D., Kawaguchi, S., Nicol, S., </w:t>
      </w:r>
      <w:proofErr w:type="spellStart"/>
      <w:r w:rsidRPr="00F140B0">
        <w:rPr>
          <w:sz w:val="18"/>
          <w:szCs w:val="18"/>
        </w:rPr>
        <w:t>Hoem</w:t>
      </w:r>
      <w:proofErr w:type="spellEnd"/>
      <w:r w:rsidRPr="00F140B0">
        <w:rPr>
          <w:sz w:val="18"/>
          <w:szCs w:val="18"/>
        </w:rPr>
        <w:t xml:space="preserve">, N., &amp; Virtue, P. (2020). Antarctic krill lipid and fatty acid content variability is associated to satellite derived chlorophyll α and sea surface temperature. Scientific Reports, 10, 6060.  </w:t>
      </w:r>
      <w:proofErr w:type="spellStart"/>
      <w:r w:rsidRPr="00F140B0">
        <w:rPr>
          <w:sz w:val="18"/>
          <w:szCs w:val="18"/>
        </w:rPr>
        <w:t>doi</w:t>
      </w:r>
      <w:proofErr w:type="spellEnd"/>
      <w:r w:rsidRPr="00F140B0">
        <w:rPr>
          <w:sz w:val="18"/>
          <w:szCs w:val="18"/>
        </w:rPr>
        <w:t>: 10.1038/s41598-020-62800-7</w:t>
      </w:r>
    </w:p>
    <w:p w14:paraId="4B42E733" w14:textId="7B2F8983" w:rsidR="00546641" w:rsidRPr="00F140B0" w:rsidRDefault="00546641" w:rsidP="00B909AB">
      <w:pPr>
        <w:rPr>
          <w:sz w:val="18"/>
          <w:szCs w:val="18"/>
        </w:rPr>
      </w:pPr>
      <w:proofErr w:type="spellStart"/>
      <w:r w:rsidRPr="00F140B0">
        <w:rPr>
          <w:rFonts w:ascii="Calibri" w:hAnsi="Calibri" w:cs="Calibri"/>
          <w:color w:val="000000"/>
          <w:sz w:val="18"/>
          <w:szCs w:val="18"/>
        </w:rPr>
        <w:t>Maestre</w:t>
      </w:r>
      <w:proofErr w:type="spellEnd"/>
      <w:r w:rsidRPr="00F140B0">
        <w:rPr>
          <w:rFonts w:ascii="Calibri" w:hAnsi="Calibri" w:cs="Calibri"/>
          <w:color w:val="000000"/>
          <w:sz w:val="18"/>
          <w:szCs w:val="18"/>
        </w:rPr>
        <w:t xml:space="preserve">, F.T. (2019). Ten simple rules towards healthier research labs. </w:t>
      </w:r>
      <w:proofErr w:type="spellStart"/>
      <w:r w:rsidRPr="00F140B0">
        <w:rPr>
          <w:rFonts w:ascii="Calibri" w:hAnsi="Calibri" w:cs="Calibri"/>
          <w:color w:val="000000"/>
          <w:sz w:val="18"/>
          <w:szCs w:val="18"/>
        </w:rPr>
        <w:t>PLoS</w:t>
      </w:r>
      <w:proofErr w:type="spellEnd"/>
      <w:r w:rsidRPr="00F140B0">
        <w:rPr>
          <w:rFonts w:ascii="Calibri" w:hAnsi="Calibri" w:cs="Calibri"/>
          <w:color w:val="000000"/>
          <w:sz w:val="18"/>
          <w:szCs w:val="18"/>
        </w:rPr>
        <w:t xml:space="preserve"> Computational Biology, 15(4), e1006914. </w:t>
      </w:r>
      <w:proofErr w:type="spellStart"/>
      <w:r w:rsidRPr="00F140B0">
        <w:rPr>
          <w:rFonts w:ascii="Calibri" w:hAnsi="Calibri" w:cs="Calibri"/>
          <w:color w:val="000000"/>
          <w:sz w:val="18"/>
          <w:szCs w:val="18"/>
        </w:rPr>
        <w:t>doi</w:t>
      </w:r>
      <w:proofErr w:type="spellEnd"/>
      <w:r w:rsidRPr="00F140B0">
        <w:rPr>
          <w:rFonts w:ascii="Calibri" w:hAnsi="Calibri" w:cs="Calibri"/>
          <w:color w:val="000000"/>
          <w:sz w:val="18"/>
          <w:szCs w:val="18"/>
        </w:rPr>
        <w:t>: 10.1371/journal.pcbi.1006914</w:t>
      </w:r>
    </w:p>
    <w:p w14:paraId="13654AF6" w14:textId="34E0CB39" w:rsidR="00A06146" w:rsidRPr="00F140B0" w:rsidRDefault="00A06146" w:rsidP="00B909AB">
      <w:pPr>
        <w:rPr>
          <w:sz w:val="18"/>
          <w:szCs w:val="18"/>
        </w:rPr>
      </w:pPr>
      <w:r w:rsidRPr="00F140B0">
        <w:rPr>
          <w:rFonts w:ascii="Calibri" w:hAnsi="Calibri" w:cs="Calibri"/>
          <w:color w:val="000000"/>
          <w:sz w:val="18"/>
          <w:szCs w:val="18"/>
        </w:rPr>
        <w:t xml:space="preserve">Nash, M., Nielsen, H.E., Shaw, J., King, M., Lea, M.A. &amp; Bax, N. (2019). "Antarctica just has this hero factor…”: Gendered barriers to Australian Antarctic research and remote fieldwork. </w:t>
      </w:r>
      <w:proofErr w:type="spellStart"/>
      <w:r w:rsidRPr="00F140B0">
        <w:rPr>
          <w:rFonts w:ascii="Calibri" w:hAnsi="Calibri" w:cs="Calibri"/>
          <w:color w:val="000000"/>
          <w:sz w:val="18"/>
          <w:szCs w:val="18"/>
        </w:rPr>
        <w:t>PloS</w:t>
      </w:r>
      <w:proofErr w:type="spellEnd"/>
      <w:r w:rsidRPr="00F140B0">
        <w:rPr>
          <w:rFonts w:ascii="Calibri" w:hAnsi="Calibri" w:cs="Calibri"/>
          <w:color w:val="000000"/>
          <w:sz w:val="18"/>
          <w:szCs w:val="18"/>
        </w:rPr>
        <w:t xml:space="preserve"> one, 14(1), e0209983. </w:t>
      </w:r>
      <w:proofErr w:type="spellStart"/>
      <w:r w:rsidRPr="00F140B0">
        <w:rPr>
          <w:rFonts w:ascii="Calibri" w:hAnsi="Calibri" w:cs="Calibri"/>
          <w:color w:val="000000"/>
          <w:sz w:val="18"/>
          <w:szCs w:val="18"/>
        </w:rPr>
        <w:t>doi</w:t>
      </w:r>
      <w:proofErr w:type="spellEnd"/>
      <w:r w:rsidRPr="00F140B0">
        <w:rPr>
          <w:rFonts w:ascii="Calibri" w:hAnsi="Calibri" w:cs="Calibri"/>
          <w:color w:val="000000"/>
          <w:sz w:val="18"/>
          <w:szCs w:val="18"/>
        </w:rPr>
        <w:t>: 10.1371/journal.pone.0209983</w:t>
      </w:r>
    </w:p>
    <w:p w14:paraId="0C3AB044" w14:textId="24683AB9" w:rsidR="00A06146" w:rsidRPr="00F140B0" w:rsidRDefault="00A06146" w:rsidP="00B909AB">
      <w:pPr>
        <w:rPr>
          <w:sz w:val="18"/>
          <w:szCs w:val="18"/>
        </w:rPr>
      </w:pPr>
      <w:r w:rsidRPr="00F140B0">
        <w:rPr>
          <w:rFonts w:ascii="Calibri" w:hAnsi="Calibri" w:cs="Calibri"/>
          <w:color w:val="000000"/>
          <w:sz w:val="18"/>
          <w:szCs w:val="18"/>
        </w:rPr>
        <w:t xml:space="preserve">Pannell, J.L., </w:t>
      </w:r>
      <w:proofErr w:type="spellStart"/>
      <w:r w:rsidRPr="00F140B0">
        <w:rPr>
          <w:rFonts w:ascii="Calibri" w:hAnsi="Calibri" w:cs="Calibri"/>
          <w:color w:val="000000"/>
          <w:sz w:val="18"/>
          <w:szCs w:val="18"/>
        </w:rPr>
        <w:t>Dencer</w:t>
      </w:r>
      <w:proofErr w:type="spellEnd"/>
      <w:r w:rsidRPr="00F140B0">
        <w:rPr>
          <w:rFonts w:ascii="Calibri" w:hAnsi="Calibri" w:cs="Calibri"/>
          <w:color w:val="000000"/>
          <w:sz w:val="18"/>
          <w:szCs w:val="18"/>
        </w:rPr>
        <w:t xml:space="preserve">-Brown, A.M., Greening, S.S., Hume, E.A., Jarvis, R.M., Mathieu, C., </w:t>
      </w:r>
      <w:proofErr w:type="spellStart"/>
      <w:r w:rsidRPr="00F140B0">
        <w:rPr>
          <w:rFonts w:ascii="Calibri" w:hAnsi="Calibri" w:cs="Calibri"/>
          <w:color w:val="000000"/>
          <w:sz w:val="18"/>
          <w:szCs w:val="18"/>
        </w:rPr>
        <w:t>Mugford</w:t>
      </w:r>
      <w:proofErr w:type="spellEnd"/>
      <w:r w:rsidRPr="00F140B0">
        <w:rPr>
          <w:rFonts w:ascii="Calibri" w:hAnsi="Calibri" w:cs="Calibri"/>
          <w:color w:val="000000"/>
          <w:sz w:val="18"/>
          <w:szCs w:val="18"/>
        </w:rPr>
        <w:t xml:space="preserve">, J., &amp; </w:t>
      </w:r>
      <w:proofErr w:type="spellStart"/>
      <w:r w:rsidRPr="00F140B0">
        <w:rPr>
          <w:rFonts w:ascii="Calibri" w:hAnsi="Calibri" w:cs="Calibri"/>
          <w:color w:val="000000"/>
          <w:sz w:val="18"/>
          <w:szCs w:val="18"/>
        </w:rPr>
        <w:t>Runghen</w:t>
      </w:r>
      <w:proofErr w:type="spellEnd"/>
      <w:r w:rsidRPr="00F140B0">
        <w:rPr>
          <w:rFonts w:ascii="Calibri" w:hAnsi="Calibri" w:cs="Calibri"/>
          <w:color w:val="000000"/>
          <w:sz w:val="18"/>
          <w:szCs w:val="18"/>
        </w:rPr>
        <w:t xml:space="preserve">, R. (2019). An early career perspective on encouraging collaborative and interdisciplinary research in ecology. Ecosphere, 10(10), e02899. </w:t>
      </w:r>
      <w:proofErr w:type="spellStart"/>
      <w:r w:rsidRPr="00F140B0">
        <w:rPr>
          <w:rFonts w:ascii="Calibri" w:hAnsi="Calibri" w:cs="Calibri"/>
          <w:color w:val="000000"/>
          <w:sz w:val="18"/>
          <w:szCs w:val="18"/>
        </w:rPr>
        <w:t>doi</w:t>
      </w:r>
      <w:proofErr w:type="spellEnd"/>
      <w:r w:rsidRPr="00F140B0">
        <w:rPr>
          <w:rFonts w:ascii="Calibri" w:hAnsi="Calibri" w:cs="Calibri"/>
          <w:color w:val="000000"/>
          <w:sz w:val="18"/>
          <w:szCs w:val="18"/>
        </w:rPr>
        <w:t>: 10.1002/ecs2.2899</w:t>
      </w:r>
    </w:p>
    <w:p w14:paraId="06C17FBC" w14:textId="63296978" w:rsidR="00010BD7" w:rsidRPr="00F140B0" w:rsidRDefault="00010BD7" w:rsidP="00B909AB">
      <w:pPr>
        <w:rPr>
          <w:sz w:val="18"/>
          <w:szCs w:val="18"/>
        </w:rPr>
      </w:pPr>
      <w:r w:rsidRPr="00F140B0">
        <w:rPr>
          <w:rFonts w:ascii="Calibri" w:hAnsi="Calibri" w:cs="Calibri"/>
          <w:color w:val="000000"/>
          <w:sz w:val="18"/>
          <w:szCs w:val="18"/>
        </w:rPr>
        <w:t xml:space="preserve">Petersen, E.B. (2011). Staying or going? </w:t>
      </w:r>
      <w:proofErr w:type="gramStart"/>
      <w:r w:rsidRPr="00F140B0">
        <w:rPr>
          <w:rFonts w:ascii="Calibri" w:hAnsi="Calibri" w:cs="Calibri"/>
          <w:color w:val="000000"/>
          <w:sz w:val="18"/>
          <w:szCs w:val="18"/>
        </w:rPr>
        <w:t>Australian early career researchers' narratives of academic work,</w:t>
      </w:r>
      <w:proofErr w:type="gramEnd"/>
      <w:r w:rsidRPr="00F140B0">
        <w:rPr>
          <w:rFonts w:ascii="Calibri" w:hAnsi="Calibri" w:cs="Calibri"/>
          <w:color w:val="000000"/>
          <w:sz w:val="18"/>
          <w:szCs w:val="18"/>
        </w:rPr>
        <w:t xml:space="preserve"> exit options and coping strategies. Australian Universities Review, 53(2), 34-42.</w:t>
      </w:r>
    </w:p>
    <w:p w14:paraId="46DE9F3C" w14:textId="748E00CC" w:rsidR="00A7213E" w:rsidRPr="00F140B0" w:rsidRDefault="00A7213E" w:rsidP="00B909AB">
      <w:pPr>
        <w:rPr>
          <w:sz w:val="18"/>
          <w:szCs w:val="18"/>
        </w:rPr>
      </w:pPr>
      <w:proofErr w:type="spellStart"/>
      <w:r w:rsidRPr="00F140B0">
        <w:rPr>
          <w:sz w:val="18"/>
          <w:szCs w:val="18"/>
        </w:rPr>
        <w:t>Sobey</w:t>
      </w:r>
      <w:proofErr w:type="spellEnd"/>
      <w:r w:rsidRPr="00F140B0">
        <w:rPr>
          <w:sz w:val="18"/>
          <w:szCs w:val="18"/>
        </w:rPr>
        <w:t xml:space="preserve">, A.J., Townsend, N.C., Metcalf, C.D., Bruce, K.D., &amp; </w:t>
      </w:r>
      <w:proofErr w:type="spellStart"/>
      <w:r w:rsidRPr="00F140B0">
        <w:rPr>
          <w:sz w:val="18"/>
          <w:szCs w:val="18"/>
        </w:rPr>
        <w:t>Fazi</w:t>
      </w:r>
      <w:proofErr w:type="spellEnd"/>
      <w:r w:rsidRPr="00F140B0">
        <w:rPr>
          <w:sz w:val="18"/>
          <w:szCs w:val="18"/>
        </w:rPr>
        <w:t xml:space="preserve">, F.M. (2013). Incorporation of Early Career Researchers within multidisciplinary research at academic institutions. Research Evaluation, 22(3), 169-178. </w:t>
      </w:r>
      <w:proofErr w:type="spellStart"/>
      <w:r w:rsidRPr="00F140B0">
        <w:rPr>
          <w:sz w:val="18"/>
          <w:szCs w:val="18"/>
        </w:rPr>
        <w:t>doi</w:t>
      </w:r>
      <w:proofErr w:type="spellEnd"/>
      <w:r w:rsidRPr="00F140B0">
        <w:rPr>
          <w:sz w:val="18"/>
          <w:szCs w:val="18"/>
        </w:rPr>
        <w:t>: 10.1093/</w:t>
      </w:r>
      <w:proofErr w:type="spellStart"/>
      <w:r w:rsidRPr="00F140B0">
        <w:rPr>
          <w:sz w:val="18"/>
          <w:szCs w:val="18"/>
        </w:rPr>
        <w:t>reseval</w:t>
      </w:r>
      <w:proofErr w:type="spellEnd"/>
      <w:r w:rsidRPr="00F140B0">
        <w:rPr>
          <w:sz w:val="18"/>
          <w:szCs w:val="18"/>
        </w:rPr>
        <w:t>/rvt004</w:t>
      </w:r>
    </w:p>
    <w:p w14:paraId="2B9D27A8" w14:textId="10F29F86" w:rsidR="00111DDF" w:rsidRPr="00F140B0" w:rsidRDefault="00111DDF" w:rsidP="00B909AB">
      <w:pPr>
        <w:rPr>
          <w:sz w:val="18"/>
          <w:szCs w:val="18"/>
        </w:rPr>
      </w:pPr>
      <w:r w:rsidRPr="00F140B0">
        <w:rPr>
          <w:sz w:val="18"/>
          <w:szCs w:val="18"/>
        </w:rPr>
        <w:t xml:space="preserve">Weldrick, C.K., Trebilco, R., Davies, D.M., &amp; Swadling, K.M. (2019). Trophodynamics of Southern Ocean pteropods south of the Kerguelen Plateau. Ecology &amp; Evolution, 9(14), 8119-8132. </w:t>
      </w:r>
      <w:proofErr w:type="spellStart"/>
      <w:r w:rsidRPr="00F140B0">
        <w:rPr>
          <w:sz w:val="18"/>
          <w:szCs w:val="18"/>
        </w:rPr>
        <w:t>doi</w:t>
      </w:r>
      <w:proofErr w:type="spellEnd"/>
      <w:r w:rsidRPr="00F140B0">
        <w:rPr>
          <w:sz w:val="18"/>
          <w:szCs w:val="18"/>
        </w:rPr>
        <w:t>: 10.1002/ece3.5380</w:t>
      </w:r>
    </w:p>
    <w:sectPr w:rsidR="00111DDF" w:rsidRPr="00F140B0" w:rsidSect="0041186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13D5"/>
    <w:multiLevelType w:val="hybridMultilevel"/>
    <w:tmpl w:val="0E48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E1576"/>
    <w:multiLevelType w:val="hybridMultilevel"/>
    <w:tmpl w:val="115E8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263B5"/>
    <w:multiLevelType w:val="hybridMultilevel"/>
    <w:tmpl w:val="C5A61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3333DF"/>
    <w:multiLevelType w:val="hybridMultilevel"/>
    <w:tmpl w:val="FB8EF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E60955"/>
    <w:multiLevelType w:val="hybridMultilevel"/>
    <w:tmpl w:val="8A4A9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82180D"/>
    <w:multiLevelType w:val="hybridMultilevel"/>
    <w:tmpl w:val="8D1C1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B47523"/>
    <w:multiLevelType w:val="hybridMultilevel"/>
    <w:tmpl w:val="3820B64A"/>
    <w:lvl w:ilvl="0" w:tplc="0C090003">
      <w:start w:val="1"/>
      <w:numFmt w:val="bullet"/>
      <w:lvlText w:val="o"/>
      <w:lvlJc w:val="left"/>
      <w:pPr>
        <w:ind w:left="754" w:hanging="360"/>
      </w:pPr>
      <w:rPr>
        <w:rFonts w:ascii="Courier New" w:hAnsi="Courier New" w:cs="Courier New"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 w15:restartNumberingAfterBreak="0">
    <w:nsid w:val="37B54C4F"/>
    <w:multiLevelType w:val="hybridMultilevel"/>
    <w:tmpl w:val="77687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0B0157"/>
    <w:multiLevelType w:val="hybridMultilevel"/>
    <w:tmpl w:val="342CE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C521DD"/>
    <w:multiLevelType w:val="hybridMultilevel"/>
    <w:tmpl w:val="A3D84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99320D"/>
    <w:multiLevelType w:val="hybridMultilevel"/>
    <w:tmpl w:val="A5E4AE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174E09"/>
    <w:multiLevelType w:val="hybridMultilevel"/>
    <w:tmpl w:val="3D962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FC6DD0"/>
    <w:multiLevelType w:val="hybridMultilevel"/>
    <w:tmpl w:val="2294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B538A"/>
    <w:multiLevelType w:val="hybridMultilevel"/>
    <w:tmpl w:val="2B4A3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66A03E6"/>
    <w:multiLevelType w:val="hybridMultilevel"/>
    <w:tmpl w:val="90A47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B3664E"/>
    <w:multiLevelType w:val="hybridMultilevel"/>
    <w:tmpl w:val="1428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B25E6"/>
    <w:multiLevelType w:val="hybridMultilevel"/>
    <w:tmpl w:val="D6FAD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9964D5"/>
    <w:multiLevelType w:val="hybridMultilevel"/>
    <w:tmpl w:val="1166B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450DAB"/>
    <w:multiLevelType w:val="hybridMultilevel"/>
    <w:tmpl w:val="FD6EE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3C5896"/>
    <w:multiLevelType w:val="hybridMultilevel"/>
    <w:tmpl w:val="75581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757358"/>
    <w:multiLevelType w:val="hybridMultilevel"/>
    <w:tmpl w:val="8918C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B66690"/>
    <w:multiLevelType w:val="hybridMultilevel"/>
    <w:tmpl w:val="0AD26B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4B56FA"/>
    <w:multiLevelType w:val="hybridMultilevel"/>
    <w:tmpl w:val="F928F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4124570"/>
    <w:multiLevelType w:val="hybridMultilevel"/>
    <w:tmpl w:val="7A603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4FC556A"/>
    <w:multiLevelType w:val="hybridMultilevel"/>
    <w:tmpl w:val="817C0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8C4046B"/>
    <w:multiLevelType w:val="hybridMultilevel"/>
    <w:tmpl w:val="47CCE30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6BE61ABF"/>
    <w:multiLevelType w:val="hybridMultilevel"/>
    <w:tmpl w:val="6A1081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53705F"/>
    <w:multiLevelType w:val="hybridMultilevel"/>
    <w:tmpl w:val="80441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4B5F39"/>
    <w:multiLevelType w:val="hybridMultilevel"/>
    <w:tmpl w:val="81400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320830"/>
    <w:multiLevelType w:val="hybridMultilevel"/>
    <w:tmpl w:val="1A7A1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E01FB5"/>
    <w:multiLevelType w:val="hybridMultilevel"/>
    <w:tmpl w:val="374A9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A26B4C"/>
    <w:multiLevelType w:val="hybridMultilevel"/>
    <w:tmpl w:val="38C8E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BB179BC"/>
    <w:multiLevelType w:val="hybridMultilevel"/>
    <w:tmpl w:val="9DA42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30"/>
  </w:num>
  <w:num w:numId="3">
    <w:abstractNumId w:val="29"/>
  </w:num>
  <w:num w:numId="4">
    <w:abstractNumId w:val="25"/>
  </w:num>
  <w:num w:numId="5">
    <w:abstractNumId w:val="27"/>
  </w:num>
  <w:num w:numId="6">
    <w:abstractNumId w:val="13"/>
  </w:num>
  <w:num w:numId="7">
    <w:abstractNumId w:val="8"/>
  </w:num>
  <w:num w:numId="8">
    <w:abstractNumId w:val="4"/>
  </w:num>
  <w:num w:numId="9">
    <w:abstractNumId w:val="24"/>
  </w:num>
  <w:num w:numId="10">
    <w:abstractNumId w:val="5"/>
  </w:num>
  <w:num w:numId="11">
    <w:abstractNumId w:val="3"/>
  </w:num>
  <w:num w:numId="12">
    <w:abstractNumId w:val="23"/>
  </w:num>
  <w:num w:numId="13">
    <w:abstractNumId w:val="22"/>
  </w:num>
  <w:num w:numId="14">
    <w:abstractNumId w:val="6"/>
  </w:num>
  <w:num w:numId="15">
    <w:abstractNumId w:val="26"/>
  </w:num>
  <w:num w:numId="16">
    <w:abstractNumId w:val="14"/>
  </w:num>
  <w:num w:numId="17">
    <w:abstractNumId w:val="19"/>
  </w:num>
  <w:num w:numId="18">
    <w:abstractNumId w:val="2"/>
  </w:num>
  <w:num w:numId="19">
    <w:abstractNumId w:val="18"/>
  </w:num>
  <w:num w:numId="20">
    <w:abstractNumId w:val="16"/>
  </w:num>
  <w:num w:numId="21">
    <w:abstractNumId w:val="21"/>
  </w:num>
  <w:num w:numId="22">
    <w:abstractNumId w:val="11"/>
  </w:num>
  <w:num w:numId="23">
    <w:abstractNumId w:val="28"/>
  </w:num>
  <w:num w:numId="24">
    <w:abstractNumId w:val="32"/>
  </w:num>
  <w:num w:numId="25">
    <w:abstractNumId w:val="9"/>
  </w:num>
  <w:num w:numId="26">
    <w:abstractNumId w:val="17"/>
  </w:num>
  <w:num w:numId="27">
    <w:abstractNumId w:val="31"/>
  </w:num>
  <w:num w:numId="28">
    <w:abstractNumId w:val="0"/>
  </w:num>
  <w:num w:numId="29">
    <w:abstractNumId w:val="12"/>
  </w:num>
  <w:num w:numId="30">
    <w:abstractNumId w:val="15"/>
  </w:num>
  <w:num w:numId="31">
    <w:abstractNumId w:val="20"/>
  </w:num>
  <w:num w:numId="32">
    <w:abstractNumId w:val="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66"/>
    <w:rsid w:val="000000FE"/>
    <w:rsid w:val="00010BD7"/>
    <w:rsid w:val="00042A5F"/>
    <w:rsid w:val="000439AB"/>
    <w:rsid w:val="00045D60"/>
    <w:rsid w:val="00086D39"/>
    <w:rsid w:val="00096A0A"/>
    <w:rsid w:val="000A62F6"/>
    <w:rsid w:val="000D6FA5"/>
    <w:rsid w:val="000E5EE0"/>
    <w:rsid w:val="00111DDF"/>
    <w:rsid w:val="00142101"/>
    <w:rsid w:val="00156D6D"/>
    <w:rsid w:val="0017492A"/>
    <w:rsid w:val="001A2BED"/>
    <w:rsid w:val="001B1C5D"/>
    <w:rsid w:val="001C2674"/>
    <w:rsid w:val="001F2D03"/>
    <w:rsid w:val="002058F7"/>
    <w:rsid w:val="00214BD8"/>
    <w:rsid w:val="00224F5F"/>
    <w:rsid w:val="00267AFF"/>
    <w:rsid w:val="002843B6"/>
    <w:rsid w:val="002A643F"/>
    <w:rsid w:val="002C622B"/>
    <w:rsid w:val="002D26F2"/>
    <w:rsid w:val="002D6294"/>
    <w:rsid w:val="003234AD"/>
    <w:rsid w:val="00363279"/>
    <w:rsid w:val="003B3AA8"/>
    <w:rsid w:val="003C3348"/>
    <w:rsid w:val="003E2F4B"/>
    <w:rsid w:val="003F22AA"/>
    <w:rsid w:val="00410515"/>
    <w:rsid w:val="00411866"/>
    <w:rsid w:val="004121D1"/>
    <w:rsid w:val="0041231A"/>
    <w:rsid w:val="0042080A"/>
    <w:rsid w:val="00424F68"/>
    <w:rsid w:val="00447C32"/>
    <w:rsid w:val="004509D1"/>
    <w:rsid w:val="00454980"/>
    <w:rsid w:val="00467B0B"/>
    <w:rsid w:val="004C41E8"/>
    <w:rsid w:val="004E6E4C"/>
    <w:rsid w:val="004F23A5"/>
    <w:rsid w:val="004F3168"/>
    <w:rsid w:val="00546641"/>
    <w:rsid w:val="00554309"/>
    <w:rsid w:val="00584A4B"/>
    <w:rsid w:val="00591AE5"/>
    <w:rsid w:val="0059458A"/>
    <w:rsid w:val="005A2084"/>
    <w:rsid w:val="0066535D"/>
    <w:rsid w:val="00674786"/>
    <w:rsid w:val="0068133C"/>
    <w:rsid w:val="006B12C2"/>
    <w:rsid w:val="006B340D"/>
    <w:rsid w:val="006D6F3E"/>
    <w:rsid w:val="006E570B"/>
    <w:rsid w:val="006F33B3"/>
    <w:rsid w:val="00702C94"/>
    <w:rsid w:val="00716470"/>
    <w:rsid w:val="00735C05"/>
    <w:rsid w:val="007605C3"/>
    <w:rsid w:val="00776EA2"/>
    <w:rsid w:val="007C0C2D"/>
    <w:rsid w:val="008A1F2F"/>
    <w:rsid w:val="008A7E54"/>
    <w:rsid w:val="008C33DA"/>
    <w:rsid w:val="008C3B58"/>
    <w:rsid w:val="008D65E0"/>
    <w:rsid w:val="008E2893"/>
    <w:rsid w:val="0090718E"/>
    <w:rsid w:val="00922AA9"/>
    <w:rsid w:val="00951E4D"/>
    <w:rsid w:val="00962BFA"/>
    <w:rsid w:val="009A5CD9"/>
    <w:rsid w:val="009E4942"/>
    <w:rsid w:val="009F6B26"/>
    <w:rsid w:val="00A00449"/>
    <w:rsid w:val="00A06146"/>
    <w:rsid w:val="00A44283"/>
    <w:rsid w:val="00A7213E"/>
    <w:rsid w:val="00A8086F"/>
    <w:rsid w:val="00A85558"/>
    <w:rsid w:val="00A86A35"/>
    <w:rsid w:val="00A964A9"/>
    <w:rsid w:val="00AD4EED"/>
    <w:rsid w:val="00AE3FCB"/>
    <w:rsid w:val="00B01DCE"/>
    <w:rsid w:val="00B227CF"/>
    <w:rsid w:val="00B6044A"/>
    <w:rsid w:val="00B7682B"/>
    <w:rsid w:val="00B909AB"/>
    <w:rsid w:val="00BA111C"/>
    <w:rsid w:val="00BD210B"/>
    <w:rsid w:val="00C118D3"/>
    <w:rsid w:val="00C43F4F"/>
    <w:rsid w:val="00C615FA"/>
    <w:rsid w:val="00C96447"/>
    <w:rsid w:val="00CB1A8D"/>
    <w:rsid w:val="00CB2803"/>
    <w:rsid w:val="00CC1966"/>
    <w:rsid w:val="00CF0965"/>
    <w:rsid w:val="00CF18F2"/>
    <w:rsid w:val="00D12226"/>
    <w:rsid w:val="00D55AD7"/>
    <w:rsid w:val="00D636B2"/>
    <w:rsid w:val="00D9451F"/>
    <w:rsid w:val="00DB5BBF"/>
    <w:rsid w:val="00DC38C2"/>
    <w:rsid w:val="00DD3E2D"/>
    <w:rsid w:val="00DF5E69"/>
    <w:rsid w:val="00E16313"/>
    <w:rsid w:val="00E212DC"/>
    <w:rsid w:val="00E26525"/>
    <w:rsid w:val="00E27B13"/>
    <w:rsid w:val="00E30BC5"/>
    <w:rsid w:val="00E37AF2"/>
    <w:rsid w:val="00E836B5"/>
    <w:rsid w:val="00E85C0A"/>
    <w:rsid w:val="00E879F6"/>
    <w:rsid w:val="00EA2220"/>
    <w:rsid w:val="00EB31A7"/>
    <w:rsid w:val="00ED14C6"/>
    <w:rsid w:val="00F140B0"/>
    <w:rsid w:val="00F21E33"/>
    <w:rsid w:val="00F75543"/>
    <w:rsid w:val="00F82162"/>
    <w:rsid w:val="00F873EC"/>
    <w:rsid w:val="00FA1674"/>
    <w:rsid w:val="00FC1602"/>
    <w:rsid w:val="00FC3857"/>
    <w:rsid w:val="00FD20AF"/>
    <w:rsid w:val="00FD7DEA"/>
    <w:rsid w:val="00FE01E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62FA"/>
  <w15:chartTrackingRefBased/>
  <w15:docId w15:val="{BAE216C7-C139-4CBD-A752-0CCD9C53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01DCE"/>
    <w:rPr>
      <w:b/>
      <w:bCs/>
    </w:rPr>
  </w:style>
  <w:style w:type="paragraph" w:styleId="NoSpacing">
    <w:name w:val="No Spacing"/>
    <w:uiPriority w:val="1"/>
    <w:qFormat/>
    <w:rsid w:val="00411866"/>
    <w:pPr>
      <w:spacing w:after="0" w:line="240" w:lineRule="auto"/>
    </w:pPr>
    <w:rPr>
      <w:rFonts w:cstheme="minorHAnsi"/>
      <w:sz w:val="16"/>
      <w:szCs w:val="16"/>
    </w:rPr>
  </w:style>
  <w:style w:type="character" w:styleId="CommentReference">
    <w:name w:val="annotation reference"/>
    <w:basedOn w:val="DefaultParagraphFont"/>
    <w:uiPriority w:val="99"/>
    <w:semiHidden/>
    <w:unhideWhenUsed/>
    <w:rsid w:val="007C0C2D"/>
    <w:rPr>
      <w:sz w:val="16"/>
      <w:szCs w:val="16"/>
    </w:rPr>
  </w:style>
  <w:style w:type="paragraph" w:styleId="CommentText">
    <w:name w:val="annotation text"/>
    <w:basedOn w:val="Normal"/>
    <w:link w:val="CommentTextChar"/>
    <w:uiPriority w:val="99"/>
    <w:unhideWhenUsed/>
    <w:rsid w:val="007C0C2D"/>
    <w:pPr>
      <w:spacing w:line="240" w:lineRule="auto"/>
    </w:pPr>
    <w:rPr>
      <w:sz w:val="20"/>
      <w:szCs w:val="20"/>
    </w:rPr>
  </w:style>
  <w:style w:type="character" w:customStyle="1" w:styleId="CommentTextChar">
    <w:name w:val="Comment Text Char"/>
    <w:basedOn w:val="DefaultParagraphFont"/>
    <w:link w:val="CommentText"/>
    <w:uiPriority w:val="99"/>
    <w:rsid w:val="007C0C2D"/>
    <w:rPr>
      <w:sz w:val="20"/>
      <w:szCs w:val="20"/>
    </w:rPr>
  </w:style>
  <w:style w:type="paragraph" w:styleId="CommentSubject">
    <w:name w:val="annotation subject"/>
    <w:basedOn w:val="CommentText"/>
    <w:next w:val="CommentText"/>
    <w:link w:val="CommentSubjectChar"/>
    <w:uiPriority w:val="99"/>
    <w:semiHidden/>
    <w:unhideWhenUsed/>
    <w:rsid w:val="007C0C2D"/>
    <w:rPr>
      <w:b/>
      <w:bCs/>
    </w:rPr>
  </w:style>
  <w:style w:type="character" w:customStyle="1" w:styleId="CommentSubjectChar">
    <w:name w:val="Comment Subject Char"/>
    <w:basedOn w:val="CommentTextChar"/>
    <w:link w:val="CommentSubject"/>
    <w:uiPriority w:val="99"/>
    <w:semiHidden/>
    <w:rsid w:val="007C0C2D"/>
    <w:rPr>
      <w:b/>
      <w:bCs/>
      <w:sz w:val="20"/>
      <w:szCs w:val="20"/>
    </w:rPr>
  </w:style>
  <w:style w:type="paragraph" w:styleId="BalloonText">
    <w:name w:val="Balloon Text"/>
    <w:basedOn w:val="Normal"/>
    <w:link w:val="BalloonTextChar"/>
    <w:uiPriority w:val="99"/>
    <w:semiHidden/>
    <w:unhideWhenUsed/>
    <w:rsid w:val="007C0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C2D"/>
    <w:rPr>
      <w:rFonts w:ascii="Segoe UI" w:hAnsi="Segoe UI" w:cs="Segoe UI"/>
      <w:sz w:val="18"/>
      <w:szCs w:val="18"/>
    </w:rPr>
  </w:style>
  <w:style w:type="paragraph" w:styleId="Revision">
    <w:name w:val="Revision"/>
    <w:hidden/>
    <w:uiPriority w:val="99"/>
    <w:semiHidden/>
    <w:rsid w:val="002D26F2"/>
    <w:pPr>
      <w:spacing w:after="0" w:line="240" w:lineRule="auto"/>
    </w:pPr>
  </w:style>
  <w:style w:type="paragraph" w:styleId="ListParagraph">
    <w:name w:val="List Paragraph"/>
    <w:basedOn w:val="Normal"/>
    <w:uiPriority w:val="34"/>
    <w:qFormat/>
    <w:rsid w:val="004F3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07730">
      <w:bodyDiv w:val="1"/>
      <w:marLeft w:val="0"/>
      <w:marRight w:val="0"/>
      <w:marTop w:val="0"/>
      <w:marBottom w:val="0"/>
      <w:divBdr>
        <w:top w:val="none" w:sz="0" w:space="0" w:color="auto"/>
        <w:left w:val="none" w:sz="0" w:space="0" w:color="auto"/>
        <w:bottom w:val="none" w:sz="0" w:space="0" w:color="auto"/>
        <w:right w:val="none" w:sz="0" w:space="0" w:color="auto"/>
      </w:divBdr>
    </w:div>
    <w:div w:id="322468700">
      <w:bodyDiv w:val="1"/>
      <w:marLeft w:val="0"/>
      <w:marRight w:val="0"/>
      <w:marTop w:val="0"/>
      <w:marBottom w:val="0"/>
      <w:divBdr>
        <w:top w:val="none" w:sz="0" w:space="0" w:color="auto"/>
        <w:left w:val="none" w:sz="0" w:space="0" w:color="auto"/>
        <w:bottom w:val="none" w:sz="0" w:space="0" w:color="auto"/>
        <w:right w:val="none" w:sz="0" w:space="0" w:color="auto"/>
      </w:divBdr>
    </w:div>
    <w:div w:id="467435480">
      <w:bodyDiv w:val="1"/>
      <w:marLeft w:val="0"/>
      <w:marRight w:val="0"/>
      <w:marTop w:val="0"/>
      <w:marBottom w:val="0"/>
      <w:divBdr>
        <w:top w:val="none" w:sz="0" w:space="0" w:color="auto"/>
        <w:left w:val="none" w:sz="0" w:space="0" w:color="auto"/>
        <w:bottom w:val="none" w:sz="0" w:space="0" w:color="auto"/>
        <w:right w:val="none" w:sz="0" w:space="0" w:color="auto"/>
      </w:divBdr>
    </w:div>
    <w:div w:id="656878870">
      <w:bodyDiv w:val="1"/>
      <w:marLeft w:val="0"/>
      <w:marRight w:val="0"/>
      <w:marTop w:val="0"/>
      <w:marBottom w:val="0"/>
      <w:divBdr>
        <w:top w:val="none" w:sz="0" w:space="0" w:color="auto"/>
        <w:left w:val="none" w:sz="0" w:space="0" w:color="auto"/>
        <w:bottom w:val="none" w:sz="0" w:space="0" w:color="auto"/>
        <w:right w:val="none" w:sz="0" w:space="0" w:color="auto"/>
      </w:divBdr>
    </w:div>
    <w:div w:id="786896651">
      <w:bodyDiv w:val="1"/>
      <w:marLeft w:val="0"/>
      <w:marRight w:val="0"/>
      <w:marTop w:val="0"/>
      <w:marBottom w:val="0"/>
      <w:divBdr>
        <w:top w:val="none" w:sz="0" w:space="0" w:color="auto"/>
        <w:left w:val="none" w:sz="0" w:space="0" w:color="auto"/>
        <w:bottom w:val="none" w:sz="0" w:space="0" w:color="auto"/>
        <w:right w:val="none" w:sz="0" w:space="0" w:color="auto"/>
      </w:divBdr>
    </w:div>
    <w:div w:id="1606112250">
      <w:bodyDiv w:val="1"/>
      <w:marLeft w:val="0"/>
      <w:marRight w:val="0"/>
      <w:marTop w:val="0"/>
      <w:marBottom w:val="0"/>
      <w:divBdr>
        <w:top w:val="none" w:sz="0" w:space="0" w:color="auto"/>
        <w:left w:val="none" w:sz="0" w:space="0" w:color="auto"/>
        <w:bottom w:val="none" w:sz="0" w:space="0" w:color="auto"/>
        <w:right w:val="none" w:sz="0" w:space="0" w:color="auto"/>
      </w:divBdr>
    </w:div>
    <w:div w:id="1775780139">
      <w:bodyDiv w:val="1"/>
      <w:marLeft w:val="0"/>
      <w:marRight w:val="0"/>
      <w:marTop w:val="0"/>
      <w:marBottom w:val="0"/>
      <w:divBdr>
        <w:top w:val="none" w:sz="0" w:space="0" w:color="auto"/>
        <w:left w:val="none" w:sz="0" w:space="0" w:color="auto"/>
        <w:bottom w:val="none" w:sz="0" w:space="0" w:color="auto"/>
        <w:right w:val="none" w:sz="0" w:space="0" w:color="auto"/>
      </w:divBdr>
    </w:div>
    <w:div w:id="1813937671">
      <w:bodyDiv w:val="1"/>
      <w:marLeft w:val="0"/>
      <w:marRight w:val="0"/>
      <w:marTop w:val="0"/>
      <w:marBottom w:val="0"/>
      <w:divBdr>
        <w:top w:val="none" w:sz="0" w:space="0" w:color="auto"/>
        <w:left w:val="none" w:sz="0" w:space="0" w:color="auto"/>
        <w:bottom w:val="none" w:sz="0" w:space="0" w:color="auto"/>
        <w:right w:val="none" w:sz="0" w:space="0" w:color="auto"/>
      </w:divBdr>
    </w:div>
    <w:div w:id="1944337044">
      <w:bodyDiv w:val="1"/>
      <w:marLeft w:val="0"/>
      <w:marRight w:val="0"/>
      <w:marTop w:val="0"/>
      <w:marBottom w:val="0"/>
      <w:divBdr>
        <w:top w:val="none" w:sz="0" w:space="0" w:color="auto"/>
        <w:left w:val="none" w:sz="0" w:space="0" w:color="auto"/>
        <w:bottom w:val="none" w:sz="0" w:space="0" w:color="auto"/>
        <w:right w:val="none" w:sz="0" w:space="0" w:color="auto"/>
      </w:divBdr>
    </w:div>
    <w:div w:id="1955552222">
      <w:bodyDiv w:val="1"/>
      <w:marLeft w:val="0"/>
      <w:marRight w:val="0"/>
      <w:marTop w:val="0"/>
      <w:marBottom w:val="0"/>
      <w:divBdr>
        <w:top w:val="none" w:sz="0" w:space="0" w:color="auto"/>
        <w:left w:val="none" w:sz="0" w:space="0" w:color="auto"/>
        <w:bottom w:val="none" w:sz="0" w:space="0" w:color="auto"/>
        <w:right w:val="none" w:sz="0" w:space="0" w:color="auto"/>
      </w:divBdr>
    </w:div>
    <w:div w:id="1982229436">
      <w:bodyDiv w:val="1"/>
      <w:marLeft w:val="0"/>
      <w:marRight w:val="0"/>
      <w:marTop w:val="0"/>
      <w:marBottom w:val="0"/>
      <w:divBdr>
        <w:top w:val="none" w:sz="0" w:space="0" w:color="auto"/>
        <w:left w:val="none" w:sz="0" w:space="0" w:color="auto"/>
        <w:bottom w:val="none" w:sz="0" w:space="0" w:color="auto"/>
        <w:right w:val="none" w:sz="0" w:space="0" w:color="auto"/>
      </w:divBdr>
    </w:div>
    <w:div w:id="199532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A6645A9CAA854B97473B1575FC4E98" ma:contentTypeVersion="13" ma:contentTypeDescription="Create a new document." ma:contentTypeScope="" ma:versionID="e1aa8f60b06ac3eac7fdc0c67c6f00f8">
  <xsd:schema xmlns:xsd="http://www.w3.org/2001/XMLSchema" xmlns:xs="http://www.w3.org/2001/XMLSchema" xmlns:p="http://schemas.microsoft.com/office/2006/metadata/properties" xmlns:ns3="39b24572-15a0-47c4-a39a-42684988d625" xmlns:ns4="369c1d00-7c39-4a5b-8aad-e7ad79286ebc" targetNamespace="http://schemas.microsoft.com/office/2006/metadata/properties" ma:root="true" ma:fieldsID="aa925e46e2fa56913b596be184f9a919" ns3:_="" ns4:_="">
    <xsd:import namespace="39b24572-15a0-47c4-a39a-42684988d625"/>
    <xsd:import namespace="369c1d00-7c39-4a5b-8aad-e7ad79286e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24572-15a0-47c4-a39a-42684988d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1d00-7c39-4a5b-8aad-e7ad79286e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DE3FA-6AC4-4A2B-A028-50C3C205A387}">
  <ds:schemaRefs>
    <ds:schemaRef ds:uri="http://schemas.openxmlformats.org/officeDocument/2006/bibliography"/>
  </ds:schemaRefs>
</ds:datastoreItem>
</file>

<file path=customXml/itemProps2.xml><?xml version="1.0" encoding="utf-8"?>
<ds:datastoreItem xmlns:ds="http://schemas.openxmlformats.org/officeDocument/2006/customXml" ds:itemID="{413227BB-6446-4E65-8232-7ACB3C621C04}">
  <ds:schemaRefs>
    <ds:schemaRef ds:uri="39b24572-15a0-47c4-a39a-42684988d625"/>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69c1d00-7c39-4a5b-8aad-e7ad79286ebc"/>
    <ds:schemaRef ds:uri="http://www.w3.org/XML/1998/namespace"/>
    <ds:schemaRef ds:uri="http://purl.org/dc/dcmitype/"/>
  </ds:schemaRefs>
</ds:datastoreItem>
</file>

<file path=customXml/itemProps3.xml><?xml version="1.0" encoding="utf-8"?>
<ds:datastoreItem xmlns:ds="http://schemas.openxmlformats.org/officeDocument/2006/customXml" ds:itemID="{4BB0B2D2-E5BC-47AE-8FD2-0873C7831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24572-15a0-47c4-a39a-42684988d625"/>
    <ds:schemaRef ds:uri="369c1d00-7c39-4a5b-8aad-e7ad79286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3DE26-2960-4E5F-B1F0-2071021B3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Brasier</dc:creator>
  <cp:keywords/>
  <dc:description/>
  <cp:lastModifiedBy>Madeleine Brasier</cp:lastModifiedBy>
  <cp:revision>7</cp:revision>
  <dcterms:created xsi:type="dcterms:W3CDTF">2020-05-19T21:52:00Z</dcterms:created>
  <dcterms:modified xsi:type="dcterms:W3CDTF">2020-07-16T00:56:00Z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0x01010081A6645A9CAA854B97473B1575FC4E98</vt:lpwstr>
  </property>
</Properties>
</file>