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Plasma microRNA array analysis identifies overexpressed miR-19b-3p as a biomarker of bipolar depression distinguish</w:t>
      </w:r>
      <w:r>
        <w:rPr>
          <w:rFonts w:hint="eastAsia"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ing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from unipolar depression</w:t>
      </w:r>
    </w:p>
    <w:p>
      <w:pPr>
        <w:tabs>
          <w:tab w:val="left" w:pos="8085"/>
        </w:tabs>
        <w:snapToGrid w:val="0"/>
        <w:spacing w:line="276" w:lineRule="auto"/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Yu Chen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Jiabo Shi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Haiyan Liu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Qiang Wang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Xiangxiang Chen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Hao Tang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Rui Yan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Qing Lu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 xml:space="preserve">b,c* 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>, Zhijian Yao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  <w:t>a,d*</w:t>
      </w:r>
      <w:r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8085"/>
        </w:tabs>
        <w:snapToGrid w:val="0"/>
        <w:spacing w:line="276" w:lineRule="auto"/>
        <w:rPr>
          <w:rFonts w:ascii="Times New Roman" w:hAnsi="Times New Roman" w:cs="Times New Roman"/>
          <w:i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i/>
          <w:color w:val="000000" w:themeColor="text1"/>
          <w:vertAlign w:val="superscript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Supplementa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l data 1.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Am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plification primer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1"/>
        <w:tblW w:w="8647" w:type="dxa"/>
        <w:tblInd w:w="0" w:type="dxa"/>
        <w:tblBorders>
          <w:top w:val="single" w:color="7F7F7F" w:sz="4" w:space="0"/>
          <w:left w:val="none" w:color="auto" w:sz="0" w:space="0"/>
          <w:bottom w:val="single" w:color="7F7F7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237"/>
      </w:tblGrid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bottom w:val="single" w:color="7F7F7F" w:sz="4" w:space="0"/>
              <w:insideH w:val="single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6237" w:type="dxa"/>
            <w:tcBorders>
              <w:bottom w:val="single" w:color="7F7F7F" w:sz="4" w:space="0"/>
              <w:insideH w:val="single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equence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7F7F7F" w:sz="4" w:space="0"/>
              <w:bottom w:val="nil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U6-F</w:t>
            </w:r>
          </w:p>
        </w:tc>
        <w:tc>
          <w:tcPr>
            <w:tcW w:w="6237" w:type="dxa"/>
            <w:tcBorders>
              <w:top w:val="single" w:color="7F7F7F" w:sz="4" w:space="0"/>
              <w:bottom w:val="nil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CTCGCTTCGGCAGCACA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U6-R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AACGCTTCACGAATTTGCGT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hsa-miR-3921-F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GCGCGTCTCTGAGTACCATATG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hsa-miR-3921-RT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GTCGTATCCAGTGCAGGGTCCGAGGTATTCGCACTGGATACGACACAAGG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hsa-miR-1180-3p-F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TTTCCGGCTCGCGTGG 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hsa-miR-1180-3p-RT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GTCGTATCCAGTGCAGGGTCCGAGGTATTCGCACTGGATACGACACACAC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hsa-miR-19b-3p-F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CGTGTGCAAATCCATGCAA 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hsa-miR-19b-3p-RT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GTCGTATCCAGTGCAGGGTCCGAGGTATTCGCACTGGATACGACTCAGTT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7F7F7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nil"/>
              <w:bottom w:val="single" w:color="7F7F7F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Reverse Primer</w:t>
            </w:r>
          </w:p>
        </w:tc>
        <w:tc>
          <w:tcPr>
            <w:tcW w:w="6237" w:type="dxa"/>
            <w:tcBorders>
              <w:top w:val="nil"/>
              <w:bottom w:val="single" w:color="7F7F7F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AGTGCAGGGTCCGAGGTATT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Supplementary data 2.</w:t>
      </w:r>
    </w:p>
    <w:p>
      <w:pP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Demographic and clinical characteristics of the subjects for miRNA array screening</w:t>
      </w:r>
    </w:p>
    <w:tbl>
      <w:tblPr>
        <w:tblStyle w:val="32"/>
        <w:tblW w:w="8476" w:type="dxa"/>
        <w:tblInd w:w="-108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417"/>
        <w:gridCol w:w="1276"/>
        <w:gridCol w:w="1276"/>
        <w:gridCol w:w="1280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09" w:type="dxa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variables</w:t>
            </w:r>
          </w:p>
        </w:tc>
        <w:tc>
          <w:tcPr>
            <w:tcW w:w="4111" w:type="dxa"/>
            <w:gridSpan w:val="3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The subjects for miRNA profiling screening</w:t>
            </w:r>
          </w:p>
        </w:tc>
        <w:tc>
          <w:tcPr>
            <w:tcW w:w="2556" w:type="dxa"/>
            <w:gridSpan w:val="2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Significance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UD(n=7)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(SD)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BD(n=7)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(SD)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HC(n=6)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(SD)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(two groups)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(three groups)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Age (years)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6.90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8.87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37.50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5.99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0.365</w:t>
            </w: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0.535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 (42.9%)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 (42.9%)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 (50.0%)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0.958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 (57.1%)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 (57.1%)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 (50.0%)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Education (years)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2.56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0.957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0.355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Duration of illness (months)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15.92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58.70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Total score of HAM-D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33.29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4.96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6.11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0.101</w:t>
            </w: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6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Subscore of HAM-D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00" w:lineRule="exact"/>
              <w:ind w:firstLine="105" w:firstLineChars="5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Anxiety/somatization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2.94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2.75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0.031*</w:t>
            </w: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spacing w:line="200" w:lineRule="exact"/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Cognitive disturbance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4.29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2.22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4.29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2.14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Retardation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1.07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1.98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0.203</w:t>
            </w:r>
          </w:p>
        </w:tc>
        <w:tc>
          <w:tcPr>
            <w:tcW w:w="1280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Hopelessness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1.51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5.29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1.80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0.753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00" w:lineRule="exact"/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Sleep disturbance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1.41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0.579</w:t>
            </w:r>
          </w:p>
        </w:tc>
        <w:tc>
          <w:tcPr>
            <w:tcW w:w="1280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Weight loss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0.38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0.79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0.064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200" w:lineRule="exact"/>
              <w:ind w:firstLine="105" w:firstLineChars="5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Circadian fluctuation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0.33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0.61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0.51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0.403</w:t>
            </w:r>
          </w:p>
        </w:tc>
        <w:tc>
          <w:tcPr>
            <w:tcW w:w="1280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Total score of CTQ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47.14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11.19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17.72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0.285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Subscore of CTQ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spacing w:line="20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Emotional abuse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4.76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11.86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7.11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0.256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Physical abuse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1.13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3.73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0.171</w:t>
            </w:r>
          </w:p>
        </w:tc>
        <w:tc>
          <w:tcPr>
            <w:tcW w:w="1280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Sexual abuse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5.57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1.13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0.207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09" w:type="dxa"/>
          </w:tcPr>
          <w:p>
            <w:pPr>
              <w:spacing w:line="22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Emotional neglect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5.26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14.00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6.58</w:t>
            </w: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0.542</w:t>
            </w:r>
          </w:p>
        </w:tc>
        <w:tc>
          <w:tcPr>
            <w:tcW w:w="1280" w:type="dxa"/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Physical neglect</w:t>
            </w:r>
          </w:p>
        </w:tc>
        <w:tc>
          <w:tcPr>
            <w:tcW w:w="141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4.19</w:t>
            </w:r>
          </w:p>
        </w:tc>
        <w:tc>
          <w:tcPr>
            <w:tcW w:w="1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10.86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5.52</w:t>
            </w: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0.429</w:t>
            </w:r>
          </w:p>
        </w:tc>
        <w:tc>
          <w:tcPr>
            <w:tcW w:w="1280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ind w:firstLine="4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UD: unipolar depression; BD: bipolar depression; HC: healthy controls; *p&lt;0.05.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Supplementary data 3</w:t>
      </w:r>
    </w:p>
    <w:p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Differential expression of miRNAs between healthy groups and patients with unipolar depression and bipolar depression</w:t>
      </w:r>
    </w:p>
    <w:tbl>
      <w:tblPr>
        <w:tblStyle w:val="8"/>
        <w:tblW w:w="76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040"/>
        <w:gridCol w:w="1040"/>
        <w:gridCol w:w="1040"/>
        <w:gridCol w:w="1177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4826881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miRNA</w:t>
            </w:r>
            <w:bookmarkEnd w:id="0"/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UD (FC)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BD (FC)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HC (FC)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p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Style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hsa-miR-1180-3p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1.793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1.053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5.531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5.088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4.187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0.200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hsa-miR-1298-3p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2.990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1.779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0.909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0.282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hsa-miR-297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1.948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2.342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0.911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0.042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0.748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0.041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hsa-miR-337-3p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2.760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2.272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1.029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0.011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hsa-miR-3619-5p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4.004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2.562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2.207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0.667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hsa-miR-378h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4.576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2.273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0.105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hsa-miR-3910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2.030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1.473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0.678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0.134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5.110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2.427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0.035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hsa-miR-4706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4.618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2.692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0.249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hsa-miR-5094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1.820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0.793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0.187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hsa-miR-548aa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1.199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0.746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0.131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hsa-miR-548ap-3p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1.559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1.274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0.765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0.179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hsa-miR-548t-3p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1.197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0.745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0.132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hsa-miR-570-3p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1.399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0.896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0.572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0.392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hsa-miR-628-5p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2.377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0.927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0.205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hsa-miR-6511b-5p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3.972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2.936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1.976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0.129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hsa-miR-668-5p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2.552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2.189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0.531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hsa-miR-6732-5p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8.281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7.494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7.145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0.427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hsa-miR-6750-5p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3.960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3.040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2.151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0.170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hsa-miR-6794-5p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4.983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4.438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3.920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0.184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hsa-miR-6800-3p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2.642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0.146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hsa-miR-8075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7.500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6.679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6.158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0.363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hsa-miR-877-5p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3.602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2.833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2.219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0.267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hsa-miR-106a-5p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2.561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5.773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5.713 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0.844 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hsa-miR-106b-5p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1.208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2.920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4.084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0.294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hsa-miR-130b-3p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2.028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2.325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3.098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0.171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hsa-miR-140-3p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2.664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4.110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5.221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0.238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hsa-miR-150-5p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1.320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4.119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4.007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0.784 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hsa-miR-16-5p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3.603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7.757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7.517 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0.750 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hsa-miR-181a-5p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4.639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0.343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hsa-miR-19b-3p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3.501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4.259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6.272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0.019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hsa-miR-22-3p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2.953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4.030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6.345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0.051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hsa-miR-378a-3p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1.582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2.553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3.719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hsa-miR-378c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0.665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1.129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1.671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0.085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hsa-miR-3937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1.409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1.274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2.146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0.042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hsa-miR-423-3p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0.896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2.246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2.694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0.536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hsa-miR-425-5p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5.059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5.358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0.931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hsa-miR-6813-5p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1.264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1.043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1.965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0.024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hsa-miR-7641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1.967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3.611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0.115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hsa-miR-93-5p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2.653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6.362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6.494 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0.954 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down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UD: unipolar depression; BD: bipolar depression; HC: healthy controls; FC: fold change;style: up: overexpression; style: down: downexpression.</w:t>
      </w:r>
    </w:p>
    <w:p>
      <w:pP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Supplemental data 4.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The 288 predicted target mRNAs of has-miR-19b-3p:</w:t>
      </w:r>
    </w:p>
    <w:tbl>
      <w:tblPr>
        <w:tblStyle w:val="40"/>
        <w:tblW w:w="906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134"/>
        <w:gridCol w:w="1046"/>
        <w:gridCol w:w="1276"/>
        <w:gridCol w:w="1240"/>
        <w:gridCol w:w="1134"/>
        <w:gridCol w:w="1276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NR3C2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BACE1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PTEN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ATXN1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HIPK3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ARID4B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MYLIP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ESR1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NCOA3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KAT2B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SOCS1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BCL2L11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TGFBR2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CUL5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TLR2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PRKAA1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PPP2R5E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ZMYND11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RPS4Y1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PRRG4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LCLAT1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SKIL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BAMBI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SLC38A2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DEF8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RNF167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BCL3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EVI5L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SLC6A8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KCNJ2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ASNA1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MB21D1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PTPRB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TNFRSF10B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ZNF800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YY1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MCC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JAZF1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HNRNPF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GNPTAB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FRS2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DYNC1LI2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DEPDC1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DBN1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CFL2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GDNF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ARL8A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AGO3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ZNF680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ZNF107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PABPC4L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C15orf38-AP3S2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CLVS2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CCDC80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ZNF544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ZDHHC7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RACGAP1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FGFR1OP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HOMER1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ODF4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MBD3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MTX3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PTCD2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ETV3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C6orf132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DIP2A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MTHFD1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UBL3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KIAA0907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TMEM2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KITLG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FKBP15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PHLDA3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NRBF2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MAPK1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CAMSAP2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ZNF154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SLC46A1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UBE2D3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SESN3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SATB1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NUP54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LZIC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BEND3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PALM2-AKAP2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AKAP2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USP8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RAN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PPTC7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PFN2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MRPL17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DCC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ZNF134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VPS37B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RBM20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GRB10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DDX3X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RRAGD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CEP170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MALT1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HADHB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TMEM64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SLC12A7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PFN1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DGKH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CLOCK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ADSS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ZNF367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MTMR12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MKL2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MEF2A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MCM3AP-AS1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MBD4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MAP3K14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LOC613266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LIN9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KLHL3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KIF3A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CCSER2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ATG14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INO80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HNRNPU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HIC1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HECW2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HDAC4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GRSF1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GPAM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GAK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FOXP1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FBXO48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FBXO10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MIGA1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DENND6A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FAM102A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EXOC7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EPS15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EPN2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EIF4E2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EHD1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DUT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DSCR3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CIT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CBX7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CBX5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WNT7B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THBS1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TGOLN2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STX6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SGK1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RHOB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PPP6R1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NACC1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MTMR6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MAP3K9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KLHL11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KIF13A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IMPDH1P11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FBLIM1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EOGT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ELL2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DLG5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CD164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CCNA2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CAPRIN2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ANKRD50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ACTB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ABHD14B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YTHDF1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ZFYVE26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FOXQ1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DICER1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ARPP19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WDR45B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SLC48A1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MMGT1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BRWD3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NICN1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PTBP2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ZMAT3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TRIM37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TMTC1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XIAP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WNT10A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WDR1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VAMP1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TRAK2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TP53INP1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TNPO2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TNIP1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TNFAIP3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TFB1M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STK4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SOCS3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SNX17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SLC9A6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SLC25A12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SH3KBP1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SERBP1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SEPHS2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SEL1L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SEC63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SBF2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S1PR2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RNF216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RGL1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RAPGEF6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RAB2B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PIK3R3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PIGS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PGM2L1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PGK1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PCDH10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PRKN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OTUD7B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NAPB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TNFRSF11A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TMEM117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RPF2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NDRG1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MFF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STOX2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SNX5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RLIM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SFTPA1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MBNL3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GIGYF1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GFPT1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DCUN1D3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CREBRF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CERCAM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CHEK2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CASZ1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BMP3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ARC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ACSL4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ACBD5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ZNF138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MAVS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RBM38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TMEM138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DAD1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WNK3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WASL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UBE2A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TXLNG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SOX6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RAP1A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PURG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PRICKLE2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MPRIP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MECP2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IDNK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C2orf42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PRR14L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SDE2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ARPIN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SPTSSA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GSKIP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BTBD7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BRD9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BCL7B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B4GALT1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AZIN1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ATXN7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ATPAF1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ATG5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ATG2B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ARMC8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ARAP2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ANGEL2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AHDC1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PTENP1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PKNOX1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MTUS1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PITX1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CSNK2A1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DCBLD2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EREG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PHLDA1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PKM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B3GALNT2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DSEL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IFITM1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TPRG1L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ZNF423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RPAP2</w:t>
            </w:r>
          </w:p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ZNF618</w:t>
            </w:r>
          </w:p>
        </w:tc>
      </w:tr>
    </w:tbl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2"/>
    <w:rsid w:val="00506308"/>
    <w:rsid w:val="008C4ACA"/>
    <w:rsid w:val="00956412"/>
    <w:rsid w:val="0C14633D"/>
    <w:rsid w:val="472347E6"/>
    <w:rsid w:val="591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35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00" w:leftChars="2500"/>
    </w:pPr>
    <w:rPr>
      <w:rFonts w:asciiTheme="minorHAnsi" w:hAnsiTheme="minorHAnsi" w:eastAsiaTheme="minorEastAsia" w:cstheme="minorBidi"/>
      <w:color w:val="auto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link w:val="21"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等线" w:hAnsi="等线" w:eastAsia="等线" w:cs="等线"/>
      <w:color w:val="000000"/>
      <w:kern w:val="2"/>
      <w:sz w:val="18"/>
      <w:szCs w:val="18"/>
      <w:u w:color="000000"/>
      <w:lang w:val="en-US" w:eastAsia="zh-CN" w:bidi="ar-SA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37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table" w:styleId="9">
    <w:name w:val="Table Grid"/>
    <w:basedOn w:val="8"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nhideWhenUsed/>
    <w:uiPriority w:val="99"/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line number"/>
    <w:basedOn w:val="10"/>
    <w:semiHidden/>
    <w:unhideWhenUsed/>
    <w:uiPriority w:val="99"/>
  </w:style>
  <w:style w:type="character" w:styleId="15">
    <w:name w:val="Hyperlink"/>
    <w:uiPriority w:val="99"/>
    <w:rPr>
      <w:u w:val="single"/>
    </w:rPr>
  </w:style>
  <w:style w:type="character" w:styleId="16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0"/>
    <w:unhideWhenUsed/>
    <w:uiPriority w:val="99"/>
    <w:rPr>
      <w:vertAlign w:val="superscript"/>
    </w:rPr>
  </w:style>
  <w:style w:type="character" w:customStyle="1" w:styleId="18">
    <w:name w:val="批注框文本 字符"/>
    <w:basedOn w:val="10"/>
    <w:link w:val="4"/>
    <w:semiHidden/>
    <w:uiPriority w:val="99"/>
    <w:rPr>
      <w:rFonts w:ascii="等线" w:hAnsi="等线" w:eastAsia="等线" w:cs="等线"/>
      <w:color w:val="000000"/>
      <w:sz w:val="18"/>
      <w:szCs w:val="18"/>
      <w:u w:color="000000"/>
    </w:rPr>
  </w:style>
  <w:style w:type="table" w:customStyle="1" w:styleId="19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页脚 字符"/>
    <w:basedOn w:val="10"/>
    <w:link w:val="5"/>
    <w:uiPriority w:val="99"/>
    <w:rPr>
      <w:rFonts w:ascii="等线" w:hAnsi="等线" w:eastAsia="等线" w:cs="等线"/>
      <w:color w:val="000000"/>
      <w:sz w:val="18"/>
      <w:szCs w:val="18"/>
      <w:u w:color="000000"/>
    </w:rPr>
  </w:style>
  <w:style w:type="paragraph" w:styleId="22">
    <w:name w:val="List Paragraph"/>
    <w:qFormat/>
    <w:uiPriority w:val="3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等线" w:hAnsi="等线" w:eastAsia="等线" w:cs="等线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23">
    <w:name w:val="Link"/>
    <w:uiPriority w:val="0"/>
    <w:rPr>
      <w:color w:val="0563C1"/>
      <w:u w:val="single" w:color="0563C1"/>
    </w:rPr>
  </w:style>
  <w:style w:type="character" w:customStyle="1" w:styleId="24">
    <w:name w:val="Hyperlink.0"/>
    <w:basedOn w:val="23"/>
    <w:uiPriority w:val="0"/>
    <w:rPr>
      <w:rFonts w:ascii="Times New Roman" w:hAnsi="Times New Roman" w:eastAsia="Times New Roman" w:cs="Times New Roman"/>
      <w:color w:val="0563C1"/>
      <w:u w:val="single" w:color="0563C1"/>
    </w:rPr>
  </w:style>
  <w:style w:type="paragraph" w:customStyle="1" w:styleId="25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character" w:customStyle="1" w:styleId="26">
    <w:name w:val="批注文字 字符"/>
    <w:basedOn w:val="10"/>
    <w:link w:val="2"/>
    <w:semiHidden/>
    <w:qFormat/>
    <w:uiPriority w:val="99"/>
    <w:rPr>
      <w:rFonts w:ascii="等线" w:hAnsi="等线" w:eastAsia="等线" w:cs="等线"/>
      <w:color w:val="000000"/>
      <w:sz w:val="24"/>
      <w:szCs w:val="24"/>
      <w:u w:color="000000"/>
    </w:rPr>
  </w:style>
  <w:style w:type="character" w:customStyle="1" w:styleId="27">
    <w:name w:val="页眉 字符"/>
    <w:basedOn w:val="10"/>
    <w:link w:val="6"/>
    <w:qFormat/>
    <w:uiPriority w:val="99"/>
    <w:rPr>
      <w:rFonts w:ascii="等线" w:hAnsi="等线" w:eastAsia="等线" w:cs="等线"/>
      <w:color w:val="000000"/>
      <w:sz w:val="18"/>
      <w:szCs w:val="18"/>
      <w:u w:color="000000"/>
    </w:rPr>
  </w:style>
  <w:style w:type="paragraph" w:customStyle="1" w:styleId="28">
    <w:name w:val="EndNote Bibliography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theme="minorBidi"/>
      <w:color w:val="auto"/>
    </w:rPr>
  </w:style>
  <w:style w:type="paragraph" w:customStyle="1" w:styleId="29">
    <w:name w:val="EndNote Category Heading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20" w:after="120"/>
      <w:jc w:val="left"/>
    </w:pPr>
    <w:rPr>
      <w:rFonts w:asciiTheme="minorHAnsi" w:hAnsiTheme="minorHAnsi" w:eastAsiaTheme="minorEastAsia" w:cstheme="minorBidi"/>
      <w:b/>
      <w:color w:val="auto"/>
    </w:rPr>
  </w:style>
  <w:style w:type="paragraph" w:customStyle="1" w:styleId="30">
    <w:name w:val="EndNote Bibliography Title"/>
    <w:basedOn w:val="1"/>
    <w:link w:val="31"/>
    <w:qFormat/>
    <w:uiPriority w:val="0"/>
    <w:pPr>
      <w:jc w:val="center"/>
    </w:pPr>
    <w:rPr>
      <w:rFonts w:ascii="Helvetica Neue" w:hAnsi="Helvetica Neue"/>
    </w:rPr>
  </w:style>
  <w:style w:type="character" w:customStyle="1" w:styleId="31">
    <w:name w:val="EndNote Bibliography Title 字符"/>
    <w:basedOn w:val="10"/>
    <w:link w:val="30"/>
    <w:qFormat/>
    <w:uiPriority w:val="0"/>
    <w:rPr>
      <w:rFonts w:ascii="Helvetica Neue" w:hAnsi="Helvetica Neue" w:eastAsia="等线" w:cs="等线"/>
      <w:color w:val="000000"/>
      <w:sz w:val="24"/>
      <w:szCs w:val="24"/>
      <w:u w:color="000000"/>
    </w:rPr>
  </w:style>
  <w:style w:type="table" w:customStyle="1" w:styleId="32">
    <w:name w:val="Plain Table 2"/>
    <w:basedOn w:val="8"/>
    <w:uiPriority w:val="42"/>
    <w:rPr>
      <w:sz w:val="24"/>
      <w:szCs w:val="24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3">
    <w:name w:val="List Table 6 Colorful"/>
    <w:basedOn w:val="8"/>
    <w:uiPriority w:val="51"/>
    <w:rPr>
      <w:color w:val="000000" w:themeColor="text1"/>
      <w:sz w:val="24"/>
      <w:szCs w:val="24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">
    <w:name w:val="List Table 2"/>
    <w:basedOn w:val="8"/>
    <w:qFormat/>
    <w:uiPriority w:val="47"/>
    <w:rPr>
      <w:sz w:val="24"/>
      <w:szCs w:val="24"/>
    </w:r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35">
    <w:name w:val="日期 字符"/>
    <w:basedOn w:val="10"/>
    <w:link w:val="3"/>
    <w:semiHidden/>
    <w:qFormat/>
    <w:uiPriority w:val="99"/>
    <w:rPr>
      <w:sz w:val="24"/>
      <w:szCs w:val="24"/>
      <w:u w:color="000000"/>
    </w:rPr>
  </w:style>
  <w:style w:type="character" w:customStyle="1" w:styleId="36">
    <w:name w:val="apple-converted-space"/>
    <w:basedOn w:val="10"/>
    <w:qFormat/>
    <w:uiPriority w:val="0"/>
  </w:style>
  <w:style w:type="character" w:customStyle="1" w:styleId="37">
    <w:name w:val="脚注文本 字符"/>
    <w:basedOn w:val="10"/>
    <w:link w:val="7"/>
    <w:uiPriority w:val="99"/>
    <w:rPr>
      <w:sz w:val="18"/>
      <w:szCs w:val="18"/>
      <w:u w:color="000000"/>
    </w:rPr>
  </w:style>
  <w:style w:type="character" w:customStyle="1" w:styleId="38">
    <w:name w:val="apple-tab-span"/>
    <w:basedOn w:val="10"/>
    <w:uiPriority w:val="0"/>
  </w:style>
  <w:style w:type="table" w:customStyle="1" w:styleId="39">
    <w:name w:val="无格式表格 21"/>
    <w:basedOn w:val="8"/>
    <w:qFormat/>
    <w:uiPriority w:val="0"/>
    <w:rPr>
      <w:kern w:val="0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0">
    <w:name w:val="网格型1"/>
    <w:basedOn w:val="8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无格式表格 211"/>
    <w:basedOn w:val="8"/>
    <w:qFormat/>
    <w:uiPriority w:val="0"/>
    <w:rPr>
      <w:rFonts w:ascii="等线" w:hAnsi="等线" w:cs="Times New Roman"/>
      <w:kern w:val="0"/>
      <w:sz w:val="20"/>
      <w:szCs w:val="20"/>
    </w:rPr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945</Words>
  <Characters>5390</Characters>
  <Lines>44</Lines>
  <Paragraphs>12</Paragraphs>
  <TotalTime>10</TotalTime>
  <ScaleCrop>false</ScaleCrop>
  <LinksUpToDate>false</LinksUpToDate>
  <CharactersWithSpaces>6323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2020-06-26T11:02:00Z</dcterms:created>
  <dc:creator>Nemo</dc:creator>
  <cp:lastModifiedBy>Nemo</cp:lastModifiedBy>
  <dcterms:modified xsi:type="dcterms:W3CDTF">2020-07-30T12:19:42Z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