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84B2" w14:textId="632EC94C" w:rsidR="00412375" w:rsidRPr="002B0776" w:rsidRDefault="00412375" w:rsidP="006646E2">
      <w:pPr>
        <w:widowControl/>
        <w:jc w:val="left"/>
        <w:rPr>
          <w:rFonts w:ascii="Times New Roman" w:hAnsi="Times New Roman"/>
          <w:sz w:val="24"/>
          <w:szCs w:val="24"/>
        </w:rPr>
      </w:pPr>
      <w:r w:rsidRPr="002B0776">
        <w:rPr>
          <w:rFonts w:ascii="Times New Roman" w:hAnsi="Times New Roman"/>
          <w:b/>
          <w:sz w:val="24"/>
          <w:szCs w:val="24"/>
        </w:rPr>
        <w:t xml:space="preserve">Table S4. </w:t>
      </w:r>
      <w:r w:rsidRPr="002B0776">
        <w:rPr>
          <w:rFonts w:ascii="Times New Roman" w:hAnsi="Times New Roman"/>
          <w:sz w:val="24"/>
          <w:szCs w:val="24"/>
        </w:rPr>
        <w:t>Relative abundances (average values and sta</w:t>
      </w:r>
      <w:r w:rsidR="00121E21" w:rsidRPr="002B0776">
        <w:rPr>
          <w:rFonts w:ascii="Times New Roman" w:hAnsi="Times New Roman"/>
          <w:sz w:val="24"/>
          <w:szCs w:val="24"/>
        </w:rPr>
        <w:t>ndard error) of AMF composition</w:t>
      </w:r>
      <w:r w:rsidRPr="002B077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2B0776">
        <w:rPr>
          <w:rFonts w:ascii="Times New Roman" w:hAnsi="Times New Roman"/>
          <w:sz w:val="24"/>
          <w:szCs w:val="24"/>
        </w:rPr>
        <w:t>rhizospheric</w:t>
      </w:r>
      <w:proofErr w:type="spellEnd"/>
      <w:r w:rsidRPr="002B0776">
        <w:rPr>
          <w:rFonts w:ascii="Times New Roman" w:hAnsi="Times New Roman"/>
          <w:sz w:val="24"/>
          <w:szCs w:val="24"/>
        </w:rPr>
        <w:t xml:space="preserve"> soil across taxonomical classification (Phyla, Class, and Ord</w:t>
      </w:r>
      <w:r w:rsidR="00F75D3A" w:rsidRPr="002B0776">
        <w:rPr>
          <w:rFonts w:ascii="Times New Roman" w:hAnsi="Times New Roman"/>
          <w:sz w:val="24"/>
          <w:szCs w:val="24"/>
        </w:rPr>
        <w:t>er) along an elevation gradient</w:t>
      </w:r>
      <w:r w:rsidRPr="002B0776">
        <w:rPr>
          <w:rFonts w:ascii="Times New Roman" w:hAnsi="Times New Roman"/>
          <w:sz w:val="24"/>
          <w:szCs w:val="24"/>
        </w:rPr>
        <w:t>. Different letters indicate significant differences (ANOVA, P &lt; 0.05, Tukey’s HSD post-hoc analysis) amon</w:t>
      </w:r>
      <w:r w:rsidR="00121E21" w:rsidRPr="002B0776">
        <w:rPr>
          <w:rFonts w:ascii="Times New Roman" w:hAnsi="Times New Roman"/>
          <w:sz w:val="24"/>
          <w:szCs w:val="24"/>
        </w:rPr>
        <w:t>g different elevation</w:t>
      </w:r>
    </w:p>
    <w:tbl>
      <w:tblPr>
        <w:tblW w:w="14166" w:type="dxa"/>
        <w:jc w:val="center"/>
        <w:tblLayout w:type="fixed"/>
        <w:tblLook w:val="00A0" w:firstRow="1" w:lastRow="0" w:firstColumn="1" w:lastColumn="0" w:noHBand="0" w:noVBand="0"/>
      </w:tblPr>
      <w:tblGrid>
        <w:gridCol w:w="993"/>
        <w:gridCol w:w="1003"/>
        <w:gridCol w:w="901"/>
        <w:gridCol w:w="1605"/>
        <w:gridCol w:w="1568"/>
        <w:gridCol w:w="1615"/>
        <w:gridCol w:w="1553"/>
        <w:gridCol w:w="1653"/>
        <w:gridCol w:w="1629"/>
        <w:gridCol w:w="795"/>
        <w:gridCol w:w="851"/>
      </w:tblGrid>
      <w:tr w:rsidR="002B0776" w:rsidRPr="002B0776" w14:paraId="47900E29" w14:textId="77777777" w:rsidTr="00D6186A">
        <w:trPr>
          <w:trHeight w:val="290"/>
          <w:jc w:val="center"/>
        </w:trPr>
        <w:tc>
          <w:tcPr>
            <w:tcW w:w="993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14:paraId="2D495364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2B0776">
              <w:rPr>
                <w:rFonts w:ascii="Times New Roman" w:hAnsi="Times New Roman"/>
                <w:b/>
                <w:bCs/>
                <w:i/>
                <w:iCs/>
                <w:kern w:val="0"/>
                <w:sz w:val="22"/>
              </w:rPr>
              <w:t>Phyla</w:t>
            </w: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14:paraId="7110FC0A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2B0776">
              <w:rPr>
                <w:rFonts w:ascii="Times New Roman" w:hAnsi="Times New Roman"/>
                <w:b/>
                <w:bCs/>
                <w:i/>
                <w:iCs/>
                <w:kern w:val="0"/>
                <w:sz w:val="22"/>
              </w:rPr>
              <w:t>Class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14:paraId="33A20E3C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2B0776">
              <w:rPr>
                <w:rFonts w:ascii="Times New Roman" w:hAnsi="Times New Roman"/>
                <w:b/>
                <w:bCs/>
                <w:i/>
                <w:iCs/>
                <w:kern w:val="0"/>
                <w:sz w:val="22"/>
              </w:rPr>
              <w:t>Order</w:t>
            </w:r>
          </w:p>
        </w:tc>
        <w:tc>
          <w:tcPr>
            <w:tcW w:w="962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B08DE59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2B0776">
              <w:rPr>
                <w:rFonts w:ascii="Times New Roman" w:hAnsi="Times New Roman"/>
                <w:b/>
                <w:sz w:val="22"/>
              </w:rPr>
              <w:t>Elevation gradient</w:t>
            </w:r>
            <w:r w:rsidRPr="002B0776">
              <w:rPr>
                <w:rFonts w:ascii="Times New Roman" w:hAnsi="Times New Roman" w:hint="eastAsia"/>
                <w:b/>
                <w:sz w:val="22"/>
              </w:rPr>
              <w:t xml:space="preserve"> (m)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14:paraId="4E46F245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proofErr w:type="gramStart"/>
            <w:r w:rsidRPr="002B0776">
              <w:rPr>
                <w:rFonts w:ascii="Times New Roman" w:hAnsi="Times New Roman"/>
                <w:b/>
                <w:bCs/>
                <w:kern w:val="0"/>
                <w:sz w:val="22"/>
              </w:rPr>
              <w:t>F</w:t>
            </w:r>
            <w:r w:rsidRPr="002B0776">
              <w:rPr>
                <w:rFonts w:ascii="Times New Roman" w:hAnsi="Times New Roman"/>
                <w:b/>
                <w:bCs/>
                <w:kern w:val="0"/>
                <w:sz w:val="22"/>
                <w:vertAlign w:val="subscript"/>
              </w:rPr>
              <w:t>(</w:t>
            </w:r>
            <w:proofErr w:type="gramEnd"/>
            <w:r w:rsidRPr="002B0776">
              <w:rPr>
                <w:rFonts w:ascii="Times New Roman" w:hAnsi="Times New Roman"/>
                <w:b/>
                <w:bCs/>
                <w:kern w:val="0"/>
                <w:sz w:val="22"/>
                <w:vertAlign w:val="subscript"/>
              </w:rPr>
              <w:t>5, 12)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14:paraId="12C91750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2B0776">
              <w:rPr>
                <w:rFonts w:ascii="Times New Roman" w:hAnsi="Times New Roman"/>
                <w:b/>
                <w:bCs/>
                <w:i/>
                <w:kern w:val="0"/>
                <w:sz w:val="22"/>
              </w:rPr>
              <w:t>p</w:t>
            </w:r>
          </w:p>
        </w:tc>
      </w:tr>
      <w:tr w:rsidR="002B0776" w:rsidRPr="002B0776" w14:paraId="230FBF3E" w14:textId="77777777" w:rsidTr="00210E7B">
        <w:trPr>
          <w:trHeight w:val="290"/>
          <w:jc w:val="center"/>
        </w:trPr>
        <w:tc>
          <w:tcPr>
            <w:tcW w:w="993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C7C1A46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008F866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32E3C65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FCFB248" w14:textId="77777777" w:rsidR="00752298" w:rsidRPr="002B0776" w:rsidRDefault="00752298" w:rsidP="00F24D7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B0776">
              <w:rPr>
                <w:rFonts w:ascii="Times New Roman" w:hAnsi="Times New Roman"/>
                <w:b/>
                <w:bCs/>
                <w:kern w:val="0"/>
                <w:sz w:val="22"/>
              </w:rPr>
              <w:t>1308</w:t>
            </w:r>
          </w:p>
        </w:tc>
        <w:tc>
          <w:tcPr>
            <w:tcW w:w="15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DF7217D" w14:textId="77777777" w:rsidR="00752298" w:rsidRPr="002B0776" w:rsidRDefault="00752298" w:rsidP="00F24D7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B0776">
              <w:rPr>
                <w:rFonts w:ascii="Times New Roman" w:hAnsi="Times New Roman"/>
                <w:b/>
                <w:bCs/>
                <w:kern w:val="0"/>
                <w:sz w:val="22"/>
              </w:rPr>
              <w:t>1603</w:t>
            </w:r>
          </w:p>
        </w:tc>
        <w:tc>
          <w:tcPr>
            <w:tcW w:w="16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CCC8E20" w14:textId="77777777" w:rsidR="00752298" w:rsidRPr="002B0776" w:rsidRDefault="00752298" w:rsidP="00F24D7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B0776">
              <w:rPr>
                <w:rFonts w:ascii="Times New Roman" w:hAnsi="Times New Roman"/>
                <w:b/>
                <w:bCs/>
                <w:kern w:val="0"/>
                <w:sz w:val="22"/>
              </w:rPr>
              <w:t>1915</w:t>
            </w:r>
          </w:p>
        </w:tc>
        <w:tc>
          <w:tcPr>
            <w:tcW w:w="15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E755A09" w14:textId="77777777" w:rsidR="00752298" w:rsidRPr="002B0776" w:rsidRDefault="00752298" w:rsidP="00F24D7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B0776">
              <w:rPr>
                <w:rFonts w:ascii="Times New Roman" w:hAnsi="Times New Roman"/>
                <w:b/>
                <w:bCs/>
                <w:kern w:val="0"/>
                <w:sz w:val="22"/>
              </w:rPr>
              <w:t>2292</w:t>
            </w:r>
          </w:p>
        </w:tc>
        <w:tc>
          <w:tcPr>
            <w:tcW w:w="16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70BE137" w14:textId="77777777" w:rsidR="00752298" w:rsidRPr="002B0776" w:rsidRDefault="00752298" w:rsidP="00F24D7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B0776">
              <w:rPr>
                <w:rFonts w:ascii="Times New Roman" w:hAnsi="Times New Roman"/>
                <w:b/>
                <w:bCs/>
                <w:kern w:val="0"/>
                <w:sz w:val="22"/>
              </w:rPr>
              <w:t>2405</w:t>
            </w:r>
          </w:p>
        </w:tc>
        <w:tc>
          <w:tcPr>
            <w:tcW w:w="16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DCBBB91" w14:textId="77777777" w:rsidR="00752298" w:rsidRPr="002B0776" w:rsidRDefault="00752298" w:rsidP="00F24D7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B0776">
              <w:rPr>
                <w:rFonts w:ascii="Times New Roman" w:hAnsi="Times New Roman"/>
                <w:b/>
                <w:bCs/>
                <w:kern w:val="0"/>
                <w:sz w:val="22"/>
              </w:rPr>
              <w:t>2600</w:t>
            </w:r>
          </w:p>
        </w:tc>
        <w:tc>
          <w:tcPr>
            <w:tcW w:w="795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BE7998B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EFA4AAE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kern w:val="0"/>
                <w:sz w:val="22"/>
              </w:rPr>
            </w:pPr>
          </w:p>
        </w:tc>
      </w:tr>
      <w:tr w:rsidR="002B0776" w:rsidRPr="002B0776" w14:paraId="3956A699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E2872AF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2B0776">
              <w:rPr>
                <w:rFonts w:ascii="Times New Roman" w:hAnsi="Times New Roman"/>
                <w:i/>
                <w:iCs/>
                <w:kern w:val="0"/>
                <w:sz w:val="22"/>
              </w:rPr>
              <w:t>Glom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0C47026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B0F5411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6191074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97.36</w:t>
            </w:r>
            <w:r w:rsidRPr="002B0776">
              <w:rPr>
                <w:rFonts w:ascii="Times New Roman" w:hAnsi="Times New Roman" w:hint="eastAsia"/>
                <w:sz w:val="22"/>
              </w:rPr>
              <w:t>±</w:t>
            </w:r>
            <w:r w:rsidRPr="002B0776">
              <w:rPr>
                <w:rFonts w:ascii="Times New Roman" w:hAnsi="Times New Roman"/>
                <w:sz w:val="22"/>
              </w:rPr>
              <w:t>0.45BC</w:t>
            </w:r>
          </w:p>
        </w:tc>
        <w:tc>
          <w:tcPr>
            <w:tcW w:w="156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A990AC8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95.93</w:t>
            </w:r>
            <w:r w:rsidRPr="002B0776">
              <w:rPr>
                <w:rFonts w:ascii="Times New Roman" w:hAnsi="Times New Roman" w:hint="eastAsia"/>
                <w:sz w:val="22"/>
              </w:rPr>
              <w:t>±</w:t>
            </w:r>
            <w:r w:rsidRPr="002B0776">
              <w:rPr>
                <w:rFonts w:ascii="Times New Roman" w:hAnsi="Times New Roman"/>
                <w:sz w:val="22"/>
              </w:rPr>
              <w:t>0.6C</w:t>
            </w:r>
          </w:p>
        </w:tc>
        <w:tc>
          <w:tcPr>
            <w:tcW w:w="161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C3F6FEC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96.29</w:t>
            </w:r>
            <w:r w:rsidRPr="002B0776">
              <w:rPr>
                <w:rFonts w:ascii="Times New Roman" w:hAnsi="Times New Roman" w:hint="eastAsia"/>
                <w:sz w:val="22"/>
              </w:rPr>
              <w:t>±</w:t>
            </w:r>
            <w:r w:rsidRPr="002B0776">
              <w:rPr>
                <w:rFonts w:ascii="Times New Roman" w:hAnsi="Times New Roman"/>
                <w:sz w:val="22"/>
              </w:rPr>
              <w:t>1.07C</w:t>
            </w:r>
          </w:p>
        </w:tc>
        <w:tc>
          <w:tcPr>
            <w:tcW w:w="155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8B5A5B2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99.45</w:t>
            </w:r>
            <w:r w:rsidRPr="002B0776">
              <w:rPr>
                <w:rFonts w:ascii="Times New Roman" w:hAnsi="Times New Roman" w:hint="eastAsia"/>
                <w:sz w:val="22"/>
              </w:rPr>
              <w:t>±</w:t>
            </w:r>
            <w:r w:rsidRPr="002B0776">
              <w:rPr>
                <w:rFonts w:ascii="Times New Roman" w:hAnsi="Times New Roman"/>
                <w:sz w:val="22"/>
              </w:rPr>
              <w:t>0.19A</w:t>
            </w:r>
          </w:p>
        </w:tc>
        <w:tc>
          <w:tcPr>
            <w:tcW w:w="165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BA28C55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98.47</w:t>
            </w:r>
            <w:r w:rsidRPr="002B0776">
              <w:rPr>
                <w:rFonts w:ascii="Times New Roman" w:hAnsi="Times New Roman" w:hint="eastAsia"/>
                <w:sz w:val="22"/>
              </w:rPr>
              <w:t>±</w:t>
            </w:r>
            <w:r w:rsidRPr="002B0776">
              <w:rPr>
                <w:rFonts w:ascii="Times New Roman" w:hAnsi="Times New Roman"/>
                <w:sz w:val="22"/>
              </w:rPr>
              <w:t>0.39AB</w:t>
            </w:r>
          </w:p>
        </w:tc>
        <w:tc>
          <w:tcPr>
            <w:tcW w:w="162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5EE7D95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98.68</w:t>
            </w:r>
            <w:r w:rsidRPr="002B0776">
              <w:rPr>
                <w:rFonts w:ascii="Times New Roman" w:hAnsi="Times New Roman" w:hint="eastAsia"/>
                <w:sz w:val="22"/>
              </w:rPr>
              <w:t>±</w:t>
            </w:r>
            <w:r w:rsidRPr="002B0776">
              <w:rPr>
                <w:rFonts w:ascii="Times New Roman" w:hAnsi="Times New Roman"/>
                <w:sz w:val="22"/>
              </w:rPr>
              <w:t>0.58AB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9549BC4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B0776">
              <w:rPr>
                <w:rFonts w:ascii="Times New Roman" w:hAnsi="Times New Roman"/>
                <w:kern w:val="0"/>
                <w:sz w:val="22"/>
              </w:rPr>
              <w:t>15.99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DE8717D" w14:textId="77777777" w:rsidR="00752298" w:rsidRPr="002B0776" w:rsidRDefault="00752298" w:rsidP="00B42309">
            <w:pPr>
              <w:widowControl/>
              <w:rPr>
                <w:rFonts w:ascii="Times New Roman" w:hAnsi="Times New Roman"/>
                <w:b/>
                <w:kern w:val="0"/>
                <w:sz w:val="22"/>
              </w:rPr>
            </w:pPr>
            <w:r w:rsidRPr="002B0776">
              <w:rPr>
                <w:rFonts w:ascii="Times New Roman" w:hAnsi="Times New Roman"/>
                <w:b/>
                <w:kern w:val="0"/>
                <w:sz w:val="22"/>
              </w:rPr>
              <w:t>&lt;0.001</w:t>
            </w:r>
          </w:p>
        </w:tc>
      </w:tr>
      <w:tr w:rsidR="002B0776" w:rsidRPr="002B0776" w14:paraId="50ADBDB7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1FB6C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572EC9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2B0776">
              <w:rPr>
                <w:rFonts w:ascii="Times New Roman" w:hAnsi="Times New Roman"/>
                <w:i/>
                <w:iCs/>
                <w:kern w:val="0"/>
                <w:sz w:val="22"/>
              </w:rPr>
              <w:t>Para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AA929D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C7505A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84.82</w:t>
            </w:r>
            <w:r w:rsidRPr="002B0776">
              <w:rPr>
                <w:rFonts w:ascii="Times New Roman" w:hAnsi="Times New Roman" w:hint="eastAsia"/>
                <w:sz w:val="22"/>
              </w:rPr>
              <w:t>±</w:t>
            </w:r>
            <w:r w:rsidRPr="002B0776">
              <w:rPr>
                <w:rFonts w:ascii="Times New Roman" w:hAnsi="Times New Roman"/>
                <w:sz w:val="22"/>
              </w:rPr>
              <w:t>2.5AB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6252D5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74.33</w:t>
            </w:r>
            <w:r w:rsidRPr="002B0776">
              <w:rPr>
                <w:rFonts w:ascii="Times New Roman" w:hAnsi="Times New Roman" w:hint="eastAsia"/>
                <w:sz w:val="22"/>
              </w:rPr>
              <w:t>±</w:t>
            </w:r>
            <w:r w:rsidRPr="002B0776">
              <w:rPr>
                <w:rFonts w:ascii="Times New Roman" w:hAnsi="Times New Roman"/>
                <w:sz w:val="22"/>
              </w:rPr>
              <w:t>2.52B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106974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50.64</w:t>
            </w:r>
            <w:r w:rsidRPr="002B0776">
              <w:rPr>
                <w:rFonts w:ascii="Times New Roman" w:hAnsi="Times New Roman" w:hint="eastAsia"/>
                <w:sz w:val="22"/>
              </w:rPr>
              <w:t>±</w:t>
            </w:r>
            <w:r w:rsidRPr="002B0776">
              <w:rPr>
                <w:rFonts w:ascii="Times New Roman" w:hAnsi="Times New Roman"/>
                <w:sz w:val="22"/>
              </w:rPr>
              <w:t>5.48C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AA6A33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92.32</w:t>
            </w:r>
            <w:r w:rsidRPr="002B0776">
              <w:rPr>
                <w:rFonts w:ascii="Times New Roman" w:hAnsi="Times New Roman" w:hint="eastAsia"/>
                <w:sz w:val="22"/>
              </w:rPr>
              <w:t>±</w:t>
            </w:r>
            <w:r w:rsidRPr="002B0776">
              <w:rPr>
                <w:rFonts w:ascii="Times New Roman" w:hAnsi="Times New Roman"/>
                <w:sz w:val="22"/>
              </w:rPr>
              <w:t>1.96A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B8ED56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80.6</w:t>
            </w:r>
            <w:r w:rsidRPr="002B0776">
              <w:rPr>
                <w:rFonts w:ascii="Times New Roman" w:hAnsi="Times New Roman" w:hint="eastAsia"/>
                <w:sz w:val="22"/>
              </w:rPr>
              <w:t>±</w:t>
            </w:r>
            <w:r w:rsidRPr="002B0776">
              <w:rPr>
                <w:rFonts w:ascii="Times New Roman" w:hAnsi="Times New Roman"/>
                <w:sz w:val="22"/>
              </w:rPr>
              <w:t>2.81B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75C8AC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82.18</w:t>
            </w:r>
            <w:r w:rsidRPr="002B0776">
              <w:rPr>
                <w:rFonts w:ascii="Times New Roman" w:hAnsi="Times New Roman" w:hint="eastAsia"/>
                <w:sz w:val="22"/>
              </w:rPr>
              <w:t>±</w:t>
            </w:r>
            <w:r w:rsidRPr="002B0776">
              <w:rPr>
                <w:rFonts w:ascii="Times New Roman" w:hAnsi="Times New Roman"/>
                <w:sz w:val="22"/>
              </w:rPr>
              <w:t>3.24B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A02C73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B0776">
              <w:rPr>
                <w:rFonts w:ascii="Times New Roman" w:hAnsi="Times New Roman"/>
                <w:kern w:val="0"/>
                <w:sz w:val="22"/>
              </w:rPr>
              <w:t>57.56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619F0" w14:textId="77777777" w:rsidR="00752298" w:rsidRPr="002B0776" w:rsidRDefault="00752298" w:rsidP="00B42309">
            <w:pPr>
              <w:widowControl/>
              <w:rPr>
                <w:rFonts w:ascii="Times New Roman" w:hAnsi="Times New Roman"/>
                <w:b/>
                <w:kern w:val="0"/>
                <w:sz w:val="22"/>
              </w:rPr>
            </w:pPr>
            <w:r w:rsidRPr="002B0776">
              <w:rPr>
                <w:rFonts w:ascii="Times New Roman" w:hAnsi="Times New Roman"/>
                <w:b/>
                <w:kern w:val="0"/>
                <w:sz w:val="22"/>
              </w:rPr>
              <w:t>&lt;0.001</w:t>
            </w:r>
          </w:p>
        </w:tc>
      </w:tr>
      <w:tr w:rsidR="002B0776" w:rsidRPr="002B0776" w14:paraId="1700FB8C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53F1CB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6FCA32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ACA4A6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2B0776">
              <w:rPr>
                <w:rFonts w:ascii="Times New Roman" w:hAnsi="Times New Roman"/>
                <w:i/>
                <w:iCs/>
                <w:kern w:val="0"/>
                <w:sz w:val="22"/>
              </w:rPr>
              <w:t>Para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354EE4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84.82</w:t>
            </w:r>
            <w:r w:rsidRPr="002B0776">
              <w:rPr>
                <w:rFonts w:ascii="Times New Roman" w:hAnsi="Times New Roman" w:hint="eastAsia"/>
                <w:sz w:val="22"/>
              </w:rPr>
              <w:t>±</w:t>
            </w:r>
            <w:r w:rsidRPr="002B0776">
              <w:rPr>
                <w:rFonts w:ascii="Times New Roman" w:hAnsi="Times New Roman"/>
                <w:sz w:val="22"/>
              </w:rPr>
              <w:t>2.5AB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2071D2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74.33</w:t>
            </w:r>
            <w:r w:rsidRPr="002B0776">
              <w:rPr>
                <w:rFonts w:ascii="Times New Roman" w:hAnsi="Times New Roman" w:hint="eastAsia"/>
                <w:sz w:val="22"/>
              </w:rPr>
              <w:t>±</w:t>
            </w:r>
            <w:r w:rsidRPr="002B0776">
              <w:rPr>
                <w:rFonts w:ascii="Times New Roman" w:hAnsi="Times New Roman"/>
                <w:sz w:val="22"/>
              </w:rPr>
              <w:t>2.52B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BB5BD5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50.64</w:t>
            </w:r>
            <w:r w:rsidRPr="002B0776">
              <w:rPr>
                <w:rFonts w:ascii="Times New Roman" w:hAnsi="Times New Roman" w:hint="eastAsia"/>
                <w:sz w:val="22"/>
              </w:rPr>
              <w:t>±</w:t>
            </w:r>
            <w:r w:rsidRPr="002B0776">
              <w:rPr>
                <w:rFonts w:ascii="Times New Roman" w:hAnsi="Times New Roman"/>
                <w:sz w:val="22"/>
              </w:rPr>
              <w:t>5.48C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BECC5B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92.32</w:t>
            </w:r>
            <w:r w:rsidRPr="002B0776">
              <w:rPr>
                <w:rFonts w:ascii="Times New Roman" w:hAnsi="Times New Roman" w:hint="eastAsia"/>
                <w:sz w:val="22"/>
              </w:rPr>
              <w:t>±</w:t>
            </w:r>
            <w:r w:rsidRPr="002B0776">
              <w:rPr>
                <w:rFonts w:ascii="Times New Roman" w:hAnsi="Times New Roman"/>
                <w:sz w:val="22"/>
              </w:rPr>
              <w:t>1.96A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B26799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80.6</w:t>
            </w:r>
            <w:r w:rsidRPr="002B0776">
              <w:rPr>
                <w:rFonts w:ascii="Times New Roman" w:hAnsi="Times New Roman" w:hint="eastAsia"/>
                <w:sz w:val="22"/>
              </w:rPr>
              <w:t>±</w:t>
            </w:r>
            <w:r w:rsidRPr="002B0776">
              <w:rPr>
                <w:rFonts w:ascii="Times New Roman" w:hAnsi="Times New Roman"/>
                <w:sz w:val="22"/>
              </w:rPr>
              <w:t>2.81B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3D1652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82.18</w:t>
            </w:r>
            <w:r w:rsidRPr="002B0776">
              <w:rPr>
                <w:rFonts w:ascii="Times New Roman" w:hAnsi="Times New Roman" w:hint="eastAsia"/>
                <w:sz w:val="22"/>
              </w:rPr>
              <w:t>±</w:t>
            </w:r>
            <w:r w:rsidRPr="002B0776">
              <w:rPr>
                <w:rFonts w:ascii="Times New Roman" w:hAnsi="Times New Roman"/>
                <w:sz w:val="22"/>
              </w:rPr>
              <w:t>3.24B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E3B67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B0776">
              <w:rPr>
                <w:rFonts w:ascii="Times New Roman" w:hAnsi="Times New Roman"/>
                <w:kern w:val="0"/>
                <w:sz w:val="22"/>
              </w:rPr>
              <w:t>57.56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89C2BF" w14:textId="77777777" w:rsidR="00752298" w:rsidRPr="002B0776" w:rsidRDefault="00752298" w:rsidP="00B42309">
            <w:pPr>
              <w:widowControl/>
              <w:rPr>
                <w:rFonts w:ascii="Times New Roman" w:hAnsi="Times New Roman"/>
                <w:b/>
                <w:kern w:val="0"/>
                <w:sz w:val="22"/>
              </w:rPr>
            </w:pPr>
            <w:r w:rsidRPr="002B0776">
              <w:rPr>
                <w:rFonts w:ascii="Times New Roman" w:hAnsi="Times New Roman"/>
                <w:b/>
                <w:kern w:val="0"/>
                <w:sz w:val="22"/>
              </w:rPr>
              <w:t>&lt;0.001</w:t>
            </w:r>
          </w:p>
        </w:tc>
      </w:tr>
      <w:tr w:rsidR="002B0776" w:rsidRPr="002B0776" w14:paraId="008CB0F1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EDB64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F34148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2B0776">
              <w:rPr>
                <w:rFonts w:ascii="Times New Roman" w:hAnsi="Times New Roman"/>
                <w:i/>
                <w:iCs/>
                <w:kern w:val="0"/>
                <w:sz w:val="22"/>
              </w:rPr>
              <w:t>Glom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C123E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F49903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10.72</w:t>
            </w:r>
            <w:r w:rsidRPr="002B0776">
              <w:rPr>
                <w:rFonts w:ascii="Times New Roman" w:hAnsi="Times New Roman" w:hint="eastAsia"/>
                <w:sz w:val="22"/>
              </w:rPr>
              <w:t>±</w:t>
            </w:r>
            <w:r w:rsidRPr="002B0776">
              <w:rPr>
                <w:rFonts w:ascii="Times New Roman" w:hAnsi="Times New Roman"/>
                <w:sz w:val="22"/>
              </w:rPr>
              <w:t>2.34C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9EBC51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19.95</w:t>
            </w:r>
            <w:r w:rsidRPr="002B0776">
              <w:rPr>
                <w:rFonts w:ascii="Times New Roman" w:hAnsi="Times New Roman" w:hint="eastAsia"/>
                <w:sz w:val="22"/>
              </w:rPr>
              <w:t>±</w:t>
            </w:r>
            <w:r w:rsidRPr="002B0776">
              <w:rPr>
                <w:rFonts w:ascii="Times New Roman" w:hAnsi="Times New Roman"/>
                <w:sz w:val="22"/>
              </w:rPr>
              <w:t>1.87B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AB3A0E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43.09</w:t>
            </w:r>
            <w:r w:rsidRPr="002B0776">
              <w:rPr>
                <w:rFonts w:ascii="Times New Roman" w:hAnsi="Times New Roman" w:hint="eastAsia"/>
                <w:sz w:val="22"/>
              </w:rPr>
              <w:t>±</w:t>
            </w:r>
            <w:r w:rsidRPr="002B0776">
              <w:rPr>
                <w:rFonts w:ascii="Times New Roman" w:hAnsi="Times New Roman"/>
                <w:sz w:val="22"/>
              </w:rPr>
              <w:t>5.09A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DF01A0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3.57</w:t>
            </w:r>
            <w:r w:rsidRPr="002B0776">
              <w:rPr>
                <w:rFonts w:ascii="Times New Roman" w:hAnsi="Times New Roman" w:hint="eastAsia"/>
                <w:sz w:val="22"/>
              </w:rPr>
              <w:t>±</w:t>
            </w:r>
            <w:r w:rsidRPr="002B0776">
              <w:rPr>
                <w:rFonts w:ascii="Times New Roman" w:hAnsi="Times New Roman"/>
                <w:sz w:val="22"/>
              </w:rPr>
              <w:t>1.39D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4E4F75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14.7</w:t>
            </w:r>
            <w:r w:rsidRPr="002B0776">
              <w:rPr>
                <w:rFonts w:ascii="Times New Roman" w:hAnsi="Times New Roman" w:hint="eastAsia"/>
                <w:sz w:val="22"/>
              </w:rPr>
              <w:t>±</w:t>
            </w:r>
            <w:r w:rsidRPr="002B0776">
              <w:rPr>
                <w:rFonts w:ascii="Times New Roman" w:hAnsi="Times New Roman"/>
                <w:sz w:val="22"/>
              </w:rPr>
              <w:t>2.69BC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4B30EA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15.13</w:t>
            </w:r>
            <w:r w:rsidRPr="002B0776">
              <w:rPr>
                <w:rFonts w:ascii="Times New Roman" w:hAnsi="Times New Roman" w:hint="eastAsia"/>
                <w:sz w:val="22"/>
              </w:rPr>
              <w:t>±</w:t>
            </w:r>
            <w:r w:rsidRPr="002B0776">
              <w:rPr>
                <w:rFonts w:ascii="Times New Roman" w:hAnsi="Times New Roman"/>
                <w:sz w:val="22"/>
              </w:rPr>
              <w:t>2.51BC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A0730D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B0776">
              <w:rPr>
                <w:rFonts w:ascii="Times New Roman" w:hAnsi="Times New Roman"/>
                <w:kern w:val="0"/>
                <w:sz w:val="22"/>
              </w:rPr>
              <w:t>65.32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6A7EBC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2B0776">
              <w:rPr>
                <w:rFonts w:ascii="Times New Roman" w:hAnsi="Times New Roman"/>
                <w:b/>
                <w:kern w:val="0"/>
                <w:sz w:val="22"/>
              </w:rPr>
              <w:t>&lt;0.001</w:t>
            </w:r>
          </w:p>
        </w:tc>
      </w:tr>
      <w:tr w:rsidR="002B0776" w:rsidRPr="002B0776" w14:paraId="07A70F7F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306CBB55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65B850B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100BE22F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2B0776">
              <w:rPr>
                <w:rFonts w:ascii="Times New Roman" w:hAnsi="Times New Roman"/>
                <w:i/>
                <w:iCs/>
                <w:kern w:val="0"/>
                <w:sz w:val="22"/>
              </w:rPr>
              <w:t>Glom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32F0E584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10.6±2.35C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5EA1B485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19.51±1.86B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7C973BAA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42.23±5.31A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50D8D16F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3.45±1.38D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28E75FB9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13.9±2.41BC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4F501239" w14:textId="77777777" w:rsidR="00752298" w:rsidRPr="002B0776" w:rsidRDefault="00752298" w:rsidP="00B42309">
            <w:pPr>
              <w:rPr>
                <w:rFonts w:ascii="Times New Roman" w:hAnsi="Times New Roman"/>
                <w:sz w:val="22"/>
              </w:rPr>
            </w:pPr>
            <w:r w:rsidRPr="002B0776">
              <w:rPr>
                <w:rFonts w:ascii="Times New Roman" w:hAnsi="Times New Roman"/>
                <w:sz w:val="22"/>
              </w:rPr>
              <w:t>13.95±2.64BC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4DD802A0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B0776">
              <w:rPr>
                <w:rFonts w:ascii="Times New Roman" w:hAnsi="Times New Roman"/>
                <w:kern w:val="0"/>
                <w:sz w:val="22"/>
              </w:rPr>
              <w:t>61.42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2E99FDE" w14:textId="77777777" w:rsidR="00752298" w:rsidRPr="002B0776" w:rsidRDefault="00752298" w:rsidP="00B423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2B0776">
              <w:rPr>
                <w:rFonts w:ascii="Times New Roman" w:hAnsi="Times New Roman"/>
                <w:b/>
                <w:kern w:val="0"/>
                <w:sz w:val="22"/>
              </w:rPr>
              <w:t>&lt;0.001</w:t>
            </w:r>
          </w:p>
        </w:tc>
      </w:tr>
    </w:tbl>
    <w:p w14:paraId="2F0A3AC1" w14:textId="77777777" w:rsidR="00412375" w:rsidRPr="002B0776" w:rsidRDefault="00412375" w:rsidP="00412375">
      <w:pPr>
        <w:ind w:left="211" w:hangingChars="100" w:hanging="211"/>
        <w:rPr>
          <w:rFonts w:ascii="Times New Roman" w:hAnsi="Times New Roman"/>
          <w:bCs/>
          <w:szCs w:val="18"/>
          <w:u w:val="single"/>
        </w:rPr>
      </w:pPr>
      <w:r w:rsidRPr="002B0776">
        <w:rPr>
          <w:rFonts w:ascii="Times New Roman" w:hAnsi="Times New Roman"/>
          <w:b/>
          <w:bCs/>
          <w:szCs w:val="18"/>
          <w:u w:val="single"/>
        </w:rPr>
        <w:t>Phyla level:</w:t>
      </w:r>
      <w:r w:rsidRPr="002B0776">
        <w:rPr>
          <w:rFonts w:ascii="Times New Roman" w:hAnsi="Times New Roman"/>
          <w:bCs/>
          <w:szCs w:val="18"/>
          <w:u w:val="single"/>
        </w:rPr>
        <w:t xml:space="preserve"> </w:t>
      </w:r>
      <w:proofErr w:type="spellStart"/>
      <w:r w:rsidRPr="002B0776">
        <w:rPr>
          <w:rFonts w:ascii="Times New Roman" w:hAnsi="Times New Roman"/>
          <w:bCs/>
          <w:i/>
          <w:szCs w:val="18"/>
        </w:rPr>
        <w:t>Glomeromycota</w:t>
      </w:r>
      <w:proofErr w:type="spellEnd"/>
      <w:r w:rsidRPr="002B0776">
        <w:rPr>
          <w:rFonts w:ascii="Times New Roman" w:hAnsi="Times New Roman"/>
          <w:bCs/>
          <w:i/>
          <w:szCs w:val="18"/>
        </w:rPr>
        <w:t xml:space="preserve"> (Glom).</w:t>
      </w:r>
    </w:p>
    <w:p w14:paraId="367CB9C2" w14:textId="77777777" w:rsidR="00412375" w:rsidRPr="002B0776" w:rsidRDefault="00412375" w:rsidP="00443301">
      <w:pPr>
        <w:rPr>
          <w:rFonts w:ascii="Times New Roman" w:hAnsi="Times New Roman"/>
          <w:bCs/>
          <w:szCs w:val="18"/>
          <w:lang w:val="pt-BR"/>
        </w:rPr>
      </w:pPr>
      <w:r w:rsidRPr="002B0776">
        <w:rPr>
          <w:rFonts w:ascii="Times New Roman" w:hAnsi="Times New Roman"/>
          <w:b/>
          <w:bCs/>
          <w:szCs w:val="18"/>
          <w:u w:val="single"/>
          <w:lang w:val="pt-BR"/>
        </w:rPr>
        <w:t>Class level</w:t>
      </w:r>
      <w:r w:rsidRPr="002B0776">
        <w:rPr>
          <w:rFonts w:ascii="Times New Roman" w:hAnsi="Times New Roman"/>
          <w:bCs/>
          <w:szCs w:val="18"/>
          <w:lang w:val="pt-BR"/>
        </w:rPr>
        <w:t xml:space="preserve">: </w:t>
      </w:r>
      <w:r w:rsidRPr="002B0776">
        <w:rPr>
          <w:rFonts w:ascii="Times New Roman" w:hAnsi="Times New Roman"/>
          <w:bCs/>
          <w:i/>
          <w:szCs w:val="18"/>
          <w:lang w:val="pt-BR"/>
        </w:rPr>
        <w:t>Paraglomeromycetes (Para), Glomeromycetes (Glom).</w:t>
      </w:r>
    </w:p>
    <w:p w14:paraId="69EF116E" w14:textId="77777777" w:rsidR="00412375" w:rsidRPr="002B0776" w:rsidRDefault="00412375" w:rsidP="00443301">
      <w:pPr>
        <w:rPr>
          <w:rFonts w:ascii="Times New Roman" w:hAnsi="Times New Roman"/>
          <w:bCs/>
          <w:i/>
          <w:szCs w:val="18"/>
          <w:lang w:val="pt-BR"/>
        </w:rPr>
      </w:pPr>
      <w:r w:rsidRPr="002B0776">
        <w:rPr>
          <w:rFonts w:ascii="Times New Roman" w:hAnsi="Times New Roman"/>
          <w:b/>
          <w:bCs/>
          <w:i/>
          <w:szCs w:val="18"/>
          <w:u w:val="single"/>
          <w:lang w:val="pt-BR"/>
        </w:rPr>
        <w:t>Order Level</w:t>
      </w:r>
      <w:r w:rsidRPr="002B0776">
        <w:rPr>
          <w:rFonts w:ascii="Times New Roman" w:hAnsi="Times New Roman"/>
          <w:bCs/>
          <w:i/>
          <w:szCs w:val="18"/>
          <w:lang w:val="pt-BR"/>
        </w:rPr>
        <w:t xml:space="preserve">: Paraglomerales (Para), Glomerales (Glom). </w:t>
      </w:r>
    </w:p>
    <w:p w14:paraId="137C8D85" w14:textId="77777777" w:rsidR="00412375" w:rsidRPr="002B0776" w:rsidRDefault="00412375" w:rsidP="00443301">
      <w:pPr>
        <w:rPr>
          <w:lang w:val="pt-BR"/>
        </w:rPr>
      </w:pPr>
    </w:p>
    <w:p w14:paraId="2C4DD1A7" w14:textId="77777777" w:rsidR="00412375" w:rsidRPr="002B0776" w:rsidRDefault="00412375">
      <w:pPr>
        <w:rPr>
          <w:lang w:val="pt-BR"/>
        </w:rPr>
      </w:pPr>
    </w:p>
    <w:sectPr w:rsidR="00412375" w:rsidRPr="002B0776" w:rsidSect="004433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01319" w14:textId="77777777" w:rsidR="004A3244" w:rsidRDefault="004A3244" w:rsidP="00443301">
      <w:r>
        <w:separator/>
      </w:r>
    </w:p>
  </w:endnote>
  <w:endnote w:type="continuationSeparator" w:id="0">
    <w:p w14:paraId="2ACC3EB2" w14:textId="77777777" w:rsidR="004A3244" w:rsidRDefault="004A3244" w:rsidP="0044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651EA" w14:textId="77777777" w:rsidR="004A3244" w:rsidRDefault="004A3244" w:rsidP="00443301">
      <w:r>
        <w:separator/>
      </w:r>
    </w:p>
  </w:footnote>
  <w:footnote w:type="continuationSeparator" w:id="0">
    <w:p w14:paraId="7D4433B7" w14:textId="77777777" w:rsidR="004A3244" w:rsidRDefault="004A3244" w:rsidP="0044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237"/>
    <w:rsid w:val="00030DCF"/>
    <w:rsid w:val="00044B92"/>
    <w:rsid w:val="00062484"/>
    <w:rsid w:val="00062A2D"/>
    <w:rsid w:val="00121E21"/>
    <w:rsid w:val="00122EAD"/>
    <w:rsid w:val="00164B26"/>
    <w:rsid w:val="002B0776"/>
    <w:rsid w:val="002F4CC3"/>
    <w:rsid w:val="00344E22"/>
    <w:rsid w:val="003A7239"/>
    <w:rsid w:val="00412375"/>
    <w:rsid w:val="00443301"/>
    <w:rsid w:val="00450150"/>
    <w:rsid w:val="004A3244"/>
    <w:rsid w:val="00505B76"/>
    <w:rsid w:val="006232DF"/>
    <w:rsid w:val="006646E2"/>
    <w:rsid w:val="006C6165"/>
    <w:rsid w:val="00752298"/>
    <w:rsid w:val="007D07FF"/>
    <w:rsid w:val="008A6A90"/>
    <w:rsid w:val="008A761E"/>
    <w:rsid w:val="008B6013"/>
    <w:rsid w:val="00A15DA9"/>
    <w:rsid w:val="00A5453E"/>
    <w:rsid w:val="00AB77C8"/>
    <w:rsid w:val="00B42309"/>
    <w:rsid w:val="00BA1AEC"/>
    <w:rsid w:val="00BB08CD"/>
    <w:rsid w:val="00C04237"/>
    <w:rsid w:val="00C907F4"/>
    <w:rsid w:val="00C93A40"/>
    <w:rsid w:val="00D234FB"/>
    <w:rsid w:val="00F7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1DA92FD"/>
  <w15:docId w15:val="{2EF64AD6-B0B1-49A5-8557-79D94CE0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2D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3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44330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43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443301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4330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776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877</Characters>
  <Application>Microsoft Office Word</Application>
  <DocSecurity>0</DocSecurity>
  <Lines>7</Lines>
  <Paragraphs>2</Paragraphs>
  <ScaleCrop>false</ScaleCrop>
  <Company>Sky123.Org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Naimeng Liu</cp:lastModifiedBy>
  <cp:revision>19</cp:revision>
  <dcterms:created xsi:type="dcterms:W3CDTF">2019-08-16T08:36:00Z</dcterms:created>
  <dcterms:modified xsi:type="dcterms:W3CDTF">2020-08-12T08:32:00Z</dcterms:modified>
</cp:coreProperties>
</file>