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B3E4" w14:textId="77777777" w:rsidR="00E7797B" w:rsidRDefault="00E9329F">
      <w:pPr>
        <w:rPr>
          <w:rFonts w:eastAsia="SimSun"/>
          <w:b/>
          <w:color w:val="242021"/>
          <w:szCs w:val="21"/>
          <w:u w:color="FA5050"/>
          <w:lang w:eastAsia="zh-CN" w:bidi="ar"/>
        </w:rPr>
      </w:pPr>
      <w:r>
        <w:rPr>
          <w:rFonts w:eastAsia="SimSun" w:hint="eastAsia"/>
          <w:b/>
          <w:color w:val="242021"/>
          <w:szCs w:val="21"/>
          <w:u w:color="FA5050"/>
          <w:lang w:eastAsia="zh-CN" w:bidi="ar"/>
        </w:rPr>
        <w:t>SUPPLEMENTARY MATERIAL</w:t>
      </w:r>
    </w:p>
    <w:p w14:paraId="533B0C1E" w14:textId="77777777" w:rsidR="00E7797B" w:rsidRDefault="00E7797B">
      <w:pPr>
        <w:rPr>
          <w:rFonts w:eastAsia="SimSun"/>
          <w:b/>
          <w:color w:val="242021"/>
          <w:szCs w:val="21"/>
          <w:u w:color="FA5050"/>
          <w:lang w:eastAsia="zh-CN" w:bidi="ar"/>
        </w:rPr>
      </w:pPr>
    </w:p>
    <w:p w14:paraId="1B4CB005" w14:textId="77777777" w:rsidR="00E7797B" w:rsidRDefault="00E9329F">
      <w:pPr>
        <w:jc w:val="both"/>
        <w:rPr>
          <w:rFonts w:ascii="TimesNewRomanPSMT" w:hAnsi="TimesNewRomanPSMT"/>
          <w:color w:val="000000"/>
          <w:sz w:val="22"/>
        </w:rPr>
      </w:pPr>
      <w:r>
        <w:rPr>
          <w:rFonts w:eastAsia="DengXian" w:cs="Times New Roman" w:hint="eastAsia"/>
          <w:b/>
          <w:bCs/>
          <w:color w:val="231F20"/>
          <w:sz w:val="21"/>
          <w:szCs w:val="21"/>
        </w:rPr>
        <w:t>FIGURE</w:t>
      </w:r>
      <w:r>
        <w:rPr>
          <w:rFonts w:eastAsia="DengXian" w:cs="Times New Roman" w:hint="eastAsia"/>
          <w:b/>
          <w:bCs/>
          <w:color w:val="231F20"/>
          <w:sz w:val="21"/>
          <w:szCs w:val="21"/>
          <w:lang w:eastAsia="zh-CN"/>
        </w:rPr>
        <w:t xml:space="preserve"> </w:t>
      </w:r>
      <w:r>
        <w:rPr>
          <w:rFonts w:eastAsia="DengXian" w:cs="Times New Roman"/>
          <w:b/>
          <w:bCs/>
          <w:color w:val="231F20"/>
          <w:sz w:val="21"/>
          <w:szCs w:val="21"/>
          <w:lang w:eastAsia="zh-CN"/>
        </w:rPr>
        <w:t>S</w:t>
      </w:r>
      <w:r>
        <w:rPr>
          <w:rFonts w:eastAsia="DengXian" w:cs="Times New Roman" w:hint="eastAsia"/>
          <w:b/>
          <w:bCs/>
          <w:color w:val="231F20"/>
          <w:sz w:val="21"/>
          <w:szCs w:val="21"/>
        </w:rPr>
        <w:t>1</w:t>
      </w:r>
      <w:r>
        <w:rPr>
          <w:rFonts w:cs="Times New Roman" w:hint="eastAsia"/>
          <w:b/>
          <w:bCs/>
          <w:color w:val="231F20"/>
          <w:sz w:val="21"/>
          <w:szCs w:val="21"/>
          <w:lang w:eastAsia="zh-CN"/>
        </w:rPr>
        <w:t xml:space="preserve"> </w:t>
      </w:r>
      <w:r>
        <w:rPr>
          <w:rFonts w:eastAsia="DengXian" w:cs="Times New Roman" w:hint="eastAsia"/>
          <w:b/>
          <w:bCs/>
          <w:color w:val="231F20"/>
          <w:sz w:val="21"/>
          <w:szCs w:val="21"/>
        </w:rPr>
        <w:t>|</w:t>
      </w:r>
      <w:r>
        <w:rPr>
          <w:rFonts w:eastAsia="SimSun"/>
          <w:b/>
          <w:bCs/>
        </w:rPr>
        <w:t xml:space="preserve"> </w:t>
      </w:r>
      <w:bookmarkStart w:id="0" w:name="OLE_LINK2"/>
      <w:r>
        <w:rPr>
          <w:rFonts w:ascii="TimesNewRomanPSMT" w:hAnsi="TimesNewRomanPSMT" w:hint="eastAsia"/>
          <w:color w:val="000000"/>
          <w:sz w:val="22"/>
        </w:rPr>
        <w:t xml:space="preserve">The abundance ratio of 22 immune cells </w:t>
      </w:r>
      <w:bookmarkEnd w:id="0"/>
      <w:r>
        <w:rPr>
          <w:rFonts w:ascii="TimesNewRomanPSMT" w:hAnsi="TimesNewRomanPSMT" w:hint="eastAsia"/>
          <w:color w:val="000000"/>
          <w:sz w:val="22"/>
        </w:rPr>
        <w:t>in 48 TCGA-DLBCL patients.</w:t>
      </w:r>
    </w:p>
    <w:p w14:paraId="6809707A" w14:textId="77777777" w:rsidR="00E7797B" w:rsidRDefault="00E9329F">
      <w:pPr>
        <w:jc w:val="both"/>
        <w:rPr>
          <w:rFonts w:ascii="TimesNewRomanPSMT" w:hAnsi="TimesNewRomanPSMT"/>
          <w:color w:val="000000"/>
          <w:sz w:val="22"/>
        </w:rPr>
      </w:pPr>
      <w:r>
        <w:rPr>
          <w:rFonts w:eastAsia="Calibri" w:cs="Times New Roman"/>
          <w:b/>
          <w:color w:val="000000"/>
          <w:kern w:val="2"/>
          <w:sz w:val="21"/>
          <w:szCs w:val="21"/>
          <w:lang w:eastAsia="zh-CN" w:bidi="ar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b/>
          <w:bCs/>
          <w:color w:val="000000"/>
          <w:kern w:val="2"/>
          <w:sz w:val="21"/>
          <w:szCs w:val="21"/>
        </w:rPr>
        <w:t>1</w:t>
      </w:r>
      <w:r>
        <w:rPr>
          <w:rFonts w:eastAsia="Calibri" w:cs="Times New Roman"/>
          <w:b/>
          <w:color w:val="000000"/>
          <w:kern w:val="2"/>
          <w:sz w:val="21"/>
          <w:szCs w:val="21"/>
          <w:lang w:eastAsia="zh-CN" w:bidi="ar"/>
        </w:rPr>
        <w:t xml:space="preserve"> |</w:t>
      </w:r>
      <w:r>
        <w:rPr>
          <w:rFonts w:eastAsia="DengXian" w:cs="Times New Roman"/>
          <w:b/>
          <w:color w:val="000000"/>
          <w:kern w:val="2"/>
          <w:sz w:val="21"/>
          <w:szCs w:val="21"/>
          <w:lang w:eastAsia="zh-CN" w:bidi="ar"/>
        </w:rPr>
        <w:t xml:space="preserve"> </w:t>
      </w:r>
      <w:r>
        <w:rPr>
          <w:rFonts w:ascii="TimesNewRomanPSMT" w:hAnsi="TimesNewRomanPSMT" w:hint="eastAsia"/>
          <w:color w:val="000000"/>
          <w:sz w:val="22"/>
        </w:rPr>
        <w:t>29 overlapped genes in two independent DLBCL Gene Expression Omnibus (GEO) cohorts (GSE10846, 420 samples; GSE98588,137 samples)</w:t>
      </w:r>
      <w:r>
        <w:rPr>
          <w:rFonts w:ascii="TimesNewRomanPSMT" w:eastAsia="SimSun" w:hAnsi="TimesNewRomanPSMT" w:hint="eastAsia"/>
          <w:color w:val="000000"/>
          <w:sz w:val="22"/>
          <w:lang w:eastAsia="zh-CN"/>
        </w:rPr>
        <w:t>.</w:t>
      </w:r>
      <w:r>
        <w:rPr>
          <w:rFonts w:ascii="TimesNewRomanPSMT" w:hAnsi="TimesNewRomanPSMT" w:hint="eastAsia"/>
          <w:color w:val="000000"/>
          <w:sz w:val="22"/>
        </w:rPr>
        <w:t xml:space="preserve"> </w:t>
      </w:r>
    </w:p>
    <w:p w14:paraId="4D2CEF28" w14:textId="77777777" w:rsidR="00E7797B" w:rsidRDefault="00E9329F">
      <w:pPr>
        <w:pStyle w:val="NormalWeb"/>
        <w:spacing w:before="120" w:beforeAutospacing="0" w:after="240" w:afterAutospacing="0"/>
        <w:jc w:val="both"/>
        <w:rPr>
          <w:rFonts w:eastAsia="DengXian"/>
          <w:color w:val="000000"/>
          <w:kern w:val="2"/>
          <w:sz w:val="21"/>
          <w:szCs w:val="21"/>
          <w:lang w:eastAsia="zh-CN"/>
        </w:rPr>
      </w:pPr>
      <w:r>
        <w:rPr>
          <w:b/>
          <w:bCs/>
          <w:color w:val="000000"/>
          <w:kern w:val="2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2</w:t>
      </w:r>
      <w:r>
        <w:rPr>
          <w:b/>
          <w:bCs/>
          <w:color w:val="000000"/>
          <w:kern w:val="2"/>
          <w:sz w:val="21"/>
          <w:szCs w:val="21"/>
        </w:rPr>
        <w:t xml:space="preserve"> |</w:t>
      </w:r>
      <w:r>
        <w:rPr>
          <w:rFonts w:eastAsia="DengXian" w:hint="eastAsia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rFonts w:eastAsia="DengXian" w:hint="eastAsia"/>
          <w:color w:val="000000"/>
          <w:kern w:val="2"/>
          <w:sz w:val="21"/>
          <w:szCs w:val="21"/>
          <w:lang w:eastAsia="zh-CN"/>
        </w:rPr>
        <w:t>Patients</w:t>
      </w:r>
      <w:r>
        <w:rPr>
          <w:color w:val="000000"/>
          <w:kern w:val="2"/>
          <w:sz w:val="21"/>
          <w:szCs w:val="21"/>
          <w:lang w:eastAsia="zh-CN"/>
        </w:rPr>
        <w:t>’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rFonts w:eastAsia="DengXian" w:hint="eastAsia"/>
          <w:color w:val="000000"/>
          <w:kern w:val="2"/>
          <w:sz w:val="21"/>
          <w:szCs w:val="21"/>
          <w:lang w:eastAsia="zh-CN"/>
        </w:rPr>
        <w:t>characteristics in the cohort of 48 TCGA-DLBCL patients according to MMP14 expression level.</w:t>
      </w:r>
    </w:p>
    <w:p w14:paraId="4FDFAE84" w14:textId="77777777" w:rsidR="00E7797B" w:rsidRDefault="00E9329F">
      <w:pPr>
        <w:pStyle w:val="NormalWeb"/>
        <w:spacing w:before="120" w:beforeAutospacing="0" w:after="240" w:afterAutospacing="0"/>
        <w:jc w:val="both"/>
        <w:rPr>
          <w:rFonts w:eastAsia="DengXian"/>
          <w:color w:val="000000"/>
          <w:kern w:val="2"/>
          <w:sz w:val="21"/>
          <w:szCs w:val="21"/>
          <w:lang w:eastAsia="zh-CN"/>
        </w:rPr>
      </w:pPr>
      <w:r>
        <w:rPr>
          <w:rFonts w:eastAsia="Calibri"/>
          <w:b/>
          <w:color w:val="000000"/>
          <w:kern w:val="2"/>
          <w:sz w:val="21"/>
          <w:szCs w:val="21"/>
          <w:lang w:eastAsia="zh-CN" w:bidi="ar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3</w:t>
      </w:r>
      <w:r>
        <w:rPr>
          <w:rFonts w:eastAsia="Calibri"/>
          <w:b/>
          <w:color w:val="000000"/>
          <w:kern w:val="2"/>
          <w:sz w:val="21"/>
          <w:szCs w:val="21"/>
          <w:lang w:eastAsia="zh-CN" w:bidi="ar"/>
        </w:rPr>
        <w:t xml:space="preserve"> |</w:t>
      </w:r>
      <w:r>
        <w:rPr>
          <w:rFonts w:eastAsia="DengXian"/>
          <w:b/>
          <w:color w:val="000000"/>
          <w:kern w:val="2"/>
          <w:sz w:val="21"/>
          <w:szCs w:val="21"/>
          <w:lang w:eastAsia="zh-CN" w:bidi="ar"/>
        </w:rPr>
        <w:t xml:space="preserve"> </w:t>
      </w:r>
      <w:r>
        <w:rPr>
          <w:rFonts w:eastAsia="DengXian"/>
          <w:color w:val="000000"/>
          <w:kern w:val="2"/>
          <w:sz w:val="21"/>
          <w:szCs w:val="21"/>
          <w:lang w:eastAsia="zh-CN" w:bidi="ar"/>
        </w:rPr>
        <w:t xml:space="preserve">Signaling pathways most significantly correlated with MMP14 expression based on their normalized enrichment score (NES) and p-value. </w:t>
      </w:r>
    </w:p>
    <w:p w14:paraId="5336E7C0" w14:textId="77777777" w:rsidR="00E7797B" w:rsidRDefault="00E9329F">
      <w:pPr>
        <w:pStyle w:val="NormalWeb"/>
        <w:jc w:val="both"/>
        <w:rPr>
          <w:color w:val="000000"/>
          <w:kern w:val="2"/>
          <w:sz w:val="21"/>
          <w:szCs w:val="21"/>
        </w:rPr>
      </w:pPr>
      <w:r>
        <w:rPr>
          <w:b/>
          <w:bCs/>
          <w:color w:val="000000"/>
          <w:kern w:val="2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hint="eastAsia"/>
          <w:b/>
          <w:bCs/>
          <w:color w:val="000000"/>
          <w:kern w:val="2"/>
          <w:sz w:val="21"/>
          <w:szCs w:val="21"/>
          <w:lang w:eastAsia="zh-CN"/>
        </w:rPr>
        <w:t>4</w:t>
      </w:r>
      <w:r>
        <w:rPr>
          <w:b/>
          <w:bCs/>
          <w:color w:val="000000"/>
          <w:kern w:val="2"/>
          <w:sz w:val="21"/>
          <w:szCs w:val="21"/>
        </w:rPr>
        <w:t xml:space="preserve"> |</w:t>
      </w:r>
      <w:r>
        <w:rPr>
          <w:color w:val="000000"/>
          <w:kern w:val="2"/>
          <w:sz w:val="21"/>
          <w:szCs w:val="21"/>
        </w:rPr>
        <w:t xml:space="preserve"> Correlation analysis between MMP14 and relate genes and markers of </w:t>
      </w:r>
      <w:r>
        <w:rPr>
          <w:color w:val="000000"/>
          <w:kern w:val="2"/>
          <w:sz w:val="21"/>
          <w:szCs w:val="21"/>
          <w:lang w:eastAsia="zh-CN"/>
        </w:rPr>
        <w:t>Monocyte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 xml:space="preserve">, </w:t>
      </w:r>
      <w:r>
        <w:rPr>
          <w:color w:val="000000"/>
          <w:kern w:val="2"/>
          <w:sz w:val="21"/>
          <w:szCs w:val="21"/>
        </w:rPr>
        <w:t>macrophage M0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,</w:t>
      </w:r>
      <w:r>
        <w:rPr>
          <w:color w:val="000000"/>
          <w:kern w:val="2"/>
          <w:sz w:val="21"/>
          <w:szCs w:val="21"/>
        </w:rPr>
        <w:t xml:space="preserve"> macrophage M1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color w:val="000000"/>
          <w:kern w:val="2"/>
          <w:sz w:val="21"/>
          <w:szCs w:val="21"/>
        </w:rPr>
        <w:t>and macrophage M2 in GEPIA</w:t>
      </w:r>
      <w:r>
        <w:rPr>
          <w:rFonts w:hint="eastAsia"/>
          <w:color w:val="000000"/>
          <w:kern w:val="2"/>
          <w:sz w:val="21"/>
          <w:szCs w:val="21"/>
        </w:rPr>
        <w:t>.</w:t>
      </w:r>
    </w:p>
    <w:p w14:paraId="7C659CDE" w14:textId="77777777" w:rsidR="00E7797B" w:rsidRDefault="00E9329F">
      <w:pPr>
        <w:jc w:val="both"/>
        <w:rPr>
          <w:color w:val="000000"/>
          <w:kern w:val="2"/>
          <w:sz w:val="21"/>
          <w:szCs w:val="21"/>
        </w:rPr>
      </w:pPr>
      <w:r>
        <w:rPr>
          <w:b/>
          <w:bCs/>
          <w:color w:val="000000"/>
          <w:kern w:val="2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hint="eastAsia"/>
          <w:b/>
          <w:bCs/>
          <w:color w:val="000000"/>
          <w:kern w:val="2"/>
          <w:sz w:val="21"/>
          <w:szCs w:val="21"/>
          <w:lang w:eastAsia="zh-CN"/>
        </w:rPr>
        <w:t>5</w:t>
      </w:r>
      <w:r>
        <w:rPr>
          <w:b/>
          <w:bCs/>
          <w:color w:val="000000"/>
          <w:kern w:val="2"/>
          <w:sz w:val="21"/>
          <w:szCs w:val="21"/>
        </w:rPr>
        <w:t xml:space="preserve"> |</w:t>
      </w:r>
      <w:r>
        <w:rPr>
          <w:rFonts w:eastAsia="DengXian" w:cs="Times New Roman" w:hint="eastAsia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rFonts w:eastAsia="DengXian" w:cs="Times New Roman" w:hint="eastAsia"/>
          <w:color w:val="000000"/>
          <w:kern w:val="2"/>
          <w:sz w:val="21"/>
          <w:szCs w:val="21"/>
          <w:lang w:eastAsia="zh-CN"/>
        </w:rPr>
        <w:t xml:space="preserve">P value of the correlation between the abundance ratios of various immune cells. </w:t>
      </w:r>
    </w:p>
    <w:p w14:paraId="613FF4F8" w14:textId="77777777" w:rsidR="00E7797B" w:rsidRDefault="00E9329F">
      <w:pPr>
        <w:jc w:val="both"/>
        <w:rPr>
          <w:rFonts w:eastAsia="DengXian" w:cs="Times New Roman"/>
          <w:color w:val="000000"/>
          <w:kern w:val="2"/>
          <w:sz w:val="21"/>
          <w:szCs w:val="21"/>
          <w:lang w:eastAsia="zh-CN"/>
        </w:rPr>
      </w:pPr>
      <w:r>
        <w:rPr>
          <w:b/>
          <w:bCs/>
          <w:color w:val="000000"/>
          <w:kern w:val="2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hint="eastAsia"/>
          <w:b/>
          <w:bCs/>
          <w:color w:val="000000"/>
          <w:kern w:val="2"/>
          <w:sz w:val="21"/>
          <w:szCs w:val="21"/>
          <w:lang w:eastAsia="zh-CN"/>
        </w:rPr>
        <w:t>6</w:t>
      </w:r>
      <w:r>
        <w:rPr>
          <w:b/>
          <w:bCs/>
          <w:color w:val="000000"/>
          <w:kern w:val="2"/>
          <w:sz w:val="21"/>
          <w:szCs w:val="21"/>
        </w:rPr>
        <w:t xml:space="preserve"> |</w:t>
      </w:r>
      <w:r>
        <w:rPr>
          <w:rFonts w:eastAsia="DengXian" w:cs="Times New Roman" w:hint="eastAsia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rFonts w:eastAsia="DengXian" w:cs="Times New Roman" w:hint="eastAsia"/>
          <w:color w:val="000000"/>
          <w:kern w:val="2"/>
          <w:sz w:val="21"/>
          <w:szCs w:val="21"/>
          <w:lang w:eastAsia="zh-CN"/>
        </w:rPr>
        <w:t xml:space="preserve">P value of the survival analysis for the abundance ratios of immune cells. </w:t>
      </w:r>
    </w:p>
    <w:p w14:paraId="6DA5C5E7" w14:textId="77777777" w:rsidR="00E7797B" w:rsidRDefault="00E7797B">
      <w:pPr>
        <w:rPr>
          <w:rFonts w:cs="Times New Roman"/>
          <w:szCs w:val="24"/>
        </w:rPr>
      </w:pPr>
    </w:p>
    <w:p w14:paraId="0BA619C5" w14:textId="77777777" w:rsidR="00E7797B" w:rsidRDefault="00E7797B">
      <w:pPr>
        <w:rPr>
          <w:rFonts w:cs="Times New Roman"/>
          <w:szCs w:val="24"/>
        </w:rPr>
      </w:pPr>
    </w:p>
    <w:p w14:paraId="7E374EF0" w14:textId="77777777" w:rsidR="00E7797B" w:rsidRDefault="00E7797B">
      <w:pPr>
        <w:pStyle w:val="14"/>
        <w:ind w:firstLineChars="0" w:firstLine="0"/>
        <w:jc w:val="both"/>
        <w:rPr>
          <w:rStyle w:val="fontstyle01"/>
        </w:rPr>
      </w:pPr>
    </w:p>
    <w:p w14:paraId="2ADC4C1E" w14:textId="77777777" w:rsidR="00E7797B" w:rsidRDefault="00E9329F">
      <w:pPr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Table legend</w:t>
      </w:r>
    </w:p>
    <w:p w14:paraId="6060E959" w14:textId="77777777" w:rsidR="00E7797B" w:rsidRDefault="00E7797B">
      <w:pPr>
        <w:jc w:val="both"/>
        <w:rPr>
          <w:b/>
          <w:bCs/>
          <w:sz w:val="28"/>
          <w:szCs w:val="28"/>
        </w:rPr>
      </w:pPr>
    </w:p>
    <w:p w14:paraId="00E4DBFE" w14:textId="77777777" w:rsidR="00E7797B" w:rsidRDefault="00E9329F">
      <w:pPr>
        <w:rPr>
          <w:rFonts w:eastAsia="DengXian" w:cs="Times New Roman"/>
          <w:color w:val="000000"/>
          <w:kern w:val="2"/>
          <w:sz w:val="21"/>
          <w:szCs w:val="21"/>
          <w:lang w:eastAsia="zh-CN"/>
        </w:rPr>
      </w:pPr>
      <w:bookmarkStart w:id="1" w:name="OLE_LINK8"/>
      <w:r>
        <w:rPr>
          <w:b/>
          <w:bCs/>
          <w:color w:val="000000"/>
          <w:kern w:val="2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2</w:t>
      </w:r>
      <w:r>
        <w:rPr>
          <w:b/>
          <w:bCs/>
          <w:color w:val="000000"/>
          <w:kern w:val="2"/>
          <w:sz w:val="21"/>
          <w:szCs w:val="21"/>
        </w:rPr>
        <w:t xml:space="preserve"> |</w:t>
      </w:r>
      <w:r>
        <w:rPr>
          <w:rFonts w:eastAsia="DengXian" w:cs="Times New Roman" w:hint="eastAsia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rFonts w:eastAsia="DengXian" w:cs="Times New Roman" w:hint="eastAsia"/>
          <w:color w:val="000000"/>
          <w:kern w:val="2"/>
          <w:sz w:val="21"/>
          <w:szCs w:val="21"/>
          <w:lang w:eastAsia="zh-CN"/>
        </w:rPr>
        <w:t>Patients</w:t>
      </w:r>
      <w:r>
        <w:rPr>
          <w:rFonts w:cs="Times New Roman"/>
          <w:color w:val="000000"/>
          <w:kern w:val="2"/>
          <w:sz w:val="21"/>
          <w:szCs w:val="21"/>
          <w:lang w:eastAsia="zh-CN"/>
        </w:rPr>
        <w:t>’</w:t>
      </w:r>
      <w:r>
        <w:rPr>
          <w:rFonts w:cs="Times New Roman" w:hint="eastAsia"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rFonts w:eastAsia="DengXian" w:cs="Times New Roman" w:hint="eastAsia"/>
          <w:color w:val="000000"/>
          <w:kern w:val="2"/>
          <w:sz w:val="21"/>
          <w:szCs w:val="21"/>
          <w:lang w:eastAsia="zh-CN"/>
        </w:rPr>
        <w:t>characteristics in the cohort of 48 TCGA-DLBCL patients according to MMP14 expression level.</w:t>
      </w:r>
    </w:p>
    <w:tbl>
      <w:tblPr>
        <w:tblW w:w="8265" w:type="dxa"/>
        <w:jc w:val="center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893"/>
        <w:gridCol w:w="1832"/>
        <w:gridCol w:w="870"/>
      </w:tblGrid>
      <w:tr w:rsidR="00E7797B" w14:paraId="7218B07E" w14:textId="77777777">
        <w:trPr>
          <w:trHeight w:val="284"/>
          <w:jc w:val="center"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66D85EE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  <w:lang w:eastAsia="zh-CN" w:bidi="ar"/>
              </w:rPr>
              <w:t>Clinicopathological characteristic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0C7A" w14:textId="77777777" w:rsidR="00E7797B" w:rsidRDefault="00E9329F">
            <w:pPr>
              <w:widowControl w:val="0"/>
              <w:spacing w:before="0" w:after="0"/>
              <w:jc w:val="both"/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  <w:lang w:eastAsia="zh-CN" w:bidi="ar"/>
              </w:rPr>
              <w:t xml:space="preserve">Low-MMP14 group </w:t>
            </w:r>
            <w:bookmarkStart w:id="2" w:name="OLE_LINK30"/>
            <w:r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  <w:lang w:eastAsia="zh-CN" w:bidi="ar"/>
              </w:rPr>
              <w:t>(n=24)</w:t>
            </w:r>
            <w:bookmarkEnd w:id="2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5361" w14:textId="77777777" w:rsidR="00E7797B" w:rsidRDefault="00E9329F">
            <w:pPr>
              <w:widowControl w:val="0"/>
              <w:spacing w:before="0" w:after="0"/>
              <w:jc w:val="both"/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  <w:lang w:eastAsia="zh-CN" w:bidi="ar"/>
              </w:rPr>
              <w:t>High-MMP14 group (n=24)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666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  <w:lang w:eastAsia="zh-CN" w:bidi="ar"/>
              </w:rPr>
              <w:t>P-value</w:t>
            </w:r>
          </w:p>
        </w:tc>
      </w:tr>
      <w:tr w:rsidR="00E7797B" w14:paraId="45E2CAF4" w14:textId="77777777">
        <w:trPr>
          <w:trHeight w:val="387"/>
          <w:jc w:val="center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7D69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A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nn</w:t>
            </w: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 xml:space="preserve"> A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rbor</w:t>
            </w: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 xml:space="preserve"> 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clinical</w:t>
            </w: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 xml:space="preserve"> 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stage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6D8C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8141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F7BF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0.2231</w:t>
            </w:r>
          </w:p>
        </w:tc>
      </w:tr>
      <w:tr w:rsidR="00E7797B" w14:paraId="0148F9EE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DCE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6E00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D7E8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EE68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13E16A20" w14:textId="77777777">
        <w:trPr>
          <w:trHeight w:val="265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36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II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521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E22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87B7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7DE2A6AF" w14:textId="77777777">
        <w:trPr>
          <w:trHeight w:val="265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0FDC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 xml:space="preserve"> III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599C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691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EC830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36E933C0" w14:textId="77777777">
        <w:trPr>
          <w:trHeight w:val="265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923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IV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23D2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51B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9A53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24100730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31F2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G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ender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FAD54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6143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F0A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0.772</w:t>
            </w:r>
          </w:p>
        </w:tc>
      </w:tr>
      <w:tr w:rsidR="00E7797B" w14:paraId="152841CD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86D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M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ale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1CE1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CC02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41938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6D0CD938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121C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F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emale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992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7E47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4F377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3C068AF0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6340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R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ace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5E21B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F42F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788C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0.043</w:t>
            </w:r>
          </w:p>
        </w:tc>
      </w:tr>
      <w:tr w:rsidR="00E7797B" w14:paraId="206606CA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CFAD1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Asian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17C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8D0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07D3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1595388A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44C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White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D83F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D85F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9DECD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5D6E9FC9" w14:textId="77777777">
        <w:trPr>
          <w:trHeight w:val="28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6C65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lastRenderedPageBreak/>
              <w:t xml:space="preserve">Black or African </w:t>
            </w: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A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merican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115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C5C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FE1F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</w:p>
        </w:tc>
      </w:tr>
      <w:tr w:rsidR="00E7797B" w14:paraId="5EABC8B5" w14:textId="77777777">
        <w:trPr>
          <w:trHeight w:val="304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4C88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/>
              </w:rPr>
              <w:t>BMI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D82B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25.42(16.73-38.61)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603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26.39(16.45-46.03)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0990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0.286</w:t>
            </w:r>
          </w:p>
        </w:tc>
      </w:tr>
      <w:tr w:rsidR="00E7797B" w14:paraId="79D94811" w14:textId="77777777">
        <w:trPr>
          <w:trHeight w:val="304"/>
          <w:jc w:val="center"/>
        </w:trPr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AAC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FF0000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 w:hint="eastAsia"/>
                <w:color w:val="FF0000"/>
                <w:sz w:val="14"/>
                <w:szCs w:val="14"/>
                <w:lang w:eastAsia="zh-CN"/>
              </w:rPr>
              <w:t>Age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8A5F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FF000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FF0000"/>
                <w:sz w:val="14"/>
                <w:szCs w:val="14"/>
                <w:lang w:eastAsia="zh-CN" w:bidi="ar"/>
              </w:rPr>
              <w:t>58.90(28.67-82.89)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85D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FF000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FF0000"/>
                <w:sz w:val="14"/>
                <w:szCs w:val="14"/>
                <w:lang w:eastAsia="zh-CN" w:bidi="ar"/>
              </w:rPr>
              <w:t>54.70(23.27-78.01)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8C61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FF000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FF0000"/>
                <w:sz w:val="14"/>
                <w:szCs w:val="14"/>
                <w:lang w:eastAsia="zh-CN" w:bidi="ar"/>
              </w:rPr>
              <w:t>0.303</w:t>
            </w:r>
          </w:p>
        </w:tc>
      </w:tr>
    </w:tbl>
    <w:p w14:paraId="1FAEA47F" w14:textId="77777777" w:rsidR="00E7797B" w:rsidRDefault="00E9329F">
      <w:pPr>
        <w:pStyle w:val="NormalWeb"/>
        <w:rPr>
          <w:rFonts w:eastAsia="DengXian"/>
          <w:b/>
          <w:bCs/>
          <w:color w:val="000000"/>
          <w:kern w:val="2"/>
          <w:sz w:val="21"/>
          <w:szCs w:val="21"/>
          <w:lang w:eastAsia="zh-CN"/>
        </w:rPr>
      </w:pPr>
      <w:r>
        <w:rPr>
          <w:b/>
          <w:bCs/>
          <w:color w:val="000000"/>
          <w:kern w:val="2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hint="eastAsia"/>
          <w:b/>
          <w:bCs/>
          <w:color w:val="000000"/>
          <w:kern w:val="2"/>
          <w:sz w:val="21"/>
          <w:szCs w:val="21"/>
          <w:lang w:eastAsia="zh-CN"/>
        </w:rPr>
        <w:t>4</w:t>
      </w:r>
      <w:r>
        <w:rPr>
          <w:b/>
          <w:bCs/>
          <w:color w:val="000000"/>
          <w:kern w:val="2"/>
          <w:sz w:val="21"/>
          <w:szCs w:val="21"/>
        </w:rPr>
        <w:t xml:space="preserve"> |</w:t>
      </w:r>
      <w:r>
        <w:rPr>
          <w:color w:val="000000"/>
          <w:kern w:val="2"/>
          <w:sz w:val="21"/>
          <w:szCs w:val="21"/>
        </w:rPr>
        <w:t xml:space="preserve"> Correlation analysis between MMP14 and relate genes and markers of </w:t>
      </w:r>
      <w:r>
        <w:rPr>
          <w:color w:val="000000"/>
          <w:kern w:val="2"/>
          <w:sz w:val="21"/>
          <w:szCs w:val="21"/>
          <w:lang w:eastAsia="zh-CN"/>
        </w:rPr>
        <w:t>Monocyte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 xml:space="preserve">, </w:t>
      </w:r>
      <w:r>
        <w:rPr>
          <w:color w:val="000000"/>
          <w:kern w:val="2"/>
          <w:sz w:val="21"/>
          <w:szCs w:val="21"/>
        </w:rPr>
        <w:t>macrophage M0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,</w:t>
      </w:r>
      <w:r>
        <w:rPr>
          <w:color w:val="000000"/>
          <w:kern w:val="2"/>
          <w:sz w:val="21"/>
          <w:szCs w:val="21"/>
        </w:rPr>
        <w:t xml:space="preserve"> macrophage M1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color w:val="000000"/>
          <w:kern w:val="2"/>
          <w:sz w:val="21"/>
          <w:szCs w:val="21"/>
        </w:rPr>
        <w:t>and macrophage M2 in GEPIA</w:t>
      </w:r>
      <w:r>
        <w:rPr>
          <w:rFonts w:hint="eastAsia"/>
          <w:color w:val="000000"/>
          <w:kern w:val="2"/>
          <w:sz w:val="21"/>
          <w:szCs w:val="21"/>
        </w:rPr>
        <w:t>.</w:t>
      </w:r>
    </w:p>
    <w:tbl>
      <w:tblPr>
        <w:tblW w:w="8100" w:type="dxa"/>
        <w:jc w:val="center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241"/>
        <w:gridCol w:w="1846"/>
        <w:gridCol w:w="923"/>
      </w:tblGrid>
      <w:tr w:rsidR="00E7797B" w14:paraId="4B6F9E02" w14:textId="77777777">
        <w:trPr>
          <w:trHeight w:val="366"/>
          <w:jc w:val="center"/>
        </w:trPr>
        <w:tc>
          <w:tcPr>
            <w:tcW w:w="30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5A6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HelveticaNeueLTStd-Bd" w:hAnsi="HelveticaNeueLTStd-Bd" w:cs="HelveticaNeueLTStd-Bd"/>
                <w:b/>
                <w:color w:val="231F20"/>
                <w:sz w:val="14"/>
                <w:szCs w:val="14"/>
              </w:rPr>
            </w:pPr>
            <w:r>
              <w:rPr>
                <w:rFonts w:ascii="HelveticaNeueLTStd-Bd" w:eastAsia="HelveticaNeueLTStd-Bd" w:hAnsi="HelveticaNeueLTStd-Bd" w:cs="HelveticaNeueLTStd-Bd"/>
                <w:b/>
                <w:color w:val="231F20"/>
                <w:kern w:val="2"/>
                <w:sz w:val="14"/>
                <w:szCs w:val="14"/>
                <w:lang w:eastAsia="zh-CN" w:bidi="ar"/>
              </w:rPr>
              <w:t>Description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DF91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It" w:eastAsia="SimSun" w:hAnsi="HelveticaNeueLTStd-BdIt" w:cs="HelveticaNeueLTStd-BdIt"/>
                <w:b/>
                <w:sz w:val="14"/>
                <w:szCs w:val="14"/>
              </w:rPr>
            </w:pPr>
            <w:r>
              <w:rPr>
                <w:rFonts w:ascii="HelveticaNeueLTStd-Bd" w:eastAsia="HelveticaNeueLTStd-Bd" w:hAnsi="HelveticaNeueLTStd-Bd" w:cs="HelveticaNeueLTStd-Bd"/>
                <w:b/>
                <w:color w:val="231F20"/>
                <w:kern w:val="2"/>
                <w:sz w:val="14"/>
                <w:szCs w:val="14"/>
                <w:lang w:eastAsia="zh-CN" w:bidi="ar"/>
              </w:rPr>
              <w:t>Gene markers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886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b/>
                <w:sz w:val="14"/>
                <w:szCs w:val="14"/>
              </w:rPr>
            </w:pPr>
            <w:r>
              <w:rPr>
                <w:rFonts w:ascii="HelveticaNeueLTStd-Bd" w:eastAsia="HelveticaNeueLTStd-Bd" w:hAnsi="HelveticaNeueLTStd-Bd" w:cs="HelveticaNeueLTStd-Bd"/>
                <w:b/>
                <w:color w:val="231F20"/>
                <w:kern w:val="2"/>
                <w:sz w:val="14"/>
                <w:szCs w:val="14"/>
                <w:lang w:eastAsia="zh-CN" w:bidi="ar"/>
              </w:rPr>
              <w:t>DLBCL tumor</w:t>
            </w:r>
          </w:p>
          <w:p w14:paraId="23428EDE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It" w:eastAsia="SimSun" w:hAnsi="HelveticaNeueLTStd-BdIt" w:cs="HelveticaNeueLTStd-BdIt"/>
                <w:b/>
                <w:sz w:val="14"/>
                <w:szCs w:val="14"/>
              </w:rPr>
            </w:pPr>
          </w:p>
        </w:tc>
      </w:tr>
      <w:tr w:rsidR="00E7797B" w14:paraId="4E7170CB" w14:textId="77777777">
        <w:trPr>
          <w:trHeight w:val="205"/>
          <w:jc w:val="center"/>
        </w:trPr>
        <w:tc>
          <w:tcPr>
            <w:tcW w:w="30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D97E2" w14:textId="77777777" w:rsidR="00E7797B" w:rsidRDefault="00E7797B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74D1" w14:textId="77777777" w:rsidR="00E7797B" w:rsidRDefault="00E7797B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6D3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HelveticaNeueLTStd-Bd" w:hAnsi="HelveticaNeueLTStd-Bd" w:cs="HelveticaNeueLTStd-Bd"/>
                <w:b/>
                <w:color w:val="231F20"/>
                <w:sz w:val="14"/>
                <w:szCs w:val="14"/>
              </w:rPr>
            </w:pPr>
            <w:r>
              <w:rPr>
                <w:rFonts w:ascii="HelveticaNeueLTStd-Bd" w:eastAsia="HelveticaNeueLTStd-Bd" w:hAnsi="HelveticaNeueLTStd-Bd" w:cs="HelveticaNeueLTStd-Bd"/>
                <w:b/>
                <w:color w:val="231F20"/>
                <w:kern w:val="2"/>
                <w:sz w:val="14"/>
                <w:szCs w:val="14"/>
                <w:lang w:eastAsia="zh-CN" w:bidi="ar"/>
              </w:rPr>
              <w:t>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8910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It" w:eastAsia="HelveticaNeueLTStd-BdIt" w:hAnsi="HelveticaNeueLTStd-BdIt" w:cs="HelveticaNeueLTStd-BdIt"/>
                <w:b/>
                <w:iCs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  <w:lang w:eastAsia="zh-CN" w:bidi="ar"/>
              </w:rPr>
              <w:t>P-value</w:t>
            </w:r>
          </w:p>
        </w:tc>
      </w:tr>
      <w:tr w:rsidR="00E7797B" w14:paraId="6AD2AB69" w14:textId="77777777">
        <w:trPr>
          <w:trHeight w:val="205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0A1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B cell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E9B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CD19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C73B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F0F1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0.097</w:t>
            </w:r>
          </w:p>
        </w:tc>
      </w:tr>
      <w:tr w:rsidR="00E7797B" w14:paraId="09FF4F67" w14:textId="77777777">
        <w:trPr>
          <w:trHeight w:val="205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6D4FB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5622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CD79A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11C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E3EE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0.35</w:t>
            </w:r>
          </w:p>
        </w:tc>
      </w:tr>
      <w:tr w:rsidR="00E7797B" w14:paraId="40062E52" w14:textId="77777777">
        <w:trPr>
          <w:trHeight w:val="205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5DA1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Monocyte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C7C9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CD86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B88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DC6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0.027</w:t>
            </w:r>
          </w:p>
        </w:tc>
      </w:tr>
      <w:tr w:rsidR="00E7797B" w14:paraId="79F37830" w14:textId="77777777">
        <w:trPr>
          <w:trHeight w:val="205"/>
          <w:jc w:val="center"/>
        </w:trPr>
        <w:tc>
          <w:tcPr>
            <w:tcW w:w="30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C8C5" w14:textId="77777777" w:rsidR="00E7797B" w:rsidRDefault="00E7797B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044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CD115 (CSF1R)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A37E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EC62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0.00026</w:t>
            </w:r>
          </w:p>
        </w:tc>
      </w:tr>
      <w:tr w:rsidR="00E7797B" w14:paraId="2B401C74" w14:textId="77777777">
        <w:trPr>
          <w:trHeight w:val="205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6BCF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TAM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CA041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CCL2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CCAD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F2D7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0.056</w:t>
            </w:r>
          </w:p>
        </w:tc>
      </w:tr>
      <w:tr w:rsidR="00E7797B" w14:paraId="6F149396" w14:textId="77777777">
        <w:trPr>
          <w:trHeight w:val="205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0491C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8F2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CD68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14F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47F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1.2e-05</w:t>
            </w:r>
          </w:p>
        </w:tc>
      </w:tr>
      <w:tr w:rsidR="00E7797B" w14:paraId="5E9735EF" w14:textId="77777777">
        <w:trPr>
          <w:trHeight w:val="205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EDF00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C011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IL10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E277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-0.0092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BD6A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0.95</w:t>
            </w:r>
          </w:p>
        </w:tc>
      </w:tr>
      <w:tr w:rsidR="00E7797B" w14:paraId="58DE5D46" w14:textId="77777777">
        <w:trPr>
          <w:trHeight w:val="205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D0D8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 xml:space="preserve">Macrophage M0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CEFF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MMP9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0DE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419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5e-07</w:t>
            </w:r>
          </w:p>
        </w:tc>
      </w:tr>
      <w:tr w:rsidR="00E7797B" w14:paraId="246D5D92" w14:textId="77777777">
        <w:trPr>
          <w:trHeight w:val="194"/>
          <w:jc w:val="center"/>
        </w:trPr>
        <w:tc>
          <w:tcPr>
            <w:tcW w:w="30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D1B19" w14:textId="77777777" w:rsidR="00E7797B" w:rsidRDefault="00E7797B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571A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NCF2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6499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26F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0.0012</w:t>
            </w:r>
          </w:p>
        </w:tc>
      </w:tr>
      <w:tr w:rsidR="00E7797B" w14:paraId="6848F190" w14:textId="77777777">
        <w:trPr>
          <w:trHeight w:val="194"/>
          <w:jc w:val="center"/>
        </w:trPr>
        <w:tc>
          <w:tcPr>
            <w:tcW w:w="30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7858" w14:textId="77777777" w:rsidR="00E7797B" w:rsidRDefault="00E7797B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745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ACP5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826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957C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6.8e-06</w:t>
            </w:r>
          </w:p>
        </w:tc>
      </w:tr>
      <w:tr w:rsidR="00E7797B" w14:paraId="42FE27B2" w14:textId="77777777">
        <w:trPr>
          <w:trHeight w:val="194"/>
          <w:jc w:val="center"/>
        </w:trPr>
        <w:tc>
          <w:tcPr>
            <w:tcW w:w="30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08CA" w14:textId="77777777" w:rsidR="00E7797B" w:rsidRDefault="00E7797B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014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PLA2G7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CD19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A04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0.00035</w:t>
            </w:r>
          </w:p>
        </w:tc>
      </w:tr>
      <w:tr w:rsidR="00E7797B" w14:paraId="00337D3F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AD1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 xml:space="preserve">Macrophage M1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DDB2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INOS (NOS2)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C09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FF2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0.01</w:t>
            </w:r>
          </w:p>
        </w:tc>
      </w:tr>
      <w:tr w:rsidR="00E7797B" w14:paraId="1BFCE3A0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899F3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E4B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IRF5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BFE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C2FA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0.19</w:t>
            </w:r>
          </w:p>
        </w:tc>
      </w:tr>
      <w:tr w:rsidR="00E7797B" w14:paraId="19097432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2F51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071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COX2(PTGS2)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222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0F9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.024</w:t>
            </w:r>
          </w:p>
        </w:tc>
      </w:tr>
      <w:tr w:rsidR="00E7797B" w14:paraId="7F31DBDA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B4F3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Macrophage M2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A116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CD163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4C0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.27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7165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0.071</w:t>
            </w:r>
          </w:p>
        </w:tc>
      </w:tr>
      <w:tr w:rsidR="00E7797B" w14:paraId="57A5D4DE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33E1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F17F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VSIG4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B87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CDF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95</w:t>
            </w:r>
          </w:p>
        </w:tc>
      </w:tr>
      <w:tr w:rsidR="00E7797B" w14:paraId="07B2EB20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43094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84EC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MS4A4A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2AD7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0.4</w:t>
            </w:r>
            <w:r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5762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0.11</w:t>
            </w:r>
          </w:p>
        </w:tc>
      </w:tr>
      <w:tr w:rsidR="00E7797B" w14:paraId="56CFD6EC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D12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Neutrophils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137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CD66b (CEACAM8)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924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0.082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E8EF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0.58</w:t>
            </w:r>
          </w:p>
        </w:tc>
      </w:tr>
      <w:tr w:rsidR="00E7797B" w14:paraId="3BD77059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0E4C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6F6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CD11b (ITGAM)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8643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427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0.0093</w:t>
            </w:r>
          </w:p>
        </w:tc>
      </w:tr>
      <w:tr w:rsidR="00E7797B" w14:paraId="0A07BA71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EB1C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176C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CCR7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66F7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EBA2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0.16</w:t>
            </w:r>
          </w:p>
        </w:tc>
      </w:tr>
      <w:tr w:rsidR="00E7797B" w14:paraId="31A8C74C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3FD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Dendritic cells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142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HLA-DPB1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07A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241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0.56</w:t>
            </w:r>
          </w:p>
        </w:tc>
      </w:tr>
      <w:tr w:rsidR="00E7797B" w14:paraId="3D2631ED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7DF6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078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HLA-DQB1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9AD7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0E17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0.34</w:t>
            </w:r>
          </w:p>
        </w:tc>
      </w:tr>
      <w:tr w:rsidR="00E7797B" w14:paraId="2FD5B41C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62490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5B5D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HLA-DRA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E4AA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3D10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0.61</w:t>
            </w:r>
          </w:p>
        </w:tc>
      </w:tr>
      <w:tr w:rsidR="00E7797B" w14:paraId="2D8F9770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581C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FE0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HLA-DPA1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C31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9D2F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0.071</w:t>
            </w:r>
          </w:p>
        </w:tc>
      </w:tr>
      <w:tr w:rsidR="00E7797B" w14:paraId="3C1FD644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17CA0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6F74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BDCA-1(CD1C)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D05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D248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0.28</w:t>
            </w:r>
          </w:p>
        </w:tc>
      </w:tr>
      <w:tr w:rsidR="00E7797B" w14:paraId="06D0631C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BCC97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4872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BDCA-4(NRP1)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2F71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EA94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6.7e-05</w:t>
            </w:r>
          </w:p>
        </w:tc>
      </w:tr>
      <w:tr w:rsidR="00E7797B" w14:paraId="676DA9F5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6CEA4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2162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CD11c (ITGAX)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8FFA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4A51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</w:t>
            </w:r>
          </w:p>
        </w:tc>
      </w:tr>
      <w:tr w:rsidR="00E7797B" w14:paraId="0E3647A9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171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CD8</w:t>
            </w:r>
            <w:r>
              <w:rPr>
                <w:rFonts w:ascii="HelveticaNeueLTStd-Bd" w:eastAsia="SimSun" w:hAnsi="HelveticaNeueLTStd-Bd" w:cs="HelveticaNeueLTStd-Bd" w:hint="eastAsia"/>
                <w:color w:val="000000" w:themeColor="text1"/>
                <w:sz w:val="14"/>
                <w:szCs w:val="14"/>
                <w:lang w:eastAsia="zh-CN" w:bidi="ar"/>
              </w:rPr>
              <w:t>+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lang w:eastAsia="zh-CN" w:bidi="ar"/>
              </w:rPr>
              <w:t xml:space="preserve"> 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 cell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977B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CD8A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B31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A29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0.82</w:t>
            </w:r>
          </w:p>
        </w:tc>
      </w:tr>
      <w:tr w:rsidR="00E7797B" w14:paraId="6ABAE837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7D8D7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6892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CD8B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ABF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A9DF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0.84</w:t>
            </w:r>
          </w:p>
        </w:tc>
      </w:tr>
      <w:tr w:rsidR="00E7797B" w14:paraId="6FC221D9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7DD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 cell (general)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8791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CD3D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AB0E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CC2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0.74</w:t>
            </w:r>
          </w:p>
        </w:tc>
      </w:tr>
      <w:tr w:rsidR="00E7797B" w14:paraId="28B7E95E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983B0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A22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CD3E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446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1C21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0.55</w:t>
            </w:r>
          </w:p>
        </w:tc>
      </w:tr>
      <w:tr w:rsidR="00E7797B" w14:paraId="5AABA353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08AA6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3D16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CD2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63B9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909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0.26</w:t>
            </w:r>
          </w:p>
        </w:tc>
      </w:tr>
      <w:tr w:rsidR="00E7797B" w14:paraId="5480129A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9E2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Natural killer 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cell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08FA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KIR2DL1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341C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-0.061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0F6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0.68</w:t>
            </w:r>
          </w:p>
        </w:tc>
      </w:tr>
      <w:tr w:rsidR="00E7797B" w14:paraId="08ECD5A3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92C2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8FD2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KIR2DL3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3E75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638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</w:t>
            </w:r>
          </w:p>
        </w:tc>
      </w:tr>
      <w:tr w:rsidR="00E7797B" w14:paraId="6BA8812E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8C69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427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KIR2DL4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A343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E48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0.043</w:t>
            </w:r>
          </w:p>
        </w:tc>
      </w:tr>
      <w:tr w:rsidR="00E7797B" w14:paraId="5D1C701F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0AAC3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3C7C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KIR3DL1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7F21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DA4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0.37</w:t>
            </w:r>
          </w:p>
        </w:tc>
      </w:tr>
      <w:tr w:rsidR="00E7797B" w14:paraId="7149F0A0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3F49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6AE2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KIR3DL2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512A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22E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0.64</w:t>
            </w:r>
          </w:p>
        </w:tc>
      </w:tr>
      <w:tr w:rsidR="00E7797B" w14:paraId="53C5EB77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11BDE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E34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KIR3DL3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B7A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50BE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0.94</w:t>
            </w:r>
          </w:p>
        </w:tc>
      </w:tr>
      <w:tr w:rsidR="00E7797B" w14:paraId="47BB33B4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2991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8AC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KIR2DS4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1B0F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E6C3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0.47</w:t>
            </w:r>
          </w:p>
        </w:tc>
      </w:tr>
      <w:tr w:rsidR="00E7797B" w14:paraId="5D03FCA0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B6E8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Th1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580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T-bet (TBX21)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B0CA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DDA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0.059</w:t>
            </w:r>
          </w:p>
        </w:tc>
      </w:tr>
      <w:tr w:rsidR="00E7797B" w14:paraId="36570120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5F5C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596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STAT4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F1D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519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0.085</w:t>
            </w:r>
          </w:p>
        </w:tc>
      </w:tr>
      <w:tr w:rsidR="00E7797B" w14:paraId="2A63D163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30397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7EF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STAT1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C8BA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F2F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0.007</w:t>
            </w:r>
          </w:p>
        </w:tc>
      </w:tr>
      <w:tr w:rsidR="00E7797B" w14:paraId="25DE0BC9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8CC5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9382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IFN-γ (IFNG)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3C0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304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0.038</w:t>
            </w:r>
          </w:p>
        </w:tc>
      </w:tr>
      <w:tr w:rsidR="00E7797B" w14:paraId="5D0B07AD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E3A1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7678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TNF-α (TNF)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AE621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5C2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0.051</w:t>
            </w:r>
          </w:p>
        </w:tc>
      </w:tr>
      <w:tr w:rsidR="00E7797B" w14:paraId="4B0252BD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26AF1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D530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GATA3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7053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E85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0.34</w:t>
            </w:r>
          </w:p>
        </w:tc>
      </w:tr>
      <w:tr w:rsidR="00E7797B" w14:paraId="3118E3D4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E86A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F67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STAT6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D3E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725F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0.22</w:t>
            </w:r>
          </w:p>
        </w:tc>
      </w:tr>
      <w:tr w:rsidR="00E7797B" w14:paraId="7F8487CC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0719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FDB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STAT5A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EE85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08E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0.036</w:t>
            </w:r>
          </w:p>
        </w:tc>
      </w:tr>
      <w:tr w:rsidR="00E7797B" w14:paraId="21B8FF29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882F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3C4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IL13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5B6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DED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0.046</w:t>
            </w:r>
          </w:p>
        </w:tc>
      </w:tr>
      <w:tr w:rsidR="00E7797B" w14:paraId="00724C79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17BD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proofErr w:type="spellStart"/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Tfh</w:t>
            </w:r>
            <w:proofErr w:type="spellEnd"/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7FC6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BCL6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B08C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-0.00065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BDA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1</w:t>
            </w:r>
          </w:p>
        </w:tc>
      </w:tr>
      <w:tr w:rsidR="00E7797B" w14:paraId="674BEE21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8165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C57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IL21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B63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-0.042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B23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0.78</w:t>
            </w:r>
          </w:p>
        </w:tc>
      </w:tr>
      <w:tr w:rsidR="00E7797B" w14:paraId="73AB1D81" w14:textId="77777777">
        <w:trPr>
          <w:trHeight w:val="194"/>
          <w:jc w:val="center"/>
        </w:trPr>
        <w:tc>
          <w:tcPr>
            <w:tcW w:w="30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609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Th17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9E8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STAT3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C16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E81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0.14</w:t>
            </w:r>
          </w:p>
        </w:tc>
      </w:tr>
      <w:tr w:rsidR="00E7797B" w14:paraId="6DDF83E5" w14:textId="77777777">
        <w:trPr>
          <w:trHeight w:val="194"/>
          <w:jc w:val="center"/>
        </w:trPr>
        <w:tc>
          <w:tcPr>
            <w:tcW w:w="30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E0B1" w14:textId="77777777" w:rsidR="00E7797B" w:rsidRDefault="00E7797B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39F7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>IL17A</w:t>
            </w:r>
            <w:r>
              <w:rPr>
                <w:rFonts w:ascii="HelveticaNeueLTStd-Bd" w:eastAsia="SimSun" w:hAnsi="HelveticaNeueLTStd-Bd" w:cs="HelveticaNeueLTStd-Bd"/>
                <w:color w:val="000000" w:themeColor="text1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9AF2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0A4D0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0.78</w:t>
            </w:r>
          </w:p>
        </w:tc>
      </w:tr>
    </w:tbl>
    <w:p w14:paraId="32D3DB35" w14:textId="77777777" w:rsidR="00E7797B" w:rsidRDefault="00E7797B">
      <w:pPr>
        <w:jc w:val="both"/>
        <w:rPr>
          <w:rFonts w:eastAsia="DengXian" w:cs="Times New Roman"/>
          <w:b/>
          <w:bCs/>
          <w:color w:val="000000"/>
          <w:kern w:val="2"/>
          <w:sz w:val="21"/>
          <w:szCs w:val="21"/>
          <w:lang w:eastAsia="zh-CN"/>
        </w:rPr>
      </w:pPr>
    </w:p>
    <w:p w14:paraId="048D5334" w14:textId="77777777" w:rsidR="00E7797B" w:rsidRDefault="00E9329F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kern w:val="2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S</w:t>
      </w:r>
      <w:r>
        <w:rPr>
          <w:rFonts w:eastAsia="SimSun" w:hint="eastAsia"/>
          <w:b/>
          <w:bCs/>
          <w:color w:val="000000"/>
          <w:kern w:val="2"/>
          <w:sz w:val="21"/>
          <w:szCs w:val="21"/>
          <w:lang w:eastAsia="zh-CN"/>
        </w:rPr>
        <w:t>6</w:t>
      </w:r>
      <w:r>
        <w:rPr>
          <w:rFonts w:hint="eastAsia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b/>
          <w:bCs/>
          <w:color w:val="000000"/>
          <w:kern w:val="2"/>
          <w:sz w:val="21"/>
          <w:szCs w:val="21"/>
        </w:rPr>
        <w:t>|</w:t>
      </w:r>
      <w:r>
        <w:rPr>
          <w:rFonts w:eastAsia="DengXian" w:cs="Times New Roman" w:hint="eastAsia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  <w:r>
        <w:rPr>
          <w:rFonts w:eastAsia="DengXian" w:cs="Times New Roman" w:hint="eastAsia"/>
          <w:color w:val="000000"/>
          <w:kern w:val="2"/>
          <w:sz w:val="21"/>
          <w:szCs w:val="21"/>
          <w:lang w:eastAsia="zh-CN"/>
        </w:rPr>
        <w:t xml:space="preserve">P value of the survival analysis for the abundance ratios of immune cells. </w:t>
      </w:r>
    </w:p>
    <w:tbl>
      <w:tblPr>
        <w:tblW w:w="82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2515"/>
      </w:tblGrid>
      <w:tr w:rsidR="00E7797B" w14:paraId="0DADEB6B" w14:textId="77777777">
        <w:trPr>
          <w:trHeight w:val="371"/>
          <w:jc w:val="center"/>
        </w:trPr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DA84A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b/>
                <w:color w:val="231F20"/>
                <w:sz w:val="14"/>
                <w:szCs w:val="14"/>
                <w:lang w:eastAsia="zh-CN" w:bidi="ar"/>
              </w:rPr>
              <w:t xml:space="preserve">Immune cells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DF3C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/>
                <w:b/>
                <w:color w:val="231F20"/>
                <w:sz w:val="14"/>
                <w:szCs w:val="14"/>
                <w:lang w:eastAsia="zh-CN" w:bidi="ar"/>
              </w:rPr>
              <w:t>P-value</w:t>
            </w:r>
          </w:p>
        </w:tc>
      </w:tr>
      <w:tr w:rsidR="00E7797B" w14:paraId="29D74662" w14:textId="77777777">
        <w:trPr>
          <w:trHeight w:val="371"/>
          <w:jc w:val="center"/>
        </w:trPr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D1E58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B cells naive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1F1D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0.9</w:t>
            </w:r>
          </w:p>
        </w:tc>
      </w:tr>
      <w:tr w:rsidR="00E7797B" w14:paraId="3AAC16A8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3D47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B cells memory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A181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0.7</w:t>
            </w:r>
          </w:p>
        </w:tc>
      </w:tr>
      <w:tr w:rsidR="00E7797B" w14:paraId="14F0F750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E0A1D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T cells CD8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6E7A2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0.9</w:t>
            </w:r>
          </w:p>
        </w:tc>
      </w:tr>
      <w:tr w:rsidR="00E7797B" w14:paraId="7DD286FA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C7A2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T cells CD4 memory activated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6E59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0.6</w:t>
            </w:r>
          </w:p>
        </w:tc>
      </w:tr>
      <w:tr w:rsidR="00E7797B" w14:paraId="6D1222B8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11CB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T cells follicular helper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7173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0.09</w:t>
            </w:r>
          </w:p>
        </w:tc>
      </w:tr>
      <w:tr w:rsidR="00E7797B" w14:paraId="16AB80E5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ADE35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T cells regulatory (Tregs)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B90B6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0.7</w:t>
            </w:r>
          </w:p>
        </w:tc>
      </w:tr>
      <w:tr w:rsidR="00E7797B" w14:paraId="634BA135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C7E73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 xml:space="preserve">T </w:t>
            </w: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cells gamma delta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BD08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0.7</w:t>
            </w:r>
          </w:p>
        </w:tc>
      </w:tr>
      <w:tr w:rsidR="00E7797B" w14:paraId="3C22AA14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46A1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NK cells activated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797AC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0.4</w:t>
            </w:r>
          </w:p>
        </w:tc>
      </w:tr>
      <w:tr w:rsidR="00E7797B" w14:paraId="74E564A3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3A034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Macrophages M0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5A3AF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0.08</w:t>
            </w:r>
          </w:p>
        </w:tc>
      </w:tr>
      <w:tr w:rsidR="00E7797B" w14:paraId="7EC77066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2A8FE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Macrophages M1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9E1C7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0.5</w:t>
            </w:r>
          </w:p>
        </w:tc>
      </w:tr>
      <w:tr w:rsidR="00E7797B" w14:paraId="19281CCE" w14:textId="77777777">
        <w:trPr>
          <w:trHeight w:val="371"/>
          <w:jc w:val="center"/>
        </w:trPr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FE27B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Macrophages M2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05209" w14:textId="77777777" w:rsidR="00E7797B" w:rsidRDefault="00E9329F">
            <w:pPr>
              <w:widowControl w:val="0"/>
              <w:spacing w:before="0" w:after="0"/>
              <w:jc w:val="center"/>
              <w:rPr>
                <w:rFonts w:ascii="HelveticaNeueLTStd-Bd" w:eastAsia="SimSun" w:hAnsi="HelveticaNeueLTStd-Bd" w:cs="HelveticaNeueLTStd-Bd"/>
                <w:color w:val="231F20"/>
                <w:sz w:val="14"/>
                <w:szCs w:val="14"/>
                <w:lang w:eastAsia="zh-CN" w:bidi="ar"/>
              </w:rPr>
            </w:pPr>
            <w:r>
              <w:rPr>
                <w:rFonts w:ascii="HelveticaNeueLTStd-Bd" w:eastAsia="SimSun" w:hAnsi="HelveticaNeueLTStd-Bd" w:cs="HelveticaNeueLTStd-Bd" w:hint="eastAsia"/>
                <w:color w:val="231F20"/>
                <w:sz w:val="14"/>
                <w:szCs w:val="14"/>
                <w:lang w:eastAsia="zh-CN" w:bidi="ar"/>
              </w:rPr>
              <w:t>0.3</w:t>
            </w:r>
          </w:p>
        </w:tc>
      </w:tr>
    </w:tbl>
    <w:p w14:paraId="32E5D64A" w14:textId="77777777" w:rsidR="00E7797B" w:rsidRDefault="00E7797B">
      <w:pPr>
        <w:rPr>
          <w:rStyle w:val="fontstyle21"/>
          <w:bCs/>
          <w:sz w:val="21"/>
          <w:szCs w:val="21"/>
        </w:rPr>
      </w:pPr>
    </w:p>
    <w:sectPr w:rsidR="00E7797B" w:rsidSect="00AA1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8B19" w14:textId="77777777" w:rsidR="00E9329F" w:rsidRDefault="00E9329F">
      <w:pPr>
        <w:spacing w:before="0" w:after="0" w:line="240" w:lineRule="auto"/>
      </w:pPr>
      <w:r>
        <w:separator/>
      </w:r>
    </w:p>
  </w:endnote>
  <w:endnote w:type="continuationSeparator" w:id="0">
    <w:p w14:paraId="168C22AA" w14:textId="77777777" w:rsidR="00E9329F" w:rsidRDefault="00E932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3D5C76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NeueLTStd-Lt">
    <w:altName w:val="Segoe Print"/>
    <w:charset w:val="00"/>
    <w:family w:val="auto"/>
    <w:pitch w:val="default"/>
  </w:font>
  <w:font w:name="RMTMI">
    <w:altName w:val="Segoe Print"/>
    <w:charset w:val="00"/>
    <w:family w:val="auto"/>
    <w:pitch w:val="default"/>
  </w:font>
  <w:font w:name="MTSY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HelveticaNeueLTStd-B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NeueLTStd-BdIt">
    <w:altName w:val="Arial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FEF0" w14:textId="77777777" w:rsidR="00E7797B" w:rsidRDefault="00E9329F">
    <w:pPr>
      <w:pStyle w:val="Footer"/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C255A2" wp14:editId="755C2E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99C7E8" w14:textId="77777777" w:rsidR="00E7797B" w:rsidRDefault="00E9329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8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6540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3"/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8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FB07" w14:textId="77777777" w:rsidR="00E7797B" w:rsidRDefault="00E9329F">
    <w:pPr>
      <w:pStyle w:val="Footer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C81E6EF" wp14:editId="4E8543C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8EEED1" w14:textId="77777777" w:rsidR="00E7797B" w:rsidRDefault="00E9329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7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3"/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7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36E1" w14:textId="77777777" w:rsidR="00E9329F" w:rsidRDefault="00E9329F">
      <w:pPr>
        <w:spacing w:before="0" w:after="0" w:line="240" w:lineRule="auto"/>
      </w:pPr>
      <w:r>
        <w:separator/>
      </w:r>
    </w:p>
  </w:footnote>
  <w:footnote w:type="continuationSeparator" w:id="0">
    <w:p w14:paraId="31B9FB9F" w14:textId="77777777" w:rsidR="00E9329F" w:rsidRDefault="00E932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59DE" w14:textId="77777777" w:rsidR="00E7797B" w:rsidRDefault="00E9329F">
    <w:pPr>
      <w:pStyle w:val="14"/>
      <w:ind w:firstLineChars="0" w:firstLine="0"/>
      <w:jc w:val="center"/>
      <w:rPr>
        <w:sz w:val="18"/>
        <w:szCs w:val="18"/>
      </w:rPr>
    </w:pPr>
    <w:r>
      <w:rPr>
        <w:rFonts w:hint="eastAsia"/>
        <w:b/>
        <w:sz w:val="18"/>
        <w:szCs w:val="18"/>
      </w:rPr>
      <w:t xml:space="preserve">MMP14 </w:t>
    </w:r>
    <w:r>
      <w:rPr>
        <w:b/>
        <w:sz w:val="18"/>
        <w:szCs w:val="18"/>
      </w:rPr>
      <w:t xml:space="preserve">is a </w:t>
    </w:r>
    <w:r>
      <w:rPr>
        <w:rFonts w:hint="eastAsia"/>
        <w:b/>
        <w:sz w:val="18"/>
        <w:szCs w:val="18"/>
      </w:rPr>
      <w:t>p</w:t>
    </w:r>
    <w:r>
      <w:rPr>
        <w:b/>
        <w:sz w:val="18"/>
        <w:szCs w:val="18"/>
      </w:rPr>
      <w:t xml:space="preserve">rognostic </w:t>
    </w:r>
    <w:r>
      <w:rPr>
        <w:rFonts w:hint="eastAsia"/>
        <w:b/>
        <w:sz w:val="18"/>
        <w:szCs w:val="18"/>
      </w:rPr>
      <w:t>b</w:t>
    </w:r>
    <w:r>
      <w:rPr>
        <w:b/>
        <w:sz w:val="18"/>
        <w:szCs w:val="18"/>
      </w:rPr>
      <w:t>iomarker and</w:t>
    </w:r>
    <w:r>
      <w:rPr>
        <w:rFonts w:hint="eastAsia"/>
        <w:b/>
        <w:sz w:val="18"/>
        <w:szCs w:val="18"/>
      </w:rPr>
      <w:t xml:space="preserve"> c</w:t>
    </w:r>
    <w:r>
      <w:rPr>
        <w:b/>
        <w:sz w:val="18"/>
        <w:szCs w:val="18"/>
      </w:rPr>
      <w:t xml:space="preserve">orrelated </w:t>
    </w:r>
    <w:r>
      <w:rPr>
        <w:rFonts w:hint="eastAsia"/>
        <w:b/>
        <w:sz w:val="18"/>
        <w:szCs w:val="18"/>
      </w:rPr>
      <w:t>w</w:t>
    </w:r>
    <w:r>
      <w:rPr>
        <w:b/>
        <w:sz w:val="18"/>
        <w:szCs w:val="18"/>
      </w:rPr>
      <w:t xml:space="preserve">ith </w:t>
    </w:r>
    <w:r>
      <w:rPr>
        <w:rFonts w:hint="eastAsia"/>
        <w:b/>
        <w:sz w:val="18"/>
        <w:szCs w:val="18"/>
      </w:rPr>
      <w:t>i</w:t>
    </w:r>
    <w:r>
      <w:rPr>
        <w:b/>
        <w:sz w:val="18"/>
        <w:szCs w:val="18"/>
      </w:rPr>
      <w:t>mmune</w:t>
    </w:r>
    <w:r>
      <w:rPr>
        <w:rFonts w:hint="eastAsia"/>
        <w:b/>
        <w:sz w:val="18"/>
        <w:szCs w:val="18"/>
      </w:rPr>
      <w:t xml:space="preserve"> i</w:t>
    </w:r>
    <w:r>
      <w:rPr>
        <w:b/>
        <w:sz w:val="18"/>
        <w:szCs w:val="18"/>
      </w:rPr>
      <w:t>nfiltrates</w:t>
    </w:r>
    <w:r>
      <w:rPr>
        <w:rFonts w:hint="eastAsia"/>
        <w:b/>
        <w:sz w:val="18"/>
        <w:szCs w:val="18"/>
      </w:rPr>
      <w:t xml:space="preserve"> in Diffuse Large B-cell Lymphoma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EA83" w14:textId="77777777" w:rsidR="00E7797B" w:rsidRDefault="00E9329F">
    <w:pPr>
      <w:pStyle w:val="14"/>
      <w:ind w:firstLineChars="0" w:firstLine="0"/>
      <w:jc w:val="center"/>
      <w:rPr>
        <w:sz w:val="18"/>
        <w:szCs w:val="18"/>
      </w:rPr>
    </w:pPr>
    <w:r>
      <w:rPr>
        <w:rFonts w:hint="eastAsia"/>
        <w:b/>
        <w:sz w:val="18"/>
        <w:szCs w:val="18"/>
      </w:rPr>
      <w:t xml:space="preserve">MMP14 </w:t>
    </w:r>
    <w:r>
      <w:rPr>
        <w:b/>
        <w:sz w:val="18"/>
        <w:szCs w:val="18"/>
      </w:rPr>
      <w:t xml:space="preserve">is a </w:t>
    </w:r>
    <w:r>
      <w:rPr>
        <w:rFonts w:hint="eastAsia"/>
        <w:b/>
        <w:sz w:val="18"/>
        <w:szCs w:val="18"/>
      </w:rPr>
      <w:t>p</w:t>
    </w:r>
    <w:r>
      <w:rPr>
        <w:b/>
        <w:sz w:val="18"/>
        <w:szCs w:val="18"/>
      </w:rPr>
      <w:t xml:space="preserve">rognostic </w:t>
    </w:r>
    <w:r>
      <w:rPr>
        <w:rFonts w:hint="eastAsia"/>
        <w:b/>
        <w:sz w:val="18"/>
        <w:szCs w:val="18"/>
      </w:rPr>
      <w:t>b</w:t>
    </w:r>
    <w:r>
      <w:rPr>
        <w:b/>
        <w:sz w:val="18"/>
        <w:szCs w:val="18"/>
      </w:rPr>
      <w:t>iomarker and</w:t>
    </w:r>
    <w:r>
      <w:rPr>
        <w:rFonts w:hint="eastAsia"/>
        <w:b/>
        <w:sz w:val="18"/>
        <w:szCs w:val="18"/>
      </w:rPr>
      <w:t xml:space="preserve"> c</w:t>
    </w:r>
    <w:r>
      <w:rPr>
        <w:b/>
        <w:sz w:val="18"/>
        <w:szCs w:val="18"/>
      </w:rPr>
      <w:t xml:space="preserve">orrelated </w:t>
    </w:r>
    <w:r>
      <w:rPr>
        <w:rFonts w:hint="eastAsia"/>
        <w:b/>
        <w:sz w:val="18"/>
        <w:szCs w:val="18"/>
      </w:rPr>
      <w:t>w</w:t>
    </w:r>
    <w:r>
      <w:rPr>
        <w:b/>
        <w:sz w:val="18"/>
        <w:szCs w:val="18"/>
      </w:rPr>
      <w:t xml:space="preserve">ith </w:t>
    </w:r>
    <w:r>
      <w:rPr>
        <w:rFonts w:hint="eastAsia"/>
        <w:b/>
        <w:sz w:val="18"/>
        <w:szCs w:val="18"/>
      </w:rPr>
      <w:t>i</w:t>
    </w:r>
    <w:r>
      <w:rPr>
        <w:b/>
        <w:sz w:val="18"/>
        <w:szCs w:val="18"/>
      </w:rPr>
      <w:t>mmune</w:t>
    </w:r>
    <w:r>
      <w:rPr>
        <w:rFonts w:hint="eastAsia"/>
        <w:b/>
        <w:sz w:val="18"/>
        <w:szCs w:val="18"/>
      </w:rPr>
      <w:t xml:space="preserve"> i</w:t>
    </w:r>
    <w:r>
      <w:rPr>
        <w:b/>
        <w:sz w:val="18"/>
        <w:szCs w:val="18"/>
      </w:rPr>
      <w:t>nfiltrates</w:t>
    </w:r>
    <w:r>
      <w:rPr>
        <w:rFonts w:hint="eastAsia"/>
        <w:b/>
        <w:sz w:val="18"/>
        <w:szCs w:val="18"/>
      </w:rPr>
      <w:t xml:space="preserve"> in Diffuse Large B-cell Lymphoma</w:t>
    </w:r>
  </w:p>
  <w:p w14:paraId="4A5493AF" w14:textId="77777777" w:rsidR="00E7797B" w:rsidRDefault="00E77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C3E5" w14:textId="77777777" w:rsidR="00E7797B" w:rsidRDefault="00E9329F">
    <w:pPr>
      <w:pStyle w:val="Header"/>
    </w:pPr>
    <w:r>
      <w:rPr>
        <w:noProof/>
        <w:color w:val="A6A6A6" w:themeColor="background1" w:themeShade="A6"/>
        <w:lang w:eastAsia="zh-CN"/>
      </w:rPr>
      <w:drawing>
        <wp:inline distT="0" distB="0" distL="0" distR="0" wp14:anchorId="6985105D" wp14:editId="30D1A40A">
          <wp:extent cx="1382395" cy="496570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Heading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Heading2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defaultTabStop w:val="720"/>
  <w:evenAndOddHeaders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8-aml&lt;record-ids&gt;&lt;item&gt;9382&lt;/item&gt;&lt;item&gt;9417&lt;/item&gt;&lt;item&gt;9419&lt;/item&gt;&lt;item&gt;9420&lt;/item&gt;&lt;item&gt;9422&lt;/item&gt;&lt;item&gt;9424&lt;/item&gt;&lt;item&gt;9428&lt;/item&gt;&lt;item&gt;9476&lt;/item&gt;&lt;item&gt;9477&lt;/item&gt;&lt;item&gt;9479&lt;/item&gt;&lt;item&gt;9480&lt;/item&gt;&lt;item&gt;9481&lt;/item&gt;&lt;item&gt;9483&lt;/item&gt;&lt;item&gt;9486&lt;/item&gt;&lt;item&gt;9487&lt;/item&gt;&lt;item&gt;9488&lt;/item&gt;&lt;item&gt;9489&lt;/item&gt;&lt;item&gt;9490&lt;/item&gt;&lt;item&gt;9497&lt;/item&gt;&lt;item&gt;9498&lt;/item&gt;&lt;item&gt;9500&lt;/item&gt;&lt;item&gt;9501&lt;/item&gt;&lt;item&gt;9503&lt;/item&gt;&lt;item&gt;9505&lt;/item&gt;&lt;item&gt;9507&lt;/item&gt;&lt;item&gt;9512&lt;/item&gt;&lt;item&gt;9513&lt;/item&gt;&lt;item&gt;9515&lt;/item&gt;&lt;item&gt;9516&lt;/item&gt;&lt;item&gt;9519&lt;/item&gt;&lt;item&gt;9520&lt;/item&gt;&lt;/record-ids&gt;&lt;/item&gt;&lt;/Libraries&gt;"/>
  </w:docVars>
  <w:rsids>
    <w:rsidRoot w:val="00681821"/>
    <w:rsid w:val="0001604A"/>
    <w:rsid w:val="000214A6"/>
    <w:rsid w:val="00034304"/>
    <w:rsid w:val="00035434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1E59"/>
    <w:rsid w:val="00147395"/>
    <w:rsid w:val="001552C9"/>
    <w:rsid w:val="00177D84"/>
    <w:rsid w:val="001964EF"/>
    <w:rsid w:val="001A071C"/>
    <w:rsid w:val="001A34C0"/>
    <w:rsid w:val="001B1A2C"/>
    <w:rsid w:val="001D5C23"/>
    <w:rsid w:val="001F358E"/>
    <w:rsid w:val="001F4C07"/>
    <w:rsid w:val="00220AEA"/>
    <w:rsid w:val="00226954"/>
    <w:rsid w:val="002629A3"/>
    <w:rsid w:val="00265660"/>
    <w:rsid w:val="00266BF7"/>
    <w:rsid w:val="00267D18"/>
    <w:rsid w:val="002868E2"/>
    <w:rsid w:val="002869C3"/>
    <w:rsid w:val="002936E4"/>
    <w:rsid w:val="00296B88"/>
    <w:rsid w:val="002A0BA2"/>
    <w:rsid w:val="002B76FE"/>
    <w:rsid w:val="002C74CA"/>
    <w:rsid w:val="002F6842"/>
    <w:rsid w:val="002F744D"/>
    <w:rsid w:val="00303DE6"/>
    <w:rsid w:val="00310124"/>
    <w:rsid w:val="003544FB"/>
    <w:rsid w:val="00360787"/>
    <w:rsid w:val="00365D63"/>
    <w:rsid w:val="0036793B"/>
    <w:rsid w:val="00372682"/>
    <w:rsid w:val="00376CC5"/>
    <w:rsid w:val="00380DAA"/>
    <w:rsid w:val="0039693B"/>
    <w:rsid w:val="003D2F2D"/>
    <w:rsid w:val="003F346E"/>
    <w:rsid w:val="00401590"/>
    <w:rsid w:val="00422C94"/>
    <w:rsid w:val="00463E3D"/>
    <w:rsid w:val="004645AE"/>
    <w:rsid w:val="004A2E41"/>
    <w:rsid w:val="004A3014"/>
    <w:rsid w:val="004A55B0"/>
    <w:rsid w:val="004A5FFB"/>
    <w:rsid w:val="004D3E33"/>
    <w:rsid w:val="005250F2"/>
    <w:rsid w:val="005A1D84"/>
    <w:rsid w:val="005A70EA"/>
    <w:rsid w:val="005B5E2C"/>
    <w:rsid w:val="005C3963"/>
    <w:rsid w:val="005D1840"/>
    <w:rsid w:val="005D35E4"/>
    <w:rsid w:val="005D7910"/>
    <w:rsid w:val="006045EB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9493A"/>
    <w:rsid w:val="00694E07"/>
    <w:rsid w:val="006B2D5B"/>
    <w:rsid w:val="006B7D14"/>
    <w:rsid w:val="006D5B93"/>
    <w:rsid w:val="00704643"/>
    <w:rsid w:val="00724204"/>
    <w:rsid w:val="00725A7D"/>
    <w:rsid w:val="0073085C"/>
    <w:rsid w:val="00733784"/>
    <w:rsid w:val="00736819"/>
    <w:rsid w:val="00746505"/>
    <w:rsid w:val="0075731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374C3"/>
    <w:rsid w:val="008629A9"/>
    <w:rsid w:val="0088513A"/>
    <w:rsid w:val="00893C19"/>
    <w:rsid w:val="008C680C"/>
    <w:rsid w:val="008D6C8D"/>
    <w:rsid w:val="008E2B54"/>
    <w:rsid w:val="008E4404"/>
    <w:rsid w:val="008E58C7"/>
    <w:rsid w:val="008F5021"/>
    <w:rsid w:val="008F79B3"/>
    <w:rsid w:val="00913A34"/>
    <w:rsid w:val="00924C7E"/>
    <w:rsid w:val="00943573"/>
    <w:rsid w:val="00961BD0"/>
    <w:rsid w:val="009712BB"/>
    <w:rsid w:val="00971B61"/>
    <w:rsid w:val="00980C31"/>
    <w:rsid w:val="009955FF"/>
    <w:rsid w:val="009B0CEF"/>
    <w:rsid w:val="009D259D"/>
    <w:rsid w:val="009E49D0"/>
    <w:rsid w:val="00A50D9D"/>
    <w:rsid w:val="00A53000"/>
    <w:rsid w:val="00A545C6"/>
    <w:rsid w:val="00A652D0"/>
    <w:rsid w:val="00A75F87"/>
    <w:rsid w:val="00A95D8B"/>
    <w:rsid w:val="00AA17DE"/>
    <w:rsid w:val="00AC0270"/>
    <w:rsid w:val="00AC3EA3"/>
    <w:rsid w:val="00AC792D"/>
    <w:rsid w:val="00B2123F"/>
    <w:rsid w:val="00B617E9"/>
    <w:rsid w:val="00B657B8"/>
    <w:rsid w:val="00B84920"/>
    <w:rsid w:val="00B8556A"/>
    <w:rsid w:val="00BA0C4F"/>
    <w:rsid w:val="00BF5C59"/>
    <w:rsid w:val="00BF61EB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1339"/>
    <w:rsid w:val="00CD46E2"/>
    <w:rsid w:val="00D00D0B"/>
    <w:rsid w:val="00D04B69"/>
    <w:rsid w:val="00D537FA"/>
    <w:rsid w:val="00D5547D"/>
    <w:rsid w:val="00D80D99"/>
    <w:rsid w:val="00D9503C"/>
    <w:rsid w:val="00D9773A"/>
    <w:rsid w:val="00DC2237"/>
    <w:rsid w:val="00DD73EF"/>
    <w:rsid w:val="00DE23E8"/>
    <w:rsid w:val="00E0128B"/>
    <w:rsid w:val="00E226DD"/>
    <w:rsid w:val="00E64E17"/>
    <w:rsid w:val="00E67ECC"/>
    <w:rsid w:val="00E7797B"/>
    <w:rsid w:val="00E9329F"/>
    <w:rsid w:val="00EA3D3C"/>
    <w:rsid w:val="00EC7CC3"/>
    <w:rsid w:val="00ED5CD7"/>
    <w:rsid w:val="00F1083D"/>
    <w:rsid w:val="00F46494"/>
    <w:rsid w:val="00F558AB"/>
    <w:rsid w:val="00F61D89"/>
    <w:rsid w:val="00F86ABB"/>
    <w:rsid w:val="00FB1A97"/>
    <w:rsid w:val="00FD7648"/>
    <w:rsid w:val="033C4C19"/>
    <w:rsid w:val="06A8219B"/>
    <w:rsid w:val="08362B9D"/>
    <w:rsid w:val="0ABE739E"/>
    <w:rsid w:val="100E0876"/>
    <w:rsid w:val="11A228D1"/>
    <w:rsid w:val="11A76916"/>
    <w:rsid w:val="132A39F2"/>
    <w:rsid w:val="169111E6"/>
    <w:rsid w:val="20392720"/>
    <w:rsid w:val="22E43658"/>
    <w:rsid w:val="232849AF"/>
    <w:rsid w:val="243B1088"/>
    <w:rsid w:val="24760689"/>
    <w:rsid w:val="250A1D0F"/>
    <w:rsid w:val="2AA76927"/>
    <w:rsid w:val="2DE11462"/>
    <w:rsid w:val="3C1B60A1"/>
    <w:rsid w:val="3C7B5C08"/>
    <w:rsid w:val="403D2605"/>
    <w:rsid w:val="480C2179"/>
    <w:rsid w:val="482E3172"/>
    <w:rsid w:val="4EA25FF6"/>
    <w:rsid w:val="51781F53"/>
    <w:rsid w:val="55D30358"/>
    <w:rsid w:val="5A3D724C"/>
    <w:rsid w:val="5B4E2413"/>
    <w:rsid w:val="5C0D006F"/>
    <w:rsid w:val="603969BC"/>
    <w:rsid w:val="60DA25DC"/>
    <w:rsid w:val="64422BF4"/>
    <w:rsid w:val="665669FB"/>
    <w:rsid w:val="67AB346E"/>
    <w:rsid w:val="6941293C"/>
    <w:rsid w:val="717A4BC5"/>
    <w:rsid w:val="71F80DA3"/>
    <w:rsid w:val="769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BF7F"/>
  <w15:docId w15:val="{0300BF38-25D5-4301-9037-97038090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ind w:left="1434" w:hanging="357"/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eastAsiaTheme="minorHAnsi" w:cstheme="minorBidi"/>
      <w:sz w:val="24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1">
    <w:name w:val="不明显强调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10">
    <w:name w:val="明显强调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1">
    <w:name w:val="明显参考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12">
    <w:name w:val="书籍标题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paragraph" w:customStyle="1" w:styleId="13">
    <w:name w:val="修订1"/>
    <w:hidden/>
    <w:uiPriority w:val="99"/>
    <w:semiHidden/>
    <w:qFormat/>
    <w:rPr>
      <w:rFonts w:eastAsiaTheme="minorHAnsi" w:cstheme="minorBidi"/>
      <w:sz w:val="24"/>
      <w:szCs w:val="22"/>
      <w:lang w:val="en-US" w:eastAsia="en-US"/>
    </w:rPr>
  </w:style>
  <w:style w:type="paragraph" w:customStyle="1" w:styleId="14">
    <w:name w:val="列出段落1"/>
    <w:basedOn w:val="Normal"/>
    <w:link w:val="15"/>
    <w:uiPriority w:val="34"/>
    <w:qFormat/>
    <w:pPr>
      <w:ind w:firstLineChars="200" w:firstLine="420"/>
    </w:pPr>
  </w:style>
  <w:style w:type="character" w:customStyle="1" w:styleId="150">
    <w:name w:val="15"/>
    <w:qFormat/>
    <w:rPr>
      <w:rFonts w:ascii="AdvPS3D5C76" w:hAnsi="AdvPS3D5C76" w:hint="default"/>
      <w:color w:val="231F20"/>
      <w:sz w:val="22"/>
      <w:szCs w:val="22"/>
    </w:rPr>
  </w:style>
  <w:style w:type="paragraph" w:customStyle="1" w:styleId="16">
    <w:name w:val="正文1"/>
    <w:qFormat/>
    <w:pPr>
      <w:jc w:val="both"/>
    </w:pPr>
    <w:rPr>
      <w:kern w:val="2"/>
      <w:sz w:val="21"/>
      <w:szCs w:val="21"/>
      <w:lang w:val="en-US" w:eastAsia="zh-CN"/>
    </w:rPr>
  </w:style>
  <w:style w:type="character" w:customStyle="1" w:styleId="fontstyle21">
    <w:name w:val="fontstyle21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msolistparagraph0">
    <w:name w:val="msolistparagraph"/>
    <w:basedOn w:val="Normal"/>
    <w:qFormat/>
    <w:pPr>
      <w:ind w:firstLineChars="200" w:firstLine="420"/>
    </w:pPr>
    <w:rPr>
      <w:szCs w:val="21"/>
    </w:rPr>
  </w:style>
  <w:style w:type="character" w:customStyle="1" w:styleId="fontstyle31">
    <w:name w:val="fontstyle31"/>
    <w:basedOn w:val="DefaultParagraphFont"/>
    <w:qFormat/>
    <w:rPr>
      <w:rFonts w:ascii="HelveticaNeueLTStd-Lt" w:eastAsia="HelveticaNeueLTStd-Lt" w:hAnsi="HelveticaNeueLTStd-Lt" w:cs="HelveticaNeueLTStd-Lt"/>
      <w:color w:val="242021"/>
      <w:sz w:val="14"/>
      <w:szCs w:val="14"/>
    </w:rPr>
  </w:style>
  <w:style w:type="character" w:customStyle="1" w:styleId="fontstyle41">
    <w:name w:val="fontstyle41"/>
    <w:basedOn w:val="DefaultParagraphFont"/>
    <w:qFormat/>
    <w:rPr>
      <w:rFonts w:ascii="RMTMI" w:eastAsia="RMTMI" w:hAnsi="RMTMI" w:cs="RMTMI"/>
      <w:color w:val="242021"/>
      <w:sz w:val="14"/>
      <w:szCs w:val="14"/>
    </w:rPr>
  </w:style>
  <w:style w:type="character" w:customStyle="1" w:styleId="fontstyle51">
    <w:name w:val="fontstyle51"/>
    <w:basedOn w:val="DefaultParagraphFont"/>
    <w:qFormat/>
    <w:rPr>
      <w:rFonts w:ascii="MTSY" w:eastAsia="MTSY" w:hAnsi="MTSY" w:cs="MTSY"/>
      <w:color w:val="242021"/>
      <w:sz w:val="14"/>
      <w:szCs w:val="14"/>
    </w:rPr>
  </w:style>
  <w:style w:type="paragraph" w:customStyle="1" w:styleId="EndNoteBibliography">
    <w:name w:val="EndNote Bibliography"/>
    <w:basedOn w:val="Normal"/>
    <w:qFormat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spacing w:after="0"/>
      <w:jc w:val="center"/>
    </w:pPr>
    <w:rPr>
      <w:rFonts w:cs="Times New Roman"/>
    </w:rPr>
  </w:style>
  <w:style w:type="character" w:customStyle="1" w:styleId="15">
    <w:name w:val="列出段落1 字符"/>
    <w:basedOn w:val="DefaultParagraphFont"/>
    <w:link w:val="14"/>
    <w:uiPriority w:val="34"/>
    <w:qFormat/>
    <w:rPr>
      <w:rFonts w:eastAsiaTheme="minorHAnsi" w:cstheme="minorBidi"/>
      <w:sz w:val="24"/>
      <w:szCs w:val="22"/>
      <w:lang w:eastAsia="en-US"/>
    </w:rPr>
  </w:style>
  <w:style w:type="character" w:customStyle="1" w:styleId="EndNoteBibliographyTitle0">
    <w:name w:val="EndNote Bibliography Title 字符"/>
    <w:basedOn w:val="15"/>
    <w:link w:val="EndNoteBibliographyTitle"/>
    <w:qFormat/>
    <w:rPr>
      <w:rFonts w:eastAsiaTheme="minorHAnsi" w:cstheme="minorBidi"/>
      <w:sz w:val="24"/>
      <w:szCs w:val="22"/>
      <w:lang w:eastAsia="en-US"/>
    </w:rPr>
  </w:style>
  <w:style w:type="character" w:customStyle="1" w:styleId="fontstyle11">
    <w:name w:val="fontstyle11"/>
    <w:basedOn w:val="DefaultParagraphFont"/>
    <w:qFormat/>
    <w:rPr>
      <w:rFonts w:ascii="MTSY" w:eastAsia="MTSY" w:hAnsi="MTSY" w:cs="MTSY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DA9789F-D182-4C4A-96B6-9FE4F38AD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10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Frontiers</cp:lastModifiedBy>
  <cp:revision>24</cp:revision>
  <cp:lastPrinted>2013-10-03T12:51:00Z</cp:lastPrinted>
  <dcterms:created xsi:type="dcterms:W3CDTF">2018-06-12T15:17:00Z</dcterms:created>
  <dcterms:modified xsi:type="dcterms:W3CDTF">2020-07-29T16:58:00Z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