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240" w:right="1321" w:firstLine="0"/>
        <w:jc w:val="left"/>
        <w:rPr>
          <w:sz w:val="22"/>
        </w:rPr>
      </w:pPr>
      <w:r>
        <w:rPr>
          <w:b/>
          <w:sz w:val="22"/>
        </w:rPr>
        <w:t>Supplementary Table S1. </w:t>
      </w:r>
      <w:r>
        <w:rPr>
          <w:sz w:val="22"/>
        </w:rPr>
        <w:t>Clinicopathologic characteristics of patients with small intestinal adenocarcinomas</w:t>
      </w:r>
    </w:p>
    <w:p>
      <w:pPr>
        <w:pStyle w:val="BodyText"/>
        <w:spacing w:before="6"/>
        <w:ind w:left="0"/>
        <w:rPr>
          <w:sz w:val="21"/>
        </w:rPr>
      </w:pPr>
    </w:p>
    <w:tbl>
      <w:tblPr>
        <w:tblW w:w="0" w:type="auto"/>
        <w:jc w:val="left"/>
        <w:tblInd w:w="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39"/>
        <w:gridCol w:w="4531"/>
      </w:tblGrid>
      <w:tr>
        <w:trPr>
          <w:trHeight w:val="256" w:hRule="atLeast"/>
        </w:trPr>
        <w:tc>
          <w:tcPr>
            <w:tcW w:w="493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 w:before="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Category (N = 185)</w:t>
            </w:r>
          </w:p>
        </w:tc>
        <w:tc>
          <w:tcPr>
            <w:tcW w:w="453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36" w:lineRule="exact" w:before="0"/>
              <w:ind w:right="1492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No. (</w:t>
            </w:r>
            <w:r>
              <w:rPr>
                <w:b/>
                <w:i/>
                <w:sz w:val="22"/>
              </w:rPr>
              <w:t>%</w:t>
            </w:r>
            <w:r>
              <w:rPr>
                <w:b/>
                <w:sz w:val="22"/>
              </w:rPr>
              <w:t>)</w:t>
            </w:r>
          </w:p>
        </w:tc>
      </w:tr>
      <w:tr>
        <w:trPr>
          <w:trHeight w:val="273" w:hRule="atLeast"/>
        </w:trPr>
        <w:tc>
          <w:tcPr>
            <w:tcW w:w="493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51" w:lineRule="exact" w:before="0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Age</w:t>
            </w:r>
          </w:p>
        </w:tc>
        <w:tc>
          <w:tcPr>
            <w:tcW w:w="453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939" w:type="dxa"/>
          </w:tcPr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sz w:val="22"/>
              </w:rPr>
              <w:t>&lt; 60 years</w:t>
            </w:r>
          </w:p>
        </w:tc>
        <w:tc>
          <w:tcPr>
            <w:tcW w:w="4531" w:type="dxa"/>
          </w:tcPr>
          <w:p>
            <w:pPr>
              <w:pStyle w:val="TableParagraph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95 (51.4)</w:t>
            </w:r>
          </w:p>
        </w:tc>
      </w:tr>
      <w:tr>
        <w:trPr>
          <w:trHeight w:val="287" w:hRule="atLeast"/>
        </w:trPr>
        <w:tc>
          <w:tcPr>
            <w:tcW w:w="4939" w:type="dxa"/>
          </w:tcPr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sz w:val="22"/>
              </w:rPr>
              <w:t>≥ 60 years</w:t>
            </w:r>
          </w:p>
        </w:tc>
        <w:tc>
          <w:tcPr>
            <w:tcW w:w="4531" w:type="dxa"/>
          </w:tcPr>
          <w:p>
            <w:pPr>
              <w:pStyle w:val="TableParagraph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90 (48.6)</w:t>
            </w:r>
          </w:p>
        </w:tc>
      </w:tr>
      <w:tr>
        <w:trPr>
          <w:trHeight w:val="287" w:hRule="atLeast"/>
        </w:trPr>
        <w:tc>
          <w:tcPr>
            <w:tcW w:w="4939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Sex</w:t>
            </w:r>
          </w:p>
        </w:tc>
        <w:tc>
          <w:tcPr>
            <w:tcW w:w="453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4939" w:type="dxa"/>
          </w:tcPr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sz w:val="22"/>
              </w:rPr>
              <w:t>Male</w:t>
            </w:r>
          </w:p>
        </w:tc>
        <w:tc>
          <w:tcPr>
            <w:tcW w:w="4531" w:type="dxa"/>
          </w:tcPr>
          <w:p>
            <w:pPr>
              <w:pStyle w:val="TableParagraph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116 (62.7)</w:t>
            </w:r>
          </w:p>
        </w:tc>
      </w:tr>
      <w:tr>
        <w:trPr>
          <w:trHeight w:val="287" w:hRule="atLeast"/>
        </w:trPr>
        <w:tc>
          <w:tcPr>
            <w:tcW w:w="4939" w:type="dxa"/>
          </w:tcPr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sz w:val="22"/>
              </w:rPr>
              <w:t>Female</w:t>
            </w:r>
          </w:p>
        </w:tc>
        <w:tc>
          <w:tcPr>
            <w:tcW w:w="4531" w:type="dxa"/>
          </w:tcPr>
          <w:p>
            <w:pPr>
              <w:pStyle w:val="TableParagraph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69 (37.3)</w:t>
            </w:r>
          </w:p>
        </w:tc>
      </w:tr>
      <w:tr>
        <w:trPr>
          <w:trHeight w:val="287" w:hRule="atLeast"/>
        </w:trPr>
        <w:tc>
          <w:tcPr>
            <w:tcW w:w="4939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Location</w:t>
            </w:r>
          </w:p>
        </w:tc>
        <w:tc>
          <w:tcPr>
            <w:tcW w:w="453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939" w:type="dxa"/>
          </w:tcPr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sz w:val="22"/>
              </w:rPr>
              <w:t>Duodenum</w:t>
            </w:r>
          </w:p>
        </w:tc>
        <w:tc>
          <w:tcPr>
            <w:tcW w:w="4531" w:type="dxa"/>
          </w:tcPr>
          <w:p>
            <w:pPr>
              <w:pStyle w:val="TableParagraph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103 (55.7)</w:t>
            </w:r>
          </w:p>
        </w:tc>
      </w:tr>
      <w:tr>
        <w:trPr>
          <w:trHeight w:val="288" w:hRule="atLeast"/>
        </w:trPr>
        <w:tc>
          <w:tcPr>
            <w:tcW w:w="4939" w:type="dxa"/>
          </w:tcPr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sz w:val="22"/>
              </w:rPr>
              <w:t>Jejunum</w:t>
            </w:r>
          </w:p>
        </w:tc>
        <w:tc>
          <w:tcPr>
            <w:tcW w:w="4531" w:type="dxa"/>
          </w:tcPr>
          <w:p>
            <w:pPr>
              <w:pStyle w:val="TableParagraph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54 (29.2)</w:t>
            </w:r>
          </w:p>
        </w:tc>
      </w:tr>
      <w:tr>
        <w:trPr>
          <w:trHeight w:val="285" w:hRule="atLeast"/>
        </w:trPr>
        <w:tc>
          <w:tcPr>
            <w:tcW w:w="4939" w:type="dxa"/>
          </w:tcPr>
          <w:p>
            <w:pPr>
              <w:pStyle w:val="TableParagraph"/>
              <w:spacing w:line="252" w:lineRule="exact"/>
              <w:ind w:left="328"/>
              <w:rPr>
                <w:sz w:val="22"/>
              </w:rPr>
            </w:pPr>
            <w:r>
              <w:rPr>
                <w:sz w:val="22"/>
              </w:rPr>
              <w:t>Ileum</w:t>
            </w:r>
          </w:p>
        </w:tc>
        <w:tc>
          <w:tcPr>
            <w:tcW w:w="4531" w:type="dxa"/>
          </w:tcPr>
          <w:p>
            <w:pPr>
              <w:pStyle w:val="TableParagraph"/>
              <w:spacing w:line="252" w:lineRule="exact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28 (15.1)</w:t>
            </w:r>
          </w:p>
        </w:tc>
      </w:tr>
      <w:tr>
        <w:trPr>
          <w:trHeight w:val="291" w:hRule="atLeast"/>
        </w:trPr>
        <w:tc>
          <w:tcPr>
            <w:tcW w:w="4939" w:type="dxa"/>
          </w:tcPr>
          <w:p>
            <w:pPr>
              <w:pStyle w:val="TableParagraph"/>
              <w:spacing w:before="11"/>
              <w:ind w:left="108"/>
              <w:rPr>
                <w:b/>
                <w:sz w:val="14"/>
              </w:rPr>
            </w:pPr>
            <w:r>
              <w:rPr>
                <w:b/>
                <w:sz w:val="22"/>
              </w:rPr>
              <w:t>Type of growth</w:t>
            </w:r>
            <w:r>
              <w:rPr>
                <w:b/>
                <w:position w:val="8"/>
                <w:sz w:val="14"/>
              </w:rPr>
              <w:t>a</w:t>
            </w:r>
          </w:p>
        </w:tc>
        <w:tc>
          <w:tcPr>
            <w:tcW w:w="453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939" w:type="dxa"/>
          </w:tcPr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sz w:val="22"/>
              </w:rPr>
              <w:t>Polypoid</w:t>
            </w:r>
          </w:p>
        </w:tc>
        <w:tc>
          <w:tcPr>
            <w:tcW w:w="4531" w:type="dxa"/>
          </w:tcPr>
          <w:p>
            <w:pPr>
              <w:pStyle w:val="TableParagraph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33 (18.7)</w:t>
            </w:r>
          </w:p>
        </w:tc>
      </w:tr>
      <w:tr>
        <w:trPr>
          <w:trHeight w:val="288" w:hRule="atLeast"/>
        </w:trPr>
        <w:tc>
          <w:tcPr>
            <w:tcW w:w="4939" w:type="dxa"/>
          </w:tcPr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sz w:val="22"/>
              </w:rPr>
              <w:t>Nodular</w:t>
            </w:r>
          </w:p>
        </w:tc>
        <w:tc>
          <w:tcPr>
            <w:tcW w:w="4531" w:type="dxa"/>
          </w:tcPr>
          <w:p>
            <w:pPr>
              <w:pStyle w:val="TableParagraph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11 (6.2)</w:t>
            </w:r>
          </w:p>
        </w:tc>
      </w:tr>
      <w:tr>
        <w:trPr>
          <w:trHeight w:val="287" w:hRule="atLeast"/>
        </w:trPr>
        <w:tc>
          <w:tcPr>
            <w:tcW w:w="4939" w:type="dxa"/>
          </w:tcPr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sz w:val="22"/>
              </w:rPr>
              <w:t>Infiltrative</w:t>
            </w:r>
          </w:p>
        </w:tc>
        <w:tc>
          <w:tcPr>
            <w:tcW w:w="4531" w:type="dxa"/>
          </w:tcPr>
          <w:p>
            <w:pPr>
              <w:pStyle w:val="TableParagraph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133 (75.1)</w:t>
            </w:r>
          </w:p>
        </w:tc>
      </w:tr>
      <w:tr>
        <w:trPr>
          <w:trHeight w:val="288" w:hRule="atLeast"/>
        </w:trPr>
        <w:tc>
          <w:tcPr>
            <w:tcW w:w="4939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Histological subtype</w:t>
            </w:r>
          </w:p>
        </w:tc>
        <w:tc>
          <w:tcPr>
            <w:tcW w:w="453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939" w:type="dxa"/>
          </w:tcPr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sz w:val="22"/>
              </w:rPr>
              <w:t>Adenocarcinoma</w:t>
            </w:r>
          </w:p>
        </w:tc>
        <w:tc>
          <w:tcPr>
            <w:tcW w:w="4531" w:type="dxa"/>
          </w:tcPr>
          <w:p>
            <w:pPr>
              <w:pStyle w:val="TableParagraph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168 (90.8)</w:t>
            </w:r>
          </w:p>
        </w:tc>
      </w:tr>
      <w:tr>
        <w:trPr>
          <w:trHeight w:val="287" w:hRule="atLeast"/>
        </w:trPr>
        <w:tc>
          <w:tcPr>
            <w:tcW w:w="4939" w:type="dxa"/>
          </w:tcPr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sz w:val="22"/>
              </w:rPr>
              <w:t>Mucinous carcinoma</w:t>
            </w:r>
          </w:p>
        </w:tc>
        <w:tc>
          <w:tcPr>
            <w:tcW w:w="4531" w:type="dxa"/>
          </w:tcPr>
          <w:p>
            <w:pPr>
              <w:pStyle w:val="TableParagraph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9 (4.8)</w:t>
            </w:r>
          </w:p>
        </w:tc>
      </w:tr>
      <w:tr>
        <w:trPr>
          <w:trHeight w:val="288" w:hRule="atLeast"/>
        </w:trPr>
        <w:tc>
          <w:tcPr>
            <w:tcW w:w="4939" w:type="dxa"/>
          </w:tcPr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sz w:val="22"/>
              </w:rPr>
              <w:t>Signet ring cell carcinoma</w:t>
            </w:r>
          </w:p>
        </w:tc>
        <w:tc>
          <w:tcPr>
            <w:tcW w:w="4531" w:type="dxa"/>
          </w:tcPr>
          <w:p>
            <w:pPr>
              <w:pStyle w:val="TableParagraph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4 (2.2)</w:t>
            </w:r>
          </w:p>
        </w:tc>
      </w:tr>
      <w:tr>
        <w:trPr>
          <w:trHeight w:val="287" w:hRule="atLeast"/>
        </w:trPr>
        <w:tc>
          <w:tcPr>
            <w:tcW w:w="4939" w:type="dxa"/>
          </w:tcPr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sz w:val="22"/>
              </w:rPr>
              <w:t>Undifferentiated carcinoma</w:t>
            </w:r>
          </w:p>
        </w:tc>
        <w:tc>
          <w:tcPr>
            <w:tcW w:w="4531" w:type="dxa"/>
          </w:tcPr>
          <w:p>
            <w:pPr>
              <w:pStyle w:val="TableParagraph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4 (2.2)</w:t>
            </w:r>
          </w:p>
        </w:tc>
      </w:tr>
      <w:tr>
        <w:trPr>
          <w:trHeight w:val="288" w:hRule="atLeast"/>
        </w:trPr>
        <w:tc>
          <w:tcPr>
            <w:tcW w:w="4939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Grade</w:t>
            </w:r>
          </w:p>
        </w:tc>
        <w:tc>
          <w:tcPr>
            <w:tcW w:w="453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4939" w:type="dxa"/>
          </w:tcPr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sz w:val="22"/>
              </w:rPr>
              <w:t>Low</w:t>
            </w:r>
          </w:p>
        </w:tc>
        <w:tc>
          <w:tcPr>
            <w:tcW w:w="4531" w:type="dxa"/>
          </w:tcPr>
          <w:p>
            <w:pPr>
              <w:pStyle w:val="TableParagraph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140 (75.7)</w:t>
            </w:r>
          </w:p>
        </w:tc>
      </w:tr>
      <w:tr>
        <w:trPr>
          <w:trHeight w:val="287" w:hRule="atLeast"/>
        </w:trPr>
        <w:tc>
          <w:tcPr>
            <w:tcW w:w="4939" w:type="dxa"/>
          </w:tcPr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sz w:val="22"/>
              </w:rPr>
              <w:t>High</w:t>
            </w:r>
          </w:p>
        </w:tc>
        <w:tc>
          <w:tcPr>
            <w:tcW w:w="4531" w:type="dxa"/>
          </w:tcPr>
          <w:p>
            <w:pPr>
              <w:pStyle w:val="TableParagraph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45 (24.3)</w:t>
            </w:r>
          </w:p>
        </w:tc>
      </w:tr>
      <w:tr>
        <w:trPr>
          <w:trHeight w:val="288" w:hRule="atLeast"/>
        </w:trPr>
        <w:tc>
          <w:tcPr>
            <w:tcW w:w="4939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Lymphovascular invasion</w:t>
            </w:r>
          </w:p>
        </w:tc>
        <w:tc>
          <w:tcPr>
            <w:tcW w:w="453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4939" w:type="dxa"/>
          </w:tcPr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sz w:val="22"/>
              </w:rPr>
              <w:t>Absent</w:t>
            </w:r>
          </w:p>
        </w:tc>
        <w:tc>
          <w:tcPr>
            <w:tcW w:w="4531" w:type="dxa"/>
          </w:tcPr>
          <w:p>
            <w:pPr>
              <w:pStyle w:val="TableParagraph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89 (48.1)</w:t>
            </w:r>
          </w:p>
        </w:tc>
      </w:tr>
      <w:tr>
        <w:trPr>
          <w:trHeight w:val="287" w:hRule="atLeast"/>
        </w:trPr>
        <w:tc>
          <w:tcPr>
            <w:tcW w:w="4939" w:type="dxa"/>
          </w:tcPr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sz w:val="22"/>
              </w:rPr>
              <w:t>Present</w:t>
            </w:r>
          </w:p>
        </w:tc>
        <w:tc>
          <w:tcPr>
            <w:tcW w:w="4531" w:type="dxa"/>
          </w:tcPr>
          <w:p>
            <w:pPr>
              <w:pStyle w:val="TableParagraph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96 (51.9)</w:t>
            </w:r>
          </w:p>
        </w:tc>
      </w:tr>
      <w:tr>
        <w:trPr>
          <w:trHeight w:val="287" w:hRule="atLeast"/>
        </w:trPr>
        <w:tc>
          <w:tcPr>
            <w:tcW w:w="4939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Perineural invasion</w:t>
            </w:r>
          </w:p>
        </w:tc>
        <w:tc>
          <w:tcPr>
            <w:tcW w:w="453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939" w:type="dxa"/>
          </w:tcPr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sz w:val="22"/>
              </w:rPr>
              <w:t>Absent</w:t>
            </w:r>
          </w:p>
        </w:tc>
        <w:tc>
          <w:tcPr>
            <w:tcW w:w="4531" w:type="dxa"/>
          </w:tcPr>
          <w:p>
            <w:pPr>
              <w:pStyle w:val="TableParagraph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126 (68.1)</w:t>
            </w:r>
          </w:p>
        </w:tc>
      </w:tr>
      <w:tr>
        <w:trPr>
          <w:trHeight w:val="288" w:hRule="atLeast"/>
        </w:trPr>
        <w:tc>
          <w:tcPr>
            <w:tcW w:w="4939" w:type="dxa"/>
          </w:tcPr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sz w:val="22"/>
              </w:rPr>
              <w:t>Present</w:t>
            </w:r>
          </w:p>
        </w:tc>
        <w:tc>
          <w:tcPr>
            <w:tcW w:w="4531" w:type="dxa"/>
          </w:tcPr>
          <w:p>
            <w:pPr>
              <w:pStyle w:val="TableParagraph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59 (31.9)</w:t>
            </w:r>
          </w:p>
        </w:tc>
      </w:tr>
      <w:tr>
        <w:trPr>
          <w:trHeight w:val="287" w:hRule="atLeast"/>
        </w:trPr>
        <w:tc>
          <w:tcPr>
            <w:tcW w:w="4939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Pancreatic invasion</w:t>
            </w:r>
          </w:p>
        </w:tc>
        <w:tc>
          <w:tcPr>
            <w:tcW w:w="453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4939" w:type="dxa"/>
          </w:tcPr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sz w:val="22"/>
              </w:rPr>
              <w:t>Absent</w:t>
            </w:r>
          </w:p>
        </w:tc>
        <w:tc>
          <w:tcPr>
            <w:tcW w:w="4531" w:type="dxa"/>
          </w:tcPr>
          <w:p>
            <w:pPr>
              <w:pStyle w:val="TableParagraph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117 (63.2)</w:t>
            </w:r>
          </w:p>
        </w:tc>
      </w:tr>
      <w:tr>
        <w:trPr>
          <w:trHeight w:val="287" w:hRule="atLeast"/>
        </w:trPr>
        <w:tc>
          <w:tcPr>
            <w:tcW w:w="4939" w:type="dxa"/>
          </w:tcPr>
          <w:p>
            <w:pPr>
              <w:pStyle w:val="TableParagraph"/>
              <w:ind w:left="328"/>
              <w:rPr>
                <w:sz w:val="22"/>
              </w:rPr>
            </w:pPr>
            <w:r>
              <w:rPr>
                <w:sz w:val="22"/>
              </w:rPr>
              <w:t>Present</w:t>
            </w:r>
          </w:p>
        </w:tc>
        <w:tc>
          <w:tcPr>
            <w:tcW w:w="4531" w:type="dxa"/>
          </w:tcPr>
          <w:p>
            <w:pPr>
              <w:pStyle w:val="TableParagraph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68 (36.8)</w:t>
            </w:r>
          </w:p>
        </w:tc>
      </w:tr>
      <w:tr>
        <w:trPr>
          <w:trHeight w:val="288" w:hRule="atLeast"/>
        </w:trPr>
        <w:tc>
          <w:tcPr>
            <w:tcW w:w="4939" w:type="dxa"/>
          </w:tcPr>
          <w:p>
            <w:pPr>
              <w:pStyle w:val="TableParagraph"/>
              <w:ind w:left="108"/>
              <w:rPr>
                <w:b/>
                <w:sz w:val="22"/>
              </w:rPr>
            </w:pPr>
            <w:r>
              <w:rPr>
                <w:b/>
                <w:sz w:val="22"/>
              </w:rPr>
              <w:t>pT category</w:t>
            </w:r>
          </w:p>
        </w:tc>
        <w:tc>
          <w:tcPr>
            <w:tcW w:w="453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9" w:hRule="atLeast"/>
        </w:trPr>
        <w:tc>
          <w:tcPr>
            <w:tcW w:w="4939" w:type="dxa"/>
          </w:tcPr>
          <w:p>
            <w:pPr>
              <w:pStyle w:val="TableParagraph"/>
              <w:spacing w:before="12"/>
              <w:ind w:left="328"/>
              <w:rPr>
                <w:sz w:val="14"/>
              </w:rPr>
            </w:pPr>
            <w:r>
              <w:rPr>
                <w:position w:val="2"/>
                <w:sz w:val="22"/>
              </w:rPr>
              <w:t>pT</w:t>
            </w:r>
            <w:r>
              <w:rPr>
                <w:sz w:val="14"/>
              </w:rPr>
              <w:t>is</w:t>
            </w:r>
          </w:p>
        </w:tc>
        <w:tc>
          <w:tcPr>
            <w:tcW w:w="4531" w:type="dxa"/>
          </w:tcPr>
          <w:p>
            <w:pPr>
              <w:pStyle w:val="TableParagraph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3 (1.6)</w:t>
            </w:r>
          </w:p>
        </w:tc>
      </w:tr>
      <w:tr>
        <w:trPr>
          <w:trHeight w:val="288" w:hRule="atLeast"/>
        </w:trPr>
        <w:tc>
          <w:tcPr>
            <w:tcW w:w="4939" w:type="dxa"/>
          </w:tcPr>
          <w:p>
            <w:pPr>
              <w:pStyle w:val="TableParagraph"/>
              <w:spacing w:before="11"/>
              <w:ind w:left="328"/>
              <w:rPr>
                <w:sz w:val="14"/>
              </w:rPr>
            </w:pPr>
            <w:r>
              <w:rPr>
                <w:position w:val="2"/>
                <w:sz w:val="22"/>
              </w:rPr>
              <w:t>pT</w:t>
            </w:r>
            <w:r>
              <w:rPr>
                <w:sz w:val="14"/>
              </w:rPr>
              <w:t>1</w:t>
            </w:r>
          </w:p>
        </w:tc>
        <w:tc>
          <w:tcPr>
            <w:tcW w:w="4531" w:type="dxa"/>
          </w:tcPr>
          <w:p>
            <w:pPr>
              <w:pStyle w:val="TableParagraph"/>
              <w:spacing w:before="12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7 (3.8)</w:t>
            </w:r>
          </w:p>
        </w:tc>
      </w:tr>
      <w:tr>
        <w:trPr>
          <w:trHeight w:val="288" w:hRule="atLeast"/>
        </w:trPr>
        <w:tc>
          <w:tcPr>
            <w:tcW w:w="4939" w:type="dxa"/>
          </w:tcPr>
          <w:p>
            <w:pPr>
              <w:pStyle w:val="TableParagraph"/>
              <w:spacing w:before="11"/>
              <w:ind w:left="328"/>
              <w:rPr>
                <w:sz w:val="14"/>
              </w:rPr>
            </w:pPr>
            <w:r>
              <w:rPr>
                <w:position w:val="2"/>
                <w:sz w:val="22"/>
              </w:rPr>
              <w:t>pT</w:t>
            </w:r>
            <w:r>
              <w:rPr>
                <w:sz w:val="14"/>
              </w:rPr>
              <w:t>2</w:t>
            </w:r>
          </w:p>
        </w:tc>
        <w:tc>
          <w:tcPr>
            <w:tcW w:w="4531" w:type="dxa"/>
          </w:tcPr>
          <w:p>
            <w:pPr>
              <w:pStyle w:val="TableParagraph"/>
              <w:spacing w:before="12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9 (4.9)</w:t>
            </w:r>
          </w:p>
        </w:tc>
      </w:tr>
      <w:tr>
        <w:trPr>
          <w:trHeight w:val="288" w:hRule="atLeast"/>
        </w:trPr>
        <w:tc>
          <w:tcPr>
            <w:tcW w:w="4939" w:type="dxa"/>
          </w:tcPr>
          <w:p>
            <w:pPr>
              <w:pStyle w:val="TableParagraph"/>
              <w:spacing w:before="11"/>
              <w:ind w:left="328"/>
              <w:rPr>
                <w:sz w:val="14"/>
              </w:rPr>
            </w:pPr>
            <w:r>
              <w:rPr>
                <w:position w:val="2"/>
                <w:sz w:val="22"/>
              </w:rPr>
              <w:t>pT</w:t>
            </w:r>
            <w:r>
              <w:rPr>
                <w:sz w:val="14"/>
              </w:rPr>
              <w:t>3</w:t>
            </w:r>
          </w:p>
        </w:tc>
        <w:tc>
          <w:tcPr>
            <w:tcW w:w="4531" w:type="dxa"/>
          </w:tcPr>
          <w:p>
            <w:pPr>
              <w:pStyle w:val="TableParagraph"/>
              <w:spacing w:before="12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60 (32.4)</w:t>
            </w:r>
          </w:p>
        </w:tc>
      </w:tr>
      <w:tr>
        <w:trPr>
          <w:trHeight w:val="284" w:hRule="atLeast"/>
        </w:trPr>
        <w:tc>
          <w:tcPr>
            <w:tcW w:w="4939" w:type="dxa"/>
          </w:tcPr>
          <w:p>
            <w:pPr>
              <w:pStyle w:val="TableParagraph"/>
              <w:spacing w:line="253" w:lineRule="exact" w:before="11"/>
              <w:ind w:left="328"/>
              <w:rPr>
                <w:sz w:val="14"/>
              </w:rPr>
            </w:pPr>
            <w:r>
              <w:rPr>
                <w:position w:val="2"/>
                <w:sz w:val="22"/>
              </w:rPr>
              <w:t>pT</w:t>
            </w:r>
            <w:r>
              <w:rPr>
                <w:sz w:val="14"/>
              </w:rPr>
              <w:t>4</w:t>
            </w:r>
          </w:p>
        </w:tc>
        <w:tc>
          <w:tcPr>
            <w:tcW w:w="4531" w:type="dxa"/>
          </w:tcPr>
          <w:p>
            <w:pPr>
              <w:pStyle w:val="TableParagraph"/>
              <w:spacing w:line="252" w:lineRule="exact" w:before="12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106 (57.3)</w:t>
            </w:r>
          </w:p>
        </w:tc>
      </w:tr>
      <w:tr>
        <w:trPr>
          <w:trHeight w:val="290" w:hRule="atLeast"/>
        </w:trPr>
        <w:tc>
          <w:tcPr>
            <w:tcW w:w="4939" w:type="dxa"/>
          </w:tcPr>
          <w:p>
            <w:pPr>
              <w:pStyle w:val="TableParagraph"/>
              <w:spacing w:before="10"/>
              <w:ind w:left="108"/>
              <w:rPr>
                <w:b/>
                <w:sz w:val="14"/>
              </w:rPr>
            </w:pPr>
            <w:r>
              <w:rPr>
                <w:b/>
                <w:sz w:val="22"/>
              </w:rPr>
              <w:t>pN category</w:t>
            </w:r>
            <w:r>
              <w:rPr>
                <w:b/>
                <w:position w:val="8"/>
                <w:sz w:val="14"/>
              </w:rPr>
              <w:t>b</w:t>
            </w:r>
          </w:p>
        </w:tc>
        <w:tc>
          <w:tcPr>
            <w:tcW w:w="453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8" w:hRule="atLeast"/>
        </w:trPr>
        <w:tc>
          <w:tcPr>
            <w:tcW w:w="4939" w:type="dxa"/>
          </w:tcPr>
          <w:p>
            <w:pPr>
              <w:pStyle w:val="TableParagraph"/>
              <w:spacing w:before="12"/>
              <w:ind w:left="328"/>
              <w:rPr>
                <w:sz w:val="14"/>
              </w:rPr>
            </w:pPr>
            <w:r>
              <w:rPr>
                <w:position w:val="2"/>
                <w:sz w:val="22"/>
              </w:rPr>
              <w:t>pN</w:t>
            </w:r>
            <w:r>
              <w:rPr>
                <w:sz w:val="14"/>
              </w:rPr>
              <w:t>0</w:t>
            </w:r>
          </w:p>
        </w:tc>
        <w:tc>
          <w:tcPr>
            <w:tcW w:w="4531" w:type="dxa"/>
          </w:tcPr>
          <w:p>
            <w:pPr>
              <w:pStyle w:val="TableParagraph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82 (48.2)</w:t>
            </w:r>
          </w:p>
        </w:tc>
      </w:tr>
      <w:tr>
        <w:trPr>
          <w:trHeight w:val="287" w:hRule="atLeast"/>
        </w:trPr>
        <w:tc>
          <w:tcPr>
            <w:tcW w:w="4939" w:type="dxa"/>
          </w:tcPr>
          <w:p>
            <w:pPr>
              <w:pStyle w:val="TableParagraph"/>
              <w:spacing w:before="11"/>
              <w:ind w:left="328"/>
              <w:rPr>
                <w:sz w:val="14"/>
              </w:rPr>
            </w:pPr>
            <w:r>
              <w:rPr>
                <w:position w:val="2"/>
                <w:sz w:val="22"/>
              </w:rPr>
              <w:t>pN</w:t>
            </w:r>
            <w:r>
              <w:rPr>
                <w:sz w:val="14"/>
              </w:rPr>
              <w:t>1</w:t>
            </w:r>
          </w:p>
        </w:tc>
        <w:tc>
          <w:tcPr>
            <w:tcW w:w="4531" w:type="dxa"/>
          </w:tcPr>
          <w:p>
            <w:pPr>
              <w:pStyle w:val="TableParagraph"/>
              <w:spacing w:before="12"/>
              <w:ind w:right="1425"/>
              <w:jc w:val="right"/>
              <w:rPr>
                <w:sz w:val="22"/>
              </w:rPr>
            </w:pPr>
            <w:r>
              <w:rPr>
                <w:sz w:val="22"/>
              </w:rPr>
              <w:t>43 (25.3)</w:t>
            </w:r>
          </w:p>
        </w:tc>
      </w:tr>
      <w:tr>
        <w:trPr>
          <w:trHeight w:val="284" w:hRule="atLeast"/>
        </w:trPr>
        <w:tc>
          <w:tcPr>
            <w:tcW w:w="4939" w:type="dxa"/>
          </w:tcPr>
          <w:p>
            <w:pPr>
              <w:pStyle w:val="TableParagraph"/>
              <w:spacing w:line="253" w:lineRule="exact" w:before="11"/>
              <w:ind w:left="328"/>
              <w:rPr>
                <w:sz w:val="14"/>
              </w:rPr>
            </w:pPr>
            <w:r>
              <w:rPr>
                <w:position w:val="2"/>
                <w:sz w:val="22"/>
              </w:rPr>
              <w:t>pN</w:t>
            </w:r>
            <w:r>
              <w:rPr>
                <w:sz w:val="14"/>
              </w:rPr>
              <w:t>2</w:t>
            </w:r>
          </w:p>
        </w:tc>
        <w:tc>
          <w:tcPr>
            <w:tcW w:w="4531" w:type="dxa"/>
          </w:tcPr>
          <w:p>
            <w:pPr>
              <w:pStyle w:val="TableParagraph"/>
              <w:spacing w:line="252" w:lineRule="exact" w:before="12"/>
              <w:ind w:right="1424"/>
              <w:jc w:val="right"/>
              <w:rPr>
                <w:sz w:val="22"/>
              </w:rPr>
            </w:pPr>
            <w:r>
              <w:rPr>
                <w:sz w:val="22"/>
              </w:rPr>
              <w:t>45 (26.5)</w:t>
            </w:r>
          </w:p>
        </w:tc>
      </w:tr>
      <w:tr>
        <w:trPr>
          <w:trHeight w:val="268" w:hRule="atLeast"/>
        </w:trPr>
        <w:tc>
          <w:tcPr>
            <w:tcW w:w="4939" w:type="dxa"/>
          </w:tcPr>
          <w:p>
            <w:pPr>
              <w:pStyle w:val="TableParagraph"/>
              <w:spacing w:line="238" w:lineRule="exact" w:before="10"/>
              <w:ind w:left="108"/>
              <w:rPr>
                <w:b/>
                <w:sz w:val="14"/>
              </w:rPr>
            </w:pPr>
            <w:r>
              <w:rPr>
                <w:b/>
                <w:sz w:val="22"/>
              </w:rPr>
              <w:t>Stage group</w:t>
            </w:r>
            <w:r>
              <w:rPr>
                <w:b/>
                <w:position w:val="8"/>
                <w:sz w:val="14"/>
              </w:rPr>
              <w:t>b</w:t>
            </w:r>
          </w:p>
        </w:tc>
        <w:tc>
          <w:tcPr>
            <w:tcW w:w="4531" w:type="dxa"/>
          </w:tcPr>
          <w:p>
            <w:pPr>
              <w:pStyle w:val="TableParagraph"/>
              <w:spacing w:before="0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type w:val="continuous"/>
          <w:pgSz w:w="12240" w:h="15840"/>
          <w:pgMar w:top="1360" w:bottom="280" w:left="1200" w:right="132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12"/>
        <w:gridCol w:w="5371"/>
      </w:tblGrid>
      <w:tr>
        <w:trPr>
          <w:trHeight w:val="266" w:hRule="atLeast"/>
        </w:trPr>
        <w:tc>
          <w:tcPr>
            <w:tcW w:w="4112" w:type="dxa"/>
          </w:tcPr>
          <w:p>
            <w:pPr>
              <w:pStyle w:val="TableParagraph"/>
              <w:spacing w:line="244" w:lineRule="exact" w:before="0"/>
              <w:ind w:left="343"/>
              <w:rPr>
                <w:sz w:val="22"/>
              </w:rPr>
            </w:pPr>
            <w:r>
              <w:rPr>
                <w:w w:val="100"/>
                <w:sz w:val="22"/>
              </w:rPr>
              <w:t>0</w:t>
            </w:r>
          </w:p>
        </w:tc>
        <w:tc>
          <w:tcPr>
            <w:tcW w:w="5371" w:type="dxa"/>
          </w:tcPr>
          <w:p>
            <w:pPr>
              <w:pStyle w:val="TableParagraph"/>
              <w:spacing w:line="244" w:lineRule="exact" w:before="0"/>
              <w:ind w:right="1423"/>
              <w:jc w:val="right"/>
              <w:rPr>
                <w:sz w:val="22"/>
              </w:rPr>
            </w:pPr>
            <w:r>
              <w:rPr>
                <w:sz w:val="22"/>
              </w:rPr>
              <w:t>2 (1.2)</w:t>
            </w:r>
          </w:p>
        </w:tc>
      </w:tr>
      <w:tr>
        <w:trPr>
          <w:trHeight w:val="288" w:hRule="atLeast"/>
        </w:trPr>
        <w:tc>
          <w:tcPr>
            <w:tcW w:w="4112" w:type="dxa"/>
          </w:tcPr>
          <w:p>
            <w:pPr>
              <w:pStyle w:val="TableParagraph"/>
              <w:ind w:left="343"/>
              <w:rPr>
                <w:sz w:val="22"/>
              </w:rPr>
            </w:pPr>
            <w:r>
              <w:rPr>
                <w:w w:val="100"/>
                <w:sz w:val="22"/>
              </w:rPr>
              <w:t>I</w:t>
            </w:r>
          </w:p>
        </w:tc>
        <w:tc>
          <w:tcPr>
            <w:tcW w:w="5371" w:type="dxa"/>
          </w:tcPr>
          <w:p>
            <w:pPr>
              <w:pStyle w:val="TableParagraph"/>
              <w:ind w:right="1424"/>
              <w:jc w:val="right"/>
              <w:rPr>
                <w:sz w:val="22"/>
              </w:rPr>
            </w:pPr>
            <w:r>
              <w:rPr>
                <w:sz w:val="22"/>
              </w:rPr>
              <w:t>13 (7.6)</w:t>
            </w:r>
          </w:p>
        </w:tc>
      </w:tr>
      <w:tr>
        <w:trPr>
          <w:trHeight w:val="287" w:hRule="atLeast"/>
        </w:trPr>
        <w:tc>
          <w:tcPr>
            <w:tcW w:w="4112" w:type="dxa"/>
          </w:tcPr>
          <w:p>
            <w:pPr>
              <w:pStyle w:val="TableParagraph"/>
              <w:ind w:left="343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5371" w:type="dxa"/>
          </w:tcPr>
          <w:p>
            <w:pPr>
              <w:pStyle w:val="TableParagraph"/>
              <w:ind w:right="1424"/>
              <w:jc w:val="right"/>
              <w:rPr>
                <w:sz w:val="22"/>
              </w:rPr>
            </w:pPr>
            <w:r>
              <w:rPr>
                <w:sz w:val="22"/>
              </w:rPr>
              <w:t>67 (39.4)</w:t>
            </w:r>
          </w:p>
        </w:tc>
      </w:tr>
      <w:tr>
        <w:trPr>
          <w:trHeight w:val="288" w:hRule="atLeast"/>
        </w:trPr>
        <w:tc>
          <w:tcPr>
            <w:tcW w:w="4112" w:type="dxa"/>
          </w:tcPr>
          <w:p>
            <w:pPr>
              <w:pStyle w:val="TableParagraph"/>
              <w:ind w:left="343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5371" w:type="dxa"/>
          </w:tcPr>
          <w:p>
            <w:pPr>
              <w:pStyle w:val="TableParagraph"/>
              <w:ind w:right="1424"/>
              <w:jc w:val="right"/>
              <w:rPr>
                <w:sz w:val="22"/>
              </w:rPr>
            </w:pPr>
            <w:r>
              <w:rPr>
                <w:sz w:val="22"/>
              </w:rPr>
              <w:t>88 (51.8)</w:t>
            </w:r>
          </w:p>
        </w:tc>
      </w:tr>
      <w:tr>
        <w:trPr>
          <w:trHeight w:val="284" w:hRule="atLeast"/>
        </w:trPr>
        <w:tc>
          <w:tcPr>
            <w:tcW w:w="4112" w:type="dxa"/>
          </w:tcPr>
          <w:p>
            <w:pPr>
              <w:pStyle w:val="TableParagraph"/>
              <w:spacing w:line="252" w:lineRule="exact"/>
              <w:ind w:left="122"/>
              <w:rPr>
                <w:b/>
                <w:sz w:val="22"/>
              </w:rPr>
            </w:pPr>
            <w:r>
              <w:rPr>
                <w:b/>
                <w:i/>
                <w:sz w:val="22"/>
              </w:rPr>
              <w:t>KRAS </w:t>
            </w:r>
            <w:r>
              <w:rPr>
                <w:b/>
                <w:sz w:val="22"/>
              </w:rPr>
              <w:t>genotype</w:t>
            </w:r>
          </w:p>
        </w:tc>
        <w:tc>
          <w:tcPr>
            <w:tcW w:w="537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4112" w:type="dxa"/>
          </w:tcPr>
          <w:p>
            <w:pPr>
              <w:pStyle w:val="TableParagraph"/>
              <w:spacing w:line="257" w:lineRule="exact" w:before="11"/>
              <w:ind w:left="343"/>
              <w:rPr>
                <w:sz w:val="14"/>
              </w:rPr>
            </w:pPr>
            <w:r>
              <w:rPr>
                <w:i/>
                <w:sz w:val="22"/>
              </w:rPr>
              <w:t>KRAS</w:t>
            </w:r>
            <w:r>
              <w:rPr>
                <w:position w:val="8"/>
                <w:sz w:val="14"/>
              </w:rPr>
              <w:t>WT</w:t>
            </w:r>
          </w:p>
        </w:tc>
        <w:tc>
          <w:tcPr>
            <w:tcW w:w="5371" w:type="dxa"/>
          </w:tcPr>
          <w:p>
            <w:pPr>
              <w:pStyle w:val="TableParagraph"/>
              <w:spacing w:line="252" w:lineRule="exact" w:before="16"/>
              <w:ind w:right="1424"/>
              <w:jc w:val="right"/>
              <w:rPr>
                <w:sz w:val="22"/>
              </w:rPr>
            </w:pPr>
            <w:r>
              <w:rPr>
                <w:sz w:val="22"/>
              </w:rPr>
              <w:t>125 (67.6)</w:t>
            </w:r>
          </w:p>
        </w:tc>
      </w:tr>
      <w:tr>
        <w:trPr>
          <w:trHeight w:val="305" w:hRule="atLeast"/>
        </w:trPr>
        <w:tc>
          <w:tcPr>
            <w:tcW w:w="411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1"/>
              <w:ind w:left="343"/>
              <w:rPr>
                <w:sz w:val="14"/>
              </w:rPr>
            </w:pPr>
            <w:r>
              <w:rPr>
                <w:i/>
                <w:sz w:val="22"/>
              </w:rPr>
              <w:t>KRAS</w:t>
            </w:r>
            <w:r>
              <w:rPr>
                <w:position w:val="8"/>
                <w:sz w:val="14"/>
              </w:rPr>
              <w:t>MT</w:t>
            </w:r>
          </w:p>
        </w:tc>
        <w:tc>
          <w:tcPr>
            <w:tcW w:w="53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6"/>
              <w:ind w:right="1424"/>
              <w:jc w:val="right"/>
              <w:rPr>
                <w:sz w:val="22"/>
              </w:rPr>
            </w:pPr>
            <w:r>
              <w:rPr>
                <w:sz w:val="22"/>
              </w:rPr>
              <w:t>60 (32.4)</w:t>
            </w:r>
          </w:p>
        </w:tc>
      </w:tr>
    </w:tbl>
    <w:p>
      <w:pPr>
        <w:pStyle w:val="BodyText"/>
        <w:spacing w:before="3"/>
      </w:pPr>
      <w:r>
        <w:rPr>
          <w:position w:val="8"/>
          <w:sz w:val="14"/>
        </w:rPr>
        <w:t>a</w:t>
      </w:r>
      <w:r>
        <w:rPr/>
        <w:t>Calculated for only 177 cases with available information regarding growth type.</w:t>
      </w:r>
    </w:p>
    <w:p>
      <w:pPr>
        <w:pStyle w:val="BodyText"/>
        <w:spacing w:line="360" w:lineRule="auto" w:before="121"/>
        <w:ind w:right="561"/>
      </w:pPr>
      <w:r>
        <w:rPr>
          <w:position w:val="8"/>
          <w:sz w:val="14"/>
        </w:rPr>
        <w:t>b</w:t>
      </w:r>
      <w:r>
        <w:rPr/>
        <w:t>Calculated for only 170 cases with available information regarding lymph node metastasis and stage grouping.</w:t>
      </w:r>
    </w:p>
    <w:p>
      <w:pPr>
        <w:spacing w:after="0" w:line="360" w:lineRule="auto"/>
        <w:sectPr>
          <w:pgSz w:w="12240" w:h="15840"/>
          <w:pgMar w:top="1440" w:bottom="280" w:left="1200" w:right="1320"/>
        </w:sectPr>
      </w:pPr>
    </w:p>
    <w:p>
      <w:pPr>
        <w:pStyle w:val="BodyText"/>
        <w:spacing w:line="360" w:lineRule="auto" w:before="81"/>
        <w:ind w:right="960"/>
      </w:pPr>
      <w:r>
        <w:rPr>
          <w:b/>
        </w:rPr>
        <w:t>Supplementary Table S2. </w:t>
      </w:r>
      <w:r>
        <w:rPr/>
        <w:t>Cox proportional univariate and multivariate analyses of OS in small intestinal adenocarcinoma patients</w:t>
      </w:r>
    </w:p>
    <w:p>
      <w:pPr>
        <w:pStyle w:val="BodyText"/>
        <w:spacing w:before="10"/>
        <w:ind w:left="0"/>
        <w:rPr>
          <w:sz w:val="13"/>
        </w:rPr>
      </w:pPr>
    </w:p>
    <w:tbl>
      <w:tblPr>
        <w:tblW w:w="0" w:type="auto"/>
        <w:jc w:val="left"/>
        <w:tblInd w:w="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79"/>
        <w:gridCol w:w="2021"/>
        <w:gridCol w:w="1129"/>
        <w:gridCol w:w="271"/>
        <w:gridCol w:w="1983"/>
        <w:gridCol w:w="977"/>
      </w:tblGrid>
      <w:tr>
        <w:trPr>
          <w:trHeight w:val="503" w:hRule="atLeast"/>
        </w:trPr>
        <w:tc>
          <w:tcPr>
            <w:tcW w:w="29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Variables</w:t>
            </w: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Univariate analysis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Multivariate analysis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06" w:hRule="atLeast"/>
        </w:trPr>
        <w:tc>
          <w:tcPr>
            <w:tcW w:w="29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2021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HR [95% CI]</w:t>
            </w:r>
          </w:p>
        </w:tc>
        <w:tc>
          <w:tcPr>
            <w:tcW w:w="1129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4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P</w:t>
            </w:r>
          </w:p>
        </w:tc>
        <w:tc>
          <w:tcPr>
            <w:tcW w:w="2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HR [95% CI]</w:t>
            </w:r>
          </w:p>
        </w:tc>
        <w:tc>
          <w:tcPr>
            <w:tcW w:w="977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ind w:left="84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99"/>
                <w:sz w:val="20"/>
              </w:rPr>
              <w:t>P</w:t>
            </w:r>
          </w:p>
        </w:tc>
      </w:tr>
      <w:tr>
        <w:trPr>
          <w:trHeight w:val="372" w:hRule="atLeast"/>
        </w:trPr>
        <w:tc>
          <w:tcPr>
            <w:tcW w:w="297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115"/>
              <w:rPr>
                <w:sz w:val="20"/>
              </w:rPr>
            </w:pPr>
            <w:r>
              <w:rPr>
                <w:sz w:val="20"/>
              </w:rPr>
              <w:t>Age (≥ 60 years)</w:t>
            </w:r>
          </w:p>
        </w:tc>
        <w:tc>
          <w:tcPr>
            <w:tcW w:w="202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1.220 [0.860-1.730]</w:t>
            </w:r>
          </w:p>
        </w:tc>
        <w:tc>
          <w:tcPr>
            <w:tcW w:w="1129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ind w:left="253" w:right="206"/>
              <w:jc w:val="center"/>
              <w:rPr>
                <w:sz w:val="20"/>
              </w:rPr>
            </w:pPr>
            <w:r>
              <w:rPr>
                <w:sz w:val="20"/>
              </w:rPr>
              <w:t>0.274</w:t>
            </w:r>
          </w:p>
        </w:tc>
        <w:tc>
          <w:tcPr>
            <w:tcW w:w="271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2979" w:type="dxa"/>
          </w:tcPr>
          <w:p>
            <w:pPr>
              <w:pStyle w:val="TableParagraph"/>
              <w:spacing w:before="133"/>
              <w:ind w:left="115"/>
              <w:rPr>
                <w:sz w:val="20"/>
              </w:rPr>
            </w:pPr>
            <w:r>
              <w:rPr>
                <w:sz w:val="20"/>
              </w:rPr>
              <w:t>Sex (female)</w:t>
            </w:r>
          </w:p>
        </w:tc>
        <w:tc>
          <w:tcPr>
            <w:tcW w:w="2021" w:type="dxa"/>
          </w:tcPr>
          <w:p>
            <w:pPr>
              <w:pStyle w:val="TableParagraph"/>
              <w:spacing w:before="133"/>
              <w:ind w:left="107"/>
              <w:rPr>
                <w:sz w:val="20"/>
              </w:rPr>
            </w:pPr>
            <w:r>
              <w:rPr>
                <w:sz w:val="20"/>
              </w:rPr>
              <w:t>1.110 [0.780-1.600]</w:t>
            </w:r>
          </w:p>
        </w:tc>
        <w:tc>
          <w:tcPr>
            <w:tcW w:w="1129" w:type="dxa"/>
          </w:tcPr>
          <w:p>
            <w:pPr>
              <w:pStyle w:val="TableParagraph"/>
              <w:spacing w:before="133"/>
              <w:ind w:left="253" w:right="206"/>
              <w:jc w:val="center"/>
              <w:rPr>
                <w:sz w:val="20"/>
              </w:rPr>
            </w:pPr>
            <w:r>
              <w:rPr>
                <w:sz w:val="20"/>
              </w:rPr>
              <w:t>0.557</w:t>
            </w:r>
          </w:p>
        </w:tc>
        <w:tc>
          <w:tcPr>
            <w:tcW w:w="27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1013" w:hRule="atLeast"/>
        </w:trPr>
        <w:tc>
          <w:tcPr>
            <w:tcW w:w="2979" w:type="dxa"/>
          </w:tcPr>
          <w:p>
            <w:pPr>
              <w:pStyle w:val="TableParagraph"/>
              <w:spacing w:before="136"/>
              <w:ind w:left="115"/>
              <w:rPr>
                <w:sz w:val="20"/>
              </w:rPr>
            </w:pPr>
            <w:r>
              <w:rPr>
                <w:sz w:val="20"/>
              </w:rPr>
              <w:t>Location (distal)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0"/>
              <w:ind w:left="115"/>
              <w:rPr>
                <w:sz w:val="20"/>
              </w:rPr>
            </w:pPr>
            <w:r>
              <w:rPr>
                <w:sz w:val="20"/>
              </w:rPr>
              <w:t>Histologic subtype (nontubular)</w:t>
            </w:r>
          </w:p>
        </w:tc>
        <w:tc>
          <w:tcPr>
            <w:tcW w:w="2021" w:type="dxa"/>
          </w:tcPr>
          <w:p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1.280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[1.070-1.530]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0"/>
              <w:ind w:left="107"/>
              <w:rPr>
                <w:sz w:val="20"/>
              </w:rPr>
            </w:pPr>
            <w:r>
              <w:rPr>
                <w:sz w:val="20"/>
              </w:rPr>
              <w:t>1.771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[0.994-3.157]</w:t>
            </w:r>
          </w:p>
        </w:tc>
        <w:tc>
          <w:tcPr>
            <w:tcW w:w="1129" w:type="dxa"/>
          </w:tcPr>
          <w:p>
            <w:pPr>
              <w:pStyle w:val="TableParagraph"/>
              <w:spacing w:before="131"/>
              <w:ind w:left="328"/>
              <w:rPr>
                <w:sz w:val="13"/>
              </w:rPr>
            </w:pPr>
            <w:r>
              <w:rPr>
                <w:sz w:val="20"/>
              </w:rPr>
              <w:t>0.007</w:t>
            </w:r>
            <w:r>
              <w:rPr>
                <w:position w:val="7"/>
                <w:sz w:val="13"/>
              </w:rPr>
              <w:t>*</w:t>
            </w:r>
          </w:p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before="0"/>
              <w:ind w:left="362"/>
              <w:rPr>
                <w:sz w:val="20"/>
              </w:rPr>
            </w:pPr>
            <w:r>
              <w:rPr>
                <w:sz w:val="20"/>
              </w:rPr>
              <w:t>0.053</w:t>
            </w:r>
          </w:p>
        </w:tc>
        <w:tc>
          <w:tcPr>
            <w:tcW w:w="27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1.340 [1.093-1.643]</w:t>
            </w:r>
          </w:p>
        </w:tc>
        <w:tc>
          <w:tcPr>
            <w:tcW w:w="977" w:type="dxa"/>
          </w:tcPr>
          <w:p>
            <w:pPr>
              <w:pStyle w:val="TableParagraph"/>
              <w:spacing w:before="131"/>
              <w:ind w:left="254" w:right="167"/>
              <w:jc w:val="center"/>
              <w:rPr>
                <w:sz w:val="13"/>
              </w:rPr>
            </w:pPr>
            <w:r>
              <w:rPr>
                <w:sz w:val="20"/>
              </w:rPr>
              <w:t>0.005</w:t>
            </w:r>
            <w:r>
              <w:rPr>
                <w:position w:val="7"/>
                <w:sz w:val="13"/>
              </w:rPr>
              <w:t>*</w:t>
            </w:r>
          </w:p>
        </w:tc>
      </w:tr>
      <w:tr>
        <w:trPr>
          <w:trHeight w:val="501" w:hRule="atLeast"/>
        </w:trPr>
        <w:tc>
          <w:tcPr>
            <w:tcW w:w="2979" w:type="dxa"/>
          </w:tcPr>
          <w:p>
            <w:pPr>
              <w:pStyle w:val="TableParagraph"/>
              <w:spacing w:before="133"/>
              <w:ind w:left="115"/>
              <w:rPr>
                <w:sz w:val="20"/>
              </w:rPr>
            </w:pPr>
            <w:r>
              <w:rPr>
                <w:sz w:val="20"/>
              </w:rPr>
              <w:t>Grade (high)</w:t>
            </w:r>
          </w:p>
        </w:tc>
        <w:tc>
          <w:tcPr>
            <w:tcW w:w="2021" w:type="dxa"/>
          </w:tcPr>
          <w:p>
            <w:pPr>
              <w:pStyle w:val="TableParagraph"/>
              <w:spacing w:before="133"/>
              <w:ind w:left="107"/>
              <w:rPr>
                <w:sz w:val="20"/>
              </w:rPr>
            </w:pPr>
            <w:r>
              <w:rPr>
                <w:sz w:val="20"/>
              </w:rPr>
              <w:t>1.240 [0.840-1.850]</w:t>
            </w:r>
          </w:p>
        </w:tc>
        <w:tc>
          <w:tcPr>
            <w:tcW w:w="1129" w:type="dxa"/>
          </w:tcPr>
          <w:p>
            <w:pPr>
              <w:pStyle w:val="TableParagraph"/>
              <w:spacing w:before="133"/>
              <w:ind w:left="253" w:right="206"/>
              <w:jc w:val="center"/>
              <w:rPr>
                <w:sz w:val="20"/>
              </w:rPr>
            </w:pPr>
            <w:r>
              <w:rPr>
                <w:sz w:val="20"/>
              </w:rPr>
              <w:t>0.280</w:t>
            </w:r>
          </w:p>
        </w:tc>
        <w:tc>
          <w:tcPr>
            <w:tcW w:w="27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07" w:hRule="atLeast"/>
        </w:trPr>
        <w:tc>
          <w:tcPr>
            <w:tcW w:w="2979" w:type="dxa"/>
          </w:tcPr>
          <w:p>
            <w:pPr>
              <w:pStyle w:val="TableParagraph"/>
              <w:spacing w:before="135"/>
              <w:ind w:left="115"/>
              <w:rPr>
                <w:sz w:val="20"/>
              </w:rPr>
            </w:pPr>
            <w:r>
              <w:rPr>
                <w:position w:val="2"/>
                <w:sz w:val="20"/>
              </w:rPr>
              <w:t>pT category (≥ pT</w:t>
            </w:r>
            <w:r>
              <w:rPr>
                <w:sz w:val="13"/>
              </w:rPr>
              <w:t>3</w:t>
            </w:r>
            <w:r>
              <w:rPr>
                <w:position w:val="2"/>
                <w:sz w:val="20"/>
              </w:rPr>
              <w:t>)</w:t>
            </w:r>
          </w:p>
        </w:tc>
        <w:tc>
          <w:tcPr>
            <w:tcW w:w="2021" w:type="dxa"/>
          </w:tcPr>
          <w:p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1.460 [1.160-1.840]</w:t>
            </w:r>
          </w:p>
        </w:tc>
        <w:tc>
          <w:tcPr>
            <w:tcW w:w="1129" w:type="dxa"/>
          </w:tcPr>
          <w:p>
            <w:pPr>
              <w:pStyle w:val="TableParagraph"/>
              <w:spacing w:before="131"/>
              <w:ind w:left="253" w:right="206"/>
              <w:jc w:val="center"/>
              <w:rPr>
                <w:sz w:val="13"/>
              </w:rPr>
            </w:pPr>
            <w:r>
              <w:rPr>
                <w:sz w:val="20"/>
              </w:rPr>
              <w:t>0.001</w:t>
            </w:r>
            <w:r>
              <w:rPr>
                <w:position w:val="7"/>
                <w:sz w:val="13"/>
              </w:rPr>
              <w:t>*</w:t>
            </w:r>
          </w:p>
        </w:tc>
        <w:tc>
          <w:tcPr>
            <w:tcW w:w="27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136"/>
              <w:ind w:left="107"/>
              <w:rPr>
                <w:sz w:val="20"/>
              </w:rPr>
            </w:pPr>
            <w:r>
              <w:rPr>
                <w:sz w:val="20"/>
              </w:rPr>
              <w:t>1.311 [0.996-1.726]</w:t>
            </w:r>
          </w:p>
        </w:tc>
        <w:tc>
          <w:tcPr>
            <w:tcW w:w="977" w:type="dxa"/>
          </w:tcPr>
          <w:p>
            <w:pPr>
              <w:pStyle w:val="TableParagraph"/>
              <w:spacing w:before="136"/>
              <w:ind w:left="249" w:right="167"/>
              <w:jc w:val="center"/>
              <w:rPr>
                <w:sz w:val="20"/>
              </w:rPr>
            </w:pPr>
            <w:r>
              <w:rPr>
                <w:sz w:val="20"/>
              </w:rPr>
              <w:t>0.053</w:t>
            </w:r>
          </w:p>
        </w:tc>
      </w:tr>
      <w:tr>
        <w:trPr>
          <w:trHeight w:val="506" w:hRule="atLeast"/>
        </w:trPr>
        <w:tc>
          <w:tcPr>
            <w:tcW w:w="2979" w:type="dxa"/>
          </w:tcPr>
          <w:p>
            <w:pPr>
              <w:pStyle w:val="TableParagraph"/>
              <w:spacing w:before="135"/>
              <w:ind w:left="115"/>
              <w:rPr>
                <w:sz w:val="20"/>
              </w:rPr>
            </w:pPr>
            <w:r>
              <w:rPr>
                <w:sz w:val="20"/>
              </w:rPr>
              <w:t>Nodal metastasis</w:t>
            </w:r>
          </w:p>
        </w:tc>
        <w:tc>
          <w:tcPr>
            <w:tcW w:w="2021" w:type="dxa"/>
          </w:tcPr>
          <w:p>
            <w:pPr>
              <w:pStyle w:val="TableParagraph"/>
              <w:spacing w:before="135"/>
              <w:ind w:left="107"/>
              <w:rPr>
                <w:sz w:val="20"/>
              </w:rPr>
            </w:pPr>
            <w:r>
              <w:rPr>
                <w:sz w:val="20"/>
              </w:rPr>
              <w:t>2.160 [1.470-3.170]</w:t>
            </w:r>
          </w:p>
        </w:tc>
        <w:tc>
          <w:tcPr>
            <w:tcW w:w="1129" w:type="dxa"/>
          </w:tcPr>
          <w:p>
            <w:pPr>
              <w:pStyle w:val="TableParagraph"/>
              <w:spacing w:before="130"/>
              <w:ind w:left="255" w:right="206"/>
              <w:jc w:val="center"/>
              <w:rPr>
                <w:sz w:val="13"/>
              </w:rPr>
            </w:pPr>
            <w:r>
              <w:rPr>
                <w:sz w:val="20"/>
              </w:rPr>
              <w:t>&lt;0.001</w:t>
            </w:r>
            <w:r>
              <w:rPr>
                <w:position w:val="7"/>
                <w:sz w:val="13"/>
              </w:rPr>
              <w:t>*</w:t>
            </w:r>
          </w:p>
        </w:tc>
        <w:tc>
          <w:tcPr>
            <w:tcW w:w="27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135"/>
              <w:ind w:left="107"/>
              <w:rPr>
                <w:sz w:val="20"/>
              </w:rPr>
            </w:pPr>
            <w:r>
              <w:rPr>
                <w:sz w:val="20"/>
              </w:rPr>
              <w:t>1.882 [1.266-2.798]</w:t>
            </w:r>
          </w:p>
        </w:tc>
        <w:tc>
          <w:tcPr>
            <w:tcW w:w="977" w:type="dxa"/>
          </w:tcPr>
          <w:p>
            <w:pPr>
              <w:pStyle w:val="TableParagraph"/>
              <w:spacing w:before="130"/>
              <w:ind w:left="254" w:right="167"/>
              <w:jc w:val="center"/>
              <w:rPr>
                <w:sz w:val="13"/>
              </w:rPr>
            </w:pPr>
            <w:r>
              <w:rPr>
                <w:sz w:val="20"/>
              </w:rPr>
              <w:t>0.002</w:t>
            </w:r>
            <w:r>
              <w:rPr>
                <w:position w:val="7"/>
                <w:sz w:val="13"/>
              </w:rPr>
              <w:t>*</w:t>
            </w:r>
          </w:p>
        </w:tc>
      </w:tr>
      <w:tr>
        <w:trPr>
          <w:trHeight w:val="504" w:hRule="atLeast"/>
        </w:trPr>
        <w:tc>
          <w:tcPr>
            <w:tcW w:w="2979" w:type="dxa"/>
          </w:tcPr>
          <w:p>
            <w:pPr>
              <w:pStyle w:val="TableParagraph"/>
              <w:spacing w:before="132"/>
              <w:ind w:left="115"/>
              <w:rPr>
                <w:sz w:val="20"/>
              </w:rPr>
            </w:pPr>
            <w:r>
              <w:rPr>
                <w:sz w:val="20"/>
              </w:rPr>
              <w:t>Pancreatic invasion</w:t>
            </w:r>
          </w:p>
        </w:tc>
        <w:tc>
          <w:tcPr>
            <w:tcW w:w="2021" w:type="dxa"/>
          </w:tcPr>
          <w:p>
            <w:pPr>
              <w:pStyle w:val="TableParagraph"/>
              <w:spacing w:before="132"/>
              <w:ind w:left="107"/>
              <w:rPr>
                <w:sz w:val="20"/>
              </w:rPr>
            </w:pPr>
            <w:r>
              <w:rPr>
                <w:sz w:val="20"/>
              </w:rPr>
              <w:t>0.860 [0.600-1.230]</w:t>
            </w:r>
          </w:p>
        </w:tc>
        <w:tc>
          <w:tcPr>
            <w:tcW w:w="1129" w:type="dxa"/>
          </w:tcPr>
          <w:p>
            <w:pPr>
              <w:pStyle w:val="TableParagraph"/>
              <w:spacing w:before="132"/>
              <w:ind w:left="253" w:right="206"/>
              <w:jc w:val="center"/>
              <w:rPr>
                <w:sz w:val="20"/>
              </w:rPr>
            </w:pPr>
            <w:r>
              <w:rPr>
                <w:sz w:val="20"/>
              </w:rPr>
              <w:t>0.403</w:t>
            </w:r>
          </w:p>
        </w:tc>
        <w:tc>
          <w:tcPr>
            <w:tcW w:w="27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501" w:hRule="atLeast"/>
        </w:trPr>
        <w:tc>
          <w:tcPr>
            <w:tcW w:w="2979" w:type="dxa"/>
          </w:tcPr>
          <w:p>
            <w:pPr>
              <w:pStyle w:val="TableParagraph"/>
              <w:spacing w:before="132"/>
              <w:ind w:left="115"/>
              <w:rPr>
                <w:sz w:val="20"/>
              </w:rPr>
            </w:pPr>
            <w:r>
              <w:rPr>
                <w:sz w:val="20"/>
              </w:rPr>
              <w:t>Perineural invasion</w:t>
            </w:r>
          </w:p>
        </w:tc>
        <w:tc>
          <w:tcPr>
            <w:tcW w:w="2021" w:type="dxa"/>
          </w:tcPr>
          <w:p>
            <w:pPr>
              <w:pStyle w:val="TableParagraph"/>
              <w:spacing w:before="132"/>
              <w:ind w:left="107"/>
              <w:rPr>
                <w:sz w:val="20"/>
              </w:rPr>
            </w:pPr>
            <w:r>
              <w:rPr>
                <w:sz w:val="20"/>
              </w:rPr>
              <w:t>1.380 [0.950-2.010]</w:t>
            </w:r>
          </w:p>
        </w:tc>
        <w:tc>
          <w:tcPr>
            <w:tcW w:w="1129" w:type="dxa"/>
          </w:tcPr>
          <w:p>
            <w:pPr>
              <w:pStyle w:val="TableParagraph"/>
              <w:spacing w:before="132"/>
              <w:ind w:left="253" w:right="206"/>
              <w:jc w:val="center"/>
              <w:rPr>
                <w:sz w:val="20"/>
              </w:rPr>
            </w:pPr>
            <w:r>
              <w:rPr>
                <w:sz w:val="20"/>
              </w:rPr>
              <w:t>0.090</w:t>
            </w:r>
          </w:p>
        </w:tc>
        <w:tc>
          <w:tcPr>
            <w:tcW w:w="271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83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977" w:type="dxa"/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</w:tr>
      <w:tr>
        <w:trPr>
          <w:trHeight w:val="641" w:hRule="atLeast"/>
        </w:trPr>
        <w:tc>
          <w:tcPr>
            <w:tcW w:w="297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115"/>
              <w:rPr>
                <w:sz w:val="13"/>
              </w:rPr>
            </w:pPr>
            <w:r>
              <w:rPr>
                <w:sz w:val="20"/>
              </w:rPr>
              <w:t>Dual HES-1</w:t>
            </w:r>
            <w:r>
              <w:rPr>
                <w:position w:val="7"/>
                <w:sz w:val="13"/>
              </w:rPr>
              <w:t>Loss </w:t>
            </w:r>
            <w:r>
              <w:rPr>
                <w:sz w:val="20"/>
              </w:rPr>
              <w:t>and </w:t>
            </w:r>
            <w:r>
              <w:rPr>
                <w:i/>
                <w:sz w:val="20"/>
              </w:rPr>
              <w:t>KRAS</w:t>
            </w:r>
            <w:r>
              <w:rPr>
                <w:position w:val="7"/>
                <w:sz w:val="13"/>
              </w:rPr>
              <w:t>MT</w:t>
            </w:r>
          </w:p>
        </w:tc>
        <w:tc>
          <w:tcPr>
            <w:tcW w:w="202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sz w:val="20"/>
              </w:rPr>
              <w:t>1.550 [1.109-2.200]</w:t>
            </w:r>
          </w:p>
        </w:tc>
        <w:tc>
          <w:tcPr>
            <w:tcW w:w="1129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253" w:right="206"/>
              <w:jc w:val="center"/>
              <w:rPr>
                <w:sz w:val="13"/>
              </w:rPr>
            </w:pPr>
            <w:r>
              <w:rPr>
                <w:sz w:val="20"/>
              </w:rPr>
              <w:t>0.014</w:t>
            </w:r>
            <w:r>
              <w:rPr>
                <w:position w:val="7"/>
                <w:sz w:val="13"/>
              </w:rPr>
              <w:t>*</w:t>
            </w:r>
          </w:p>
        </w:tc>
        <w:tc>
          <w:tcPr>
            <w:tcW w:w="271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0"/>
              <w:rPr>
                <w:sz w:val="20"/>
              </w:rPr>
            </w:pPr>
          </w:p>
        </w:tc>
        <w:tc>
          <w:tcPr>
            <w:tcW w:w="1983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7"/>
              <w:ind w:left="107"/>
              <w:rPr>
                <w:sz w:val="20"/>
              </w:rPr>
            </w:pPr>
            <w:r>
              <w:rPr>
                <w:sz w:val="20"/>
              </w:rPr>
              <w:t>1.312 [1.125-1.529]</w:t>
            </w:r>
          </w:p>
        </w:tc>
        <w:tc>
          <w:tcPr>
            <w:tcW w:w="977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3"/>
              <w:ind w:left="254" w:right="167"/>
              <w:jc w:val="center"/>
              <w:rPr>
                <w:sz w:val="13"/>
              </w:rPr>
            </w:pPr>
            <w:r>
              <w:rPr>
                <w:sz w:val="20"/>
              </w:rPr>
              <w:t>0.001</w:t>
            </w:r>
            <w:r>
              <w:rPr>
                <w:position w:val="7"/>
                <w:sz w:val="13"/>
              </w:rPr>
              <w:t>*</w:t>
            </w:r>
          </w:p>
        </w:tc>
      </w:tr>
    </w:tbl>
    <w:p>
      <w:pPr>
        <w:pStyle w:val="BodyText"/>
        <w:spacing w:before="11"/>
        <w:ind w:left="0"/>
        <w:rPr>
          <w:sz w:val="20"/>
        </w:rPr>
      </w:pPr>
    </w:p>
    <w:p>
      <w:pPr>
        <w:pStyle w:val="BodyText"/>
      </w:pPr>
      <w:r>
        <w:rPr/>
        <w:t>HR, Hazard ratio; CI, confidence interval</w:t>
      </w:r>
    </w:p>
    <w:p>
      <w:pPr>
        <w:pStyle w:val="BodyText"/>
        <w:spacing w:before="123"/>
      </w:pPr>
      <w:r>
        <w:rPr>
          <w:position w:val="8"/>
          <w:sz w:val="14"/>
        </w:rPr>
        <w:t>*</w:t>
      </w:r>
      <w:r>
        <w:rPr/>
        <w:t>Statistically significant (</w:t>
      </w:r>
      <w:r>
        <w:rPr>
          <w:i/>
        </w:rPr>
        <w:t>P </w:t>
      </w:r>
      <w:r>
        <w:rPr/>
        <w:t>&lt; 0.05)</w:t>
      </w:r>
    </w:p>
    <w:sectPr>
      <w:pgSz w:w="12240" w:h="15840"/>
      <w:pgMar w:top="1360" w:bottom="280" w:left="120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240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3"/>
    </w:pPr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2020-07-06T11:51:09Z</dcterms:created>
  <dcterms:modified xsi:type="dcterms:W3CDTF">2020-07-06T11:51:09Z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2020-06-26T00:00:00Z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2020-07-06T00:00:00Z</vt:filetime>
  </property>
</Properties>
</file>