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DF" w:rsidRPr="004D1DE8" w:rsidRDefault="009004DF" w:rsidP="00FA586D">
      <w:pPr>
        <w:pStyle w:val="Heading1"/>
        <w:numPr>
          <w:ilvl w:val="0"/>
          <w:numId w:val="0"/>
        </w:numPr>
        <w:ind w:left="567" w:hanging="567"/>
      </w:pPr>
      <w:r w:rsidRPr="004D1DE8">
        <w:t>Supplemental Methods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  <w:b/>
        </w:rPr>
      </w:pPr>
      <w:r w:rsidRPr="004D1DE8">
        <w:rPr>
          <w:rFonts w:cs="Times New Roman"/>
          <w:b/>
        </w:rPr>
        <w:t>Umbilical Cord Blood Samples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</w:rPr>
      </w:pPr>
      <w:r w:rsidRPr="004D1DE8">
        <w:rPr>
          <w:rFonts w:cs="Times New Roman"/>
        </w:rPr>
        <w:t>Human UCB samples were obtained and HSPC containing fractions were purified using CD34 progenitor cell isolation kits (</w:t>
      </w:r>
      <w:proofErr w:type="spellStart"/>
      <w:r w:rsidRPr="004D1DE8">
        <w:rPr>
          <w:rFonts w:cs="Times New Roman"/>
        </w:rPr>
        <w:t>Miltenyi</w:t>
      </w:r>
      <w:proofErr w:type="spellEnd"/>
      <w:r w:rsidRPr="004D1DE8">
        <w:rPr>
          <w:rFonts w:cs="Times New Roman"/>
        </w:rPr>
        <w:t xml:space="preserve"> </w:t>
      </w:r>
      <w:proofErr w:type="spellStart"/>
      <w:r w:rsidRPr="004D1DE8">
        <w:rPr>
          <w:rFonts w:cs="Times New Roman"/>
        </w:rPr>
        <w:t>Biotec</w:t>
      </w:r>
      <w:proofErr w:type="spellEnd"/>
      <w:r w:rsidRPr="004D1DE8">
        <w:rPr>
          <w:rFonts w:cs="Times New Roman"/>
        </w:rPr>
        <w:t>) following manufacturers protocols as previously described</w:t>
      </w:r>
      <w:r>
        <w:rPr>
          <w:rFonts w:cs="Times New Roman"/>
        </w:rPr>
        <w:t xml:space="preserve"> </w:t>
      </w:r>
      <w:r>
        <w:rPr>
          <w:rFonts w:cs="Times New Roman"/>
        </w:rPr>
        <w:t>(1)</w:t>
      </w:r>
      <w:r w:rsidRPr="004D1DE8">
        <w:rPr>
          <w:rFonts w:cs="Times New Roman"/>
        </w:rPr>
        <w:t xml:space="preserve"> in accordance with approved guidelines established by the Research Ethics Board of Sunnybrook Health Sciences Centre.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  <w:b/>
        </w:rPr>
      </w:pPr>
      <w:r w:rsidRPr="004D1DE8">
        <w:rPr>
          <w:rFonts w:cs="Times New Roman"/>
          <w:b/>
        </w:rPr>
        <w:t>Mice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</w:rPr>
      </w:pPr>
      <w:r w:rsidRPr="004D1DE8">
        <w:rPr>
          <w:rFonts w:cs="Times New Roman"/>
        </w:rPr>
        <w:t>NOD.c</w:t>
      </w:r>
      <w:r w:rsidR="005A2221">
        <w:rPr>
          <w:rFonts w:cs="Times New Roman"/>
        </w:rPr>
        <w:t>g-PrkdcscidIL2rgtm/</w:t>
      </w:r>
      <w:proofErr w:type="spellStart"/>
      <w:r w:rsidR="005A2221">
        <w:rPr>
          <w:rFonts w:cs="Times New Roman"/>
        </w:rPr>
        <w:t>Wjl</w:t>
      </w:r>
      <w:proofErr w:type="spellEnd"/>
      <w:r w:rsidR="005A2221">
        <w:rPr>
          <w:rFonts w:cs="Times New Roman"/>
        </w:rPr>
        <w:t>/</w:t>
      </w:r>
      <w:proofErr w:type="spellStart"/>
      <w:r w:rsidR="005A2221">
        <w:rPr>
          <w:rFonts w:cs="Times New Roman"/>
        </w:rPr>
        <w:t>Sz</w:t>
      </w:r>
      <w:proofErr w:type="spellEnd"/>
      <w:r w:rsidR="005A2221">
        <w:rPr>
          <w:rFonts w:cs="Times New Roman"/>
        </w:rPr>
        <w:t xml:space="preserve"> (NOD-</w:t>
      </w:r>
      <w:proofErr w:type="spellStart"/>
      <w:r w:rsidR="005A2221">
        <w:rPr>
          <w:rFonts w:cs="Times New Roman"/>
          <w:i/>
        </w:rPr>
        <w:t>scid</w:t>
      </w:r>
      <w:proofErr w:type="spellEnd"/>
      <w:r w:rsidR="005A2221">
        <w:rPr>
          <w:rFonts w:cs="Times New Roman"/>
        </w:rPr>
        <w:t xml:space="preserve"> IL2R</w:t>
      </w:r>
      <w:r w:rsidRPr="004D1DE8">
        <w:rPr>
          <w:rFonts w:cs="Times New Roman"/>
        </w:rPr>
        <w:t>γ</w:t>
      </w:r>
      <w:r w:rsidRPr="000963B3">
        <w:rPr>
          <w:rFonts w:cs="Times New Roman"/>
          <w:vertAlign w:val="superscript"/>
        </w:rPr>
        <w:t>null</w:t>
      </w:r>
      <w:r w:rsidRPr="004D1DE8">
        <w:rPr>
          <w:rFonts w:cs="Times New Roman"/>
        </w:rPr>
        <w:t xml:space="preserve">, NSG) mice were purchased from Jackson Laboratory (Bar Harbor, ME) and housed and bred in a pathogen-free facility. RANK-Venus </w:t>
      </w:r>
      <w:proofErr w:type="spellStart"/>
      <w:r w:rsidRPr="004D1DE8">
        <w:rPr>
          <w:rFonts w:cs="Times New Roman"/>
        </w:rPr>
        <w:t>hSirp</w:t>
      </w:r>
      <w:proofErr w:type="spellEnd"/>
      <w:r w:rsidRPr="004D1DE8">
        <w:rPr>
          <w:rFonts w:cs="Times New Roman"/>
        </w:rPr>
        <w:t>αTgRag</w:t>
      </w:r>
      <w:r w:rsidRPr="000963B3">
        <w:rPr>
          <w:rFonts w:cs="Times New Roman"/>
          <w:vertAlign w:val="superscript"/>
        </w:rPr>
        <w:t>-/-</w:t>
      </w:r>
      <w:r w:rsidRPr="004D1DE8">
        <w:rPr>
          <w:rFonts w:cs="Times New Roman"/>
        </w:rPr>
        <w:t>γc</w:t>
      </w:r>
      <w:r w:rsidRPr="000963B3">
        <w:rPr>
          <w:rFonts w:cs="Times New Roman"/>
          <w:vertAlign w:val="superscript"/>
        </w:rPr>
        <w:t xml:space="preserve">null </w:t>
      </w:r>
      <w:r w:rsidR="0041541B">
        <w:rPr>
          <w:rFonts w:cs="Times New Roman"/>
        </w:rPr>
        <w:t xml:space="preserve">mice (RV-SRG) </w:t>
      </w:r>
      <w:r w:rsidRPr="004D1DE8">
        <w:rPr>
          <w:rFonts w:cs="Times New Roman"/>
        </w:rPr>
        <w:t xml:space="preserve">were generated by crossing RANK Venus BAC transgenic mice expressing the fluorescent protein Venus under the control elements of the murine </w:t>
      </w:r>
      <w:r w:rsidRPr="000963B3">
        <w:rPr>
          <w:rFonts w:cs="Times New Roman"/>
          <w:i/>
        </w:rPr>
        <w:t>Tnfrsf11a</w:t>
      </w:r>
      <w:r w:rsidRPr="004D1DE8">
        <w:rPr>
          <w:rFonts w:cs="Times New Roman"/>
        </w:rPr>
        <w:t xml:space="preserve"> gene</w:t>
      </w:r>
      <w:r>
        <w:rPr>
          <w:rFonts w:cs="Times New Roman"/>
        </w:rPr>
        <w:t xml:space="preserve"> </w:t>
      </w:r>
      <w:r>
        <w:rPr>
          <w:rFonts w:cs="Times New Roman"/>
        </w:rPr>
        <w:t>(2)</w:t>
      </w:r>
      <w:r w:rsidRPr="004D1DE8">
        <w:rPr>
          <w:rFonts w:cs="Times New Roman"/>
        </w:rPr>
        <w:t xml:space="preserve"> with immunodeficient </w:t>
      </w:r>
      <w:proofErr w:type="spellStart"/>
      <w:r w:rsidRPr="004D1DE8">
        <w:rPr>
          <w:rFonts w:cs="Times New Roman"/>
        </w:rPr>
        <w:t>hSirp</w:t>
      </w:r>
      <w:proofErr w:type="spellEnd"/>
      <w:r w:rsidRPr="004D1DE8">
        <w:rPr>
          <w:rFonts w:cs="Times New Roman"/>
        </w:rPr>
        <w:t>αTgRag</w:t>
      </w:r>
      <w:r w:rsidRPr="000963B3">
        <w:rPr>
          <w:rFonts w:cs="Times New Roman"/>
          <w:vertAlign w:val="superscript"/>
        </w:rPr>
        <w:t>-/-</w:t>
      </w:r>
      <w:r w:rsidRPr="004D1DE8">
        <w:rPr>
          <w:rFonts w:cs="Times New Roman"/>
        </w:rPr>
        <w:t>γc</w:t>
      </w:r>
      <w:r w:rsidR="0041541B">
        <w:rPr>
          <w:rFonts w:cs="Times New Roman"/>
          <w:vertAlign w:val="superscript"/>
        </w:rPr>
        <w:t>null</w:t>
      </w:r>
      <w:r w:rsidRPr="000963B3">
        <w:rPr>
          <w:rFonts w:cs="Times New Roman"/>
          <w:vertAlign w:val="superscript"/>
        </w:rPr>
        <w:t xml:space="preserve"> </w:t>
      </w:r>
      <w:r w:rsidRPr="004D1DE8">
        <w:rPr>
          <w:rFonts w:cs="Times New Roman"/>
        </w:rPr>
        <w:t xml:space="preserve">mice (The Jackson Laboratory). C57BL/6 (B6 CD45.2) and congenic B6.SJL-Ptprca </w:t>
      </w:r>
      <w:proofErr w:type="spellStart"/>
      <w:r w:rsidRPr="004D1DE8">
        <w:rPr>
          <w:rFonts w:cs="Times New Roman"/>
        </w:rPr>
        <w:t>Pepcb</w:t>
      </w:r>
      <w:proofErr w:type="spellEnd"/>
      <w:r w:rsidRPr="004D1DE8">
        <w:rPr>
          <w:rFonts w:cs="Times New Roman"/>
        </w:rPr>
        <w:t>/</w:t>
      </w:r>
      <w:proofErr w:type="spellStart"/>
      <w:r w:rsidRPr="004D1DE8">
        <w:rPr>
          <w:rFonts w:cs="Times New Roman"/>
        </w:rPr>
        <w:t>BoyJ</w:t>
      </w:r>
      <w:proofErr w:type="spellEnd"/>
      <w:r w:rsidRPr="004D1DE8">
        <w:rPr>
          <w:rFonts w:cs="Times New Roman"/>
        </w:rPr>
        <w:t xml:space="preserve"> (B6 CD45.1) mice were purchased from The Jackson Laboratory (stock numbers 000664 and 002014, respectively). Young (8 to 12 weeks), and in-house aged (18-20 months) cohorts of mice were used. To generate Green fluorescent protein (GFP</w:t>
      </w:r>
      <w:r w:rsidRPr="000963B3">
        <w:rPr>
          <w:rFonts w:cs="Times New Roman"/>
          <w:vertAlign w:val="superscript"/>
        </w:rPr>
        <w:t>+</w:t>
      </w:r>
      <w:r w:rsidRPr="004D1DE8">
        <w:rPr>
          <w:rFonts w:cs="Times New Roman"/>
        </w:rPr>
        <w:t>) hematopoietic cells, ROSA26-rtTA transgenic mice</w:t>
      </w:r>
      <w:r>
        <w:rPr>
          <w:rFonts w:cs="Times New Roman"/>
        </w:rPr>
        <w:t xml:space="preserve"> </w:t>
      </w:r>
      <w:r>
        <w:rPr>
          <w:rFonts w:cs="Times New Roman"/>
        </w:rPr>
        <w:fldChar w:fldCharType="begin">
          <w:fldData xml:space="preserve">PEVuZE5vdGU+PENpdGU+PEF1dGhvcj5CZWx0ZWtpPC9BdXRob3I+PFllYXI+MjAwNTwvWWVhcj48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</w:fldData>
        </w:fldChar>
      </w:r>
      <w:r>
        <w:rPr>
          <w:rFonts w:cs="Times New Roman"/>
        </w:rPr>
        <w:instrText xml:space="preserve"> ADDIN EN.CITE </w:instrText>
      </w:r>
      <w:r>
        <w:rPr>
          <w:rFonts w:cs="Times New Roman"/>
        </w:rPr>
        <w:fldChar w:fldCharType="begin">
          <w:fldData xml:space="preserve">PEVuZE5vdGU+PENpdGU+PEF1dGhvcj5CZWx0ZWtpPC9BdXRob3I+PFllYXI+MjAwNTwvWWVhcj48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</w:fldData>
        </w:fldChar>
      </w:r>
      <w:r>
        <w:rPr>
          <w:rFonts w:cs="Times New Roman"/>
        </w:rPr>
        <w:instrText xml:space="preserve"> ADDIN EN.CITE.DATA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(3)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4D1DE8">
        <w:rPr>
          <w:rFonts w:cs="Times New Roman"/>
        </w:rPr>
        <w:t xml:space="preserve">were bred to </w:t>
      </w:r>
      <w:proofErr w:type="spellStart"/>
      <w:r w:rsidRPr="004D1DE8">
        <w:rPr>
          <w:rFonts w:cs="Times New Roman"/>
        </w:rPr>
        <w:t>Vav-iCre</w:t>
      </w:r>
      <w:proofErr w:type="spellEnd"/>
      <w:r w:rsidRPr="004D1DE8">
        <w:rPr>
          <w:rFonts w:cs="Times New Roman"/>
        </w:rPr>
        <w:t xml:space="preserve"> transgenic mice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(4) </w:t>
      </w:r>
      <w:r w:rsidRPr="004D1DE8">
        <w:rPr>
          <w:rFonts w:cs="Times New Roman"/>
        </w:rPr>
        <w:t xml:space="preserve">to establish VaviCre-ROSA26rtTA mice on the B6 CD45.2 background. GFP was expressed in hematopoietic cells of these mice upon </w:t>
      </w:r>
      <w:proofErr w:type="spellStart"/>
      <w:r w:rsidRPr="004D1DE8">
        <w:rPr>
          <w:rFonts w:cs="Times New Roman"/>
        </w:rPr>
        <w:t>Cre</w:t>
      </w:r>
      <w:proofErr w:type="spellEnd"/>
      <w:r w:rsidRPr="004D1DE8">
        <w:rPr>
          <w:rFonts w:cs="Times New Roman"/>
        </w:rPr>
        <w:t xml:space="preserve">-dependent removal of a </w:t>
      </w:r>
      <w:proofErr w:type="spellStart"/>
      <w:r w:rsidRPr="004D1DE8">
        <w:rPr>
          <w:rFonts w:cs="Times New Roman"/>
        </w:rPr>
        <w:t>loxP</w:t>
      </w:r>
      <w:proofErr w:type="spellEnd"/>
      <w:r w:rsidRPr="004D1DE8">
        <w:rPr>
          <w:rFonts w:cs="Times New Roman"/>
        </w:rPr>
        <w:t>-stop-</w:t>
      </w:r>
      <w:proofErr w:type="spellStart"/>
      <w:r w:rsidRPr="004D1DE8">
        <w:rPr>
          <w:rFonts w:cs="Times New Roman"/>
        </w:rPr>
        <w:t>loxP</w:t>
      </w:r>
      <w:proofErr w:type="spellEnd"/>
      <w:r w:rsidRPr="004D1DE8">
        <w:rPr>
          <w:rFonts w:cs="Times New Roman"/>
        </w:rPr>
        <w:t xml:space="preserve"> cassette within the ROSA26 locus. All mice were bred and maintained at Sunnybrook Health Sciences Centre, </w:t>
      </w:r>
      <w:r>
        <w:rPr>
          <w:rFonts w:cs="Times New Roman"/>
        </w:rPr>
        <w:t>and</w:t>
      </w:r>
      <w:r w:rsidRPr="004D1DE8">
        <w:rPr>
          <w:rFonts w:cs="Times New Roman"/>
        </w:rPr>
        <w:t xml:space="preserve"> </w:t>
      </w:r>
      <w:r>
        <w:rPr>
          <w:rFonts w:cs="Times New Roman"/>
        </w:rPr>
        <w:t xml:space="preserve">all </w:t>
      </w:r>
      <w:r w:rsidRPr="004D1DE8">
        <w:rPr>
          <w:rFonts w:cs="Times New Roman"/>
        </w:rPr>
        <w:t>animal procedures</w:t>
      </w:r>
      <w:r>
        <w:rPr>
          <w:rFonts w:cs="Times New Roman"/>
        </w:rPr>
        <w:t xml:space="preserve"> were</w:t>
      </w:r>
      <w:r w:rsidRPr="004D1DE8">
        <w:rPr>
          <w:rFonts w:cs="Times New Roman"/>
        </w:rPr>
        <w:t xml:space="preserve"> approved by the Sunnybrook Health Sciences Centre Animal Care Committee.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  <w:b/>
        </w:rPr>
      </w:pPr>
      <w:r w:rsidRPr="004D1DE8">
        <w:rPr>
          <w:rFonts w:cs="Times New Roman"/>
          <w:b/>
        </w:rPr>
        <w:t>Progenitor T cell co-cultures with OP9-DL4 cells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</w:rPr>
      </w:pPr>
      <w:r w:rsidRPr="004D1DE8">
        <w:rPr>
          <w:rFonts w:cs="Times New Roman"/>
        </w:rPr>
        <w:t>Human HSC/OP9-DL4 cell co-cultures were maintained in α-MEM medium supplemented with 20% fetal bovine serum (</w:t>
      </w:r>
      <w:proofErr w:type="spellStart"/>
      <w:r w:rsidRPr="004D1DE8">
        <w:rPr>
          <w:rFonts w:cs="Times New Roman"/>
        </w:rPr>
        <w:t>Gibco</w:t>
      </w:r>
      <w:proofErr w:type="spellEnd"/>
      <w:r w:rsidRPr="004D1DE8">
        <w:rPr>
          <w:rFonts w:cs="Times New Roman"/>
        </w:rPr>
        <w:t>), plus 100U/mL penicillin/streptomycin (OP9</w:t>
      </w:r>
      <w:r>
        <w:rPr>
          <w:rFonts w:cs="Times New Roman"/>
        </w:rPr>
        <w:t xml:space="preserve">-media) as previously described (1). </w:t>
      </w:r>
      <w:r w:rsidRPr="004D1DE8">
        <w:rPr>
          <w:rFonts w:cs="Times New Roman"/>
        </w:rPr>
        <w:t>Every 5 days, co-cultures were transferred onto a fresh confluent m</w:t>
      </w:r>
      <w:r>
        <w:rPr>
          <w:rFonts w:cs="Times New Roman"/>
        </w:rPr>
        <w:t>onolayer of OP9-DL4 cells in OP9</w:t>
      </w:r>
      <w:r w:rsidRPr="004D1DE8">
        <w:rPr>
          <w:rFonts w:cs="Times New Roman"/>
        </w:rPr>
        <w:t>-media supplemented with recombinant human cytokines Flt-3L (5ng/mL), IL-7 (5ng/mL) and SCF (50ng/mL) (</w:t>
      </w:r>
      <w:proofErr w:type="spellStart"/>
      <w:r w:rsidRPr="004D1DE8">
        <w:rPr>
          <w:rFonts w:cs="Times New Roman"/>
        </w:rPr>
        <w:t>Miltenyi</w:t>
      </w:r>
      <w:proofErr w:type="spellEnd"/>
      <w:r w:rsidRPr="004D1DE8">
        <w:rPr>
          <w:rFonts w:cs="Times New Roman"/>
        </w:rPr>
        <w:t xml:space="preserve">). Co-cultures were carried out for 10-12 days and </w:t>
      </w:r>
      <w:r>
        <w:rPr>
          <w:rFonts w:cs="Times New Roman"/>
        </w:rPr>
        <w:t xml:space="preserve">human </w:t>
      </w:r>
      <w:r w:rsidRPr="004D1DE8">
        <w:rPr>
          <w:rFonts w:cs="Times New Roman"/>
        </w:rPr>
        <w:t>proT cells (CD34</w:t>
      </w:r>
      <w:r w:rsidRPr="000963B3">
        <w:rPr>
          <w:rFonts w:cs="Times New Roman"/>
          <w:vertAlign w:val="superscript"/>
        </w:rPr>
        <w:t>+</w:t>
      </w:r>
      <w:r w:rsidRPr="004D1DE8">
        <w:rPr>
          <w:rFonts w:cs="Times New Roman"/>
        </w:rPr>
        <w:t>CD7</w:t>
      </w:r>
      <w:r w:rsidRPr="000963B3">
        <w:rPr>
          <w:rFonts w:cs="Times New Roman"/>
          <w:vertAlign w:val="superscript"/>
        </w:rPr>
        <w:t>+</w:t>
      </w:r>
      <w:r w:rsidRPr="004D1DE8">
        <w:rPr>
          <w:rFonts w:cs="Times New Roman"/>
        </w:rPr>
        <w:t>) were flow cytometrically sorted if applicable.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</w:rPr>
      </w:pPr>
      <w:r w:rsidRPr="004D1DE8">
        <w:rPr>
          <w:rFonts w:cs="Times New Roman"/>
        </w:rPr>
        <w:t xml:space="preserve">For aged mouse experiments, </w:t>
      </w:r>
      <w:r>
        <w:rPr>
          <w:rFonts w:cs="Times New Roman"/>
        </w:rPr>
        <w:t>LSK/OP9-DL4 cell</w:t>
      </w:r>
      <w:r w:rsidRPr="004D1DE8">
        <w:rPr>
          <w:rFonts w:cs="Times New Roman"/>
        </w:rPr>
        <w:t xml:space="preserve"> co</w:t>
      </w:r>
      <w:r>
        <w:rPr>
          <w:rFonts w:cs="Times New Roman"/>
        </w:rPr>
        <w:t>-</w:t>
      </w:r>
      <w:r w:rsidRPr="004D1DE8">
        <w:rPr>
          <w:rFonts w:cs="Times New Roman"/>
        </w:rPr>
        <w:t>cultures were ma</w:t>
      </w:r>
      <w:r>
        <w:rPr>
          <w:rFonts w:cs="Times New Roman"/>
        </w:rPr>
        <w:t xml:space="preserve">intained as previously described (5) </w:t>
      </w:r>
      <w:r w:rsidRPr="004D1DE8">
        <w:rPr>
          <w:rFonts w:cs="Times New Roman"/>
        </w:rPr>
        <w:t xml:space="preserve">with some modifications. Briefly, BM cells were harvested from B6 CD45.1 </w:t>
      </w:r>
      <w:proofErr w:type="gramStart"/>
      <w:r w:rsidRPr="004D1DE8">
        <w:rPr>
          <w:rFonts w:cs="Times New Roman"/>
        </w:rPr>
        <w:t>mice</w:t>
      </w:r>
      <w:proofErr w:type="gramEnd"/>
      <w:r w:rsidRPr="004D1DE8">
        <w:rPr>
          <w:rFonts w:cs="Times New Roman"/>
        </w:rPr>
        <w:t xml:space="preserve"> and enriched for CD117</w:t>
      </w:r>
      <w:r w:rsidRPr="000963B3">
        <w:rPr>
          <w:rFonts w:cs="Times New Roman"/>
          <w:vertAlign w:val="superscript"/>
        </w:rPr>
        <w:t>+</w:t>
      </w:r>
      <w:r w:rsidRPr="004D1DE8">
        <w:rPr>
          <w:rFonts w:cs="Times New Roman"/>
        </w:rPr>
        <w:t xml:space="preserve"> (</w:t>
      </w:r>
      <w:proofErr w:type="spellStart"/>
      <w:r w:rsidRPr="004D1DE8">
        <w:rPr>
          <w:rFonts w:cs="Times New Roman"/>
        </w:rPr>
        <w:t>ckit</w:t>
      </w:r>
      <w:proofErr w:type="spellEnd"/>
      <w:r w:rsidRPr="0004316F">
        <w:rPr>
          <w:rFonts w:cs="Times New Roman"/>
          <w:vertAlign w:val="superscript"/>
        </w:rPr>
        <w:t>+</w:t>
      </w:r>
      <w:r w:rsidRPr="004D1DE8">
        <w:rPr>
          <w:rFonts w:cs="Times New Roman"/>
        </w:rPr>
        <w:t>) cells using anti-CD117-MACS beads (</w:t>
      </w:r>
      <w:proofErr w:type="spellStart"/>
      <w:r w:rsidRPr="004D1DE8">
        <w:rPr>
          <w:rFonts w:cs="Times New Roman"/>
        </w:rPr>
        <w:t>Miltenyi</w:t>
      </w:r>
      <w:proofErr w:type="spellEnd"/>
      <w:r w:rsidRPr="004D1DE8">
        <w:rPr>
          <w:rFonts w:cs="Times New Roman"/>
        </w:rPr>
        <w:t>) according to manufacturer’s instructions. The CD117-enriched cells were subsequently labelled with FITC-conjugated antibodies against lineage markers (CD3, CD4, CD8, CD11b, CD19, NK1.1</w:t>
      </w:r>
      <w:r>
        <w:rPr>
          <w:rFonts w:cs="Times New Roman"/>
        </w:rPr>
        <w:t xml:space="preserve">, </w:t>
      </w:r>
      <w:r w:rsidRPr="004D1DE8">
        <w:rPr>
          <w:rFonts w:cs="Times New Roman"/>
        </w:rPr>
        <w:t>Gr1</w:t>
      </w:r>
      <w:r>
        <w:rPr>
          <w:rFonts w:cs="Times New Roman"/>
        </w:rPr>
        <w:t xml:space="preserve">, </w:t>
      </w:r>
      <w:r w:rsidRPr="004D1DE8">
        <w:rPr>
          <w:rFonts w:cs="Times New Roman"/>
        </w:rPr>
        <w:t xml:space="preserve">Ter119), CD117-APC and Sca-1-PE (all </w:t>
      </w:r>
      <w:r>
        <w:rPr>
          <w:rFonts w:cs="Times New Roman"/>
        </w:rPr>
        <w:t xml:space="preserve">from </w:t>
      </w:r>
      <w:proofErr w:type="spellStart"/>
      <w:r>
        <w:rPr>
          <w:rFonts w:cs="Times New Roman"/>
        </w:rPr>
        <w:t>BioLegend</w:t>
      </w:r>
      <w:proofErr w:type="spellEnd"/>
      <w:r>
        <w:rPr>
          <w:rFonts w:cs="Times New Roman"/>
        </w:rPr>
        <w:t>) and sorted for LSK</w:t>
      </w:r>
      <w:r w:rsidRPr="004D1DE8">
        <w:rPr>
          <w:rFonts w:cs="Times New Roman"/>
        </w:rPr>
        <w:t xml:space="preserve"> cells using cell sorter </w:t>
      </w:r>
      <w:proofErr w:type="spellStart"/>
      <w:r w:rsidRPr="004D1DE8">
        <w:rPr>
          <w:rFonts w:cs="Times New Roman"/>
        </w:rPr>
        <w:t>FACSAria</w:t>
      </w:r>
      <w:proofErr w:type="spellEnd"/>
      <w:r w:rsidRPr="004D1DE8">
        <w:rPr>
          <w:rFonts w:cs="Times New Roman"/>
        </w:rPr>
        <w:t xml:space="preserve"> Fusion (BD Biosciences).  50,000 LSK cells were seeded per plate of OP9-DL4 </w:t>
      </w:r>
      <w:r w:rsidRPr="004D1DE8">
        <w:rPr>
          <w:rFonts w:cs="Times New Roman"/>
        </w:rPr>
        <w:lastRenderedPageBreak/>
        <w:t xml:space="preserve">cells at 80-90% </w:t>
      </w:r>
      <w:proofErr w:type="spellStart"/>
      <w:r w:rsidRPr="004D1DE8">
        <w:rPr>
          <w:rFonts w:cs="Times New Roman"/>
        </w:rPr>
        <w:t>confluency</w:t>
      </w:r>
      <w:proofErr w:type="spellEnd"/>
      <w:r w:rsidRPr="004D1DE8">
        <w:rPr>
          <w:rFonts w:cs="Times New Roman"/>
        </w:rPr>
        <w:t xml:space="preserve"> in 15 cm dishes and incubated α-Minimum Essential Medium Eagle (supplemented with 5% FBS and 1% Penicillin/streptomycin) (</w:t>
      </w:r>
      <w:proofErr w:type="spellStart"/>
      <w:r w:rsidRPr="004D1DE8">
        <w:rPr>
          <w:rFonts w:cs="Times New Roman"/>
        </w:rPr>
        <w:t>Gibco</w:t>
      </w:r>
      <w:proofErr w:type="spellEnd"/>
      <w:r w:rsidRPr="004D1DE8">
        <w:rPr>
          <w:rFonts w:cs="Times New Roman"/>
        </w:rPr>
        <w:t>) in the presence of 5 ng/ml Flt</w:t>
      </w:r>
      <w:r w:rsidR="0041541B">
        <w:rPr>
          <w:rFonts w:cs="Times New Roman"/>
        </w:rPr>
        <w:t>-</w:t>
      </w:r>
      <w:r w:rsidRPr="004D1DE8">
        <w:rPr>
          <w:rFonts w:cs="Times New Roman"/>
        </w:rPr>
        <w:t>3L (</w:t>
      </w:r>
      <w:proofErr w:type="spellStart"/>
      <w:r w:rsidRPr="004D1DE8">
        <w:rPr>
          <w:rFonts w:cs="Times New Roman"/>
        </w:rPr>
        <w:t>Miltenyi</w:t>
      </w:r>
      <w:proofErr w:type="spellEnd"/>
      <w:r w:rsidRPr="004D1DE8">
        <w:rPr>
          <w:rFonts w:cs="Times New Roman"/>
        </w:rPr>
        <w:t xml:space="preserve"> </w:t>
      </w:r>
      <w:proofErr w:type="spellStart"/>
      <w:r w:rsidRPr="004D1DE8">
        <w:rPr>
          <w:rFonts w:cs="Times New Roman"/>
        </w:rPr>
        <w:t>Biotec</w:t>
      </w:r>
      <w:proofErr w:type="spellEnd"/>
      <w:r w:rsidRPr="004D1DE8">
        <w:rPr>
          <w:rFonts w:cs="Times New Roman"/>
        </w:rPr>
        <w:t>) and 1 ng/ml IL-7 (</w:t>
      </w:r>
      <w:proofErr w:type="spellStart"/>
      <w:r w:rsidRPr="004D1DE8">
        <w:rPr>
          <w:rFonts w:cs="Times New Roman"/>
        </w:rPr>
        <w:t>Miltenyi</w:t>
      </w:r>
      <w:proofErr w:type="spellEnd"/>
      <w:r w:rsidRPr="004D1DE8">
        <w:rPr>
          <w:rFonts w:cs="Times New Roman"/>
        </w:rPr>
        <w:t>). On days 5 and 8 after the start of co-cultures, old media was replaced with fresh media. The cultures were harvested on day 10. To enrich for CD25</w:t>
      </w:r>
      <w:r w:rsidRPr="0004316F">
        <w:rPr>
          <w:rFonts w:cs="Times New Roman"/>
          <w:vertAlign w:val="superscript"/>
        </w:rPr>
        <w:t>+</w:t>
      </w:r>
      <w:r w:rsidRPr="004D1DE8">
        <w:rPr>
          <w:rFonts w:cs="Times New Roman"/>
        </w:rPr>
        <w:t xml:space="preserve"> cells, the cells were labelled with anti-CD25-APC (Bio-Legend) followed by anti-APC-MACS beads (</w:t>
      </w:r>
      <w:proofErr w:type="spellStart"/>
      <w:r w:rsidRPr="004D1DE8">
        <w:rPr>
          <w:rFonts w:cs="Times New Roman"/>
        </w:rPr>
        <w:t>Miltenyi</w:t>
      </w:r>
      <w:proofErr w:type="spellEnd"/>
      <w:r w:rsidRPr="004D1DE8">
        <w:rPr>
          <w:rFonts w:cs="Times New Roman"/>
        </w:rPr>
        <w:t>) incubation and purification according to manufacturer’s instructions.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  <w:b/>
        </w:rPr>
      </w:pPr>
      <w:r w:rsidRPr="004D1DE8">
        <w:rPr>
          <w:rFonts w:cs="Times New Roman"/>
          <w:b/>
        </w:rPr>
        <w:t>Hybrid Human-Mouse FTOC</w:t>
      </w:r>
    </w:p>
    <w:p w:rsidR="009004DF" w:rsidRDefault="009004DF" w:rsidP="009004DF">
      <w:pPr>
        <w:spacing w:before="0" w:after="200" w:line="276" w:lineRule="auto"/>
        <w:rPr>
          <w:rFonts w:cs="Times New Roman"/>
        </w:rPr>
      </w:pPr>
      <w:r w:rsidRPr="004D1DE8">
        <w:rPr>
          <w:rFonts w:cs="Times New Roman"/>
        </w:rPr>
        <w:t xml:space="preserve">Fetal thymuses were isolated from embryos of timed pregnant NSG mice (The Jackson Laboratory) at day 15 of gestation. Human proT subsets were sorted from day 10-12 human HSC/OP9-DL4 co-cultures, and incubated with or without 5µg/mL OPG-Fc (R&amp;D Systems) for 1 hour. Subsequently, proT-cells were placed into hanging drops with the fetal thymuses in </w:t>
      </w:r>
      <w:proofErr w:type="spellStart"/>
      <w:r w:rsidRPr="004D1DE8">
        <w:rPr>
          <w:rFonts w:cs="Times New Roman"/>
        </w:rPr>
        <w:t>Terasaki</w:t>
      </w:r>
      <w:proofErr w:type="spellEnd"/>
      <w:r w:rsidRPr="004D1DE8">
        <w:rPr>
          <w:rFonts w:cs="Times New Roman"/>
        </w:rPr>
        <w:t xml:space="preserve"> wells for 24-26 hours, followed by FTOC in the presence of absence of OPG-Fc for 5 days. Individual thymic lobes were homogenized in </w:t>
      </w:r>
      <w:proofErr w:type="spellStart"/>
      <w:r w:rsidRPr="004D1DE8">
        <w:rPr>
          <w:rFonts w:cs="Times New Roman"/>
        </w:rPr>
        <w:t>Trizol</w:t>
      </w:r>
      <w:proofErr w:type="spellEnd"/>
      <w:r w:rsidRPr="004D1DE8">
        <w:rPr>
          <w:rFonts w:cs="Times New Roman"/>
        </w:rPr>
        <w:t xml:space="preserve"> reagent and prepared for QPCR analysis.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  <w:b/>
        </w:rPr>
      </w:pPr>
      <w:r w:rsidRPr="004D1DE8">
        <w:rPr>
          <w:rFonts w:cs="Times New Roman"/>
          <w:b/>
        </w:rPr>
        <w:t>Quantitative Real Time Reverse Transcriptase Polymerase Chain Reaction (QPCR)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</w:rPr>
      </w:pPr>
      <w:r w:rsidRPr="004D1DE8">
        <w:rPr>
          <w:rFonts w:cs="Times New Roman"/>
        </w:rPr>
        <w:t xml:space="preserve">Thymuses from FTOC cultures were homogenized in </w:t>
      </w:r>
      <w:proofErr w:type="spellStart"/>
      <w:r w:rsidRPr="004D1DE8">
        <w:rPr>
          <w:rFonts w:cs="Times New Roman"/>
        </w:rPr>
        <w:t>Trizol</w:t>
      </w:r>
      <w:proofErr w:type="spellEnd"/>
      <w:r w:rsidRPr="004D1DE8">
        <w:rPr>
          <w:rFonts w:cs="Times New Roman"/>
        </w:rPr>
        <w:t xml:space="preserve"> reagent and reverse-transcribed using Superscript III and Oligo(</w:t>
      </w:r>
      <w:proofErr w:type="spellStart"/>
      <w:r w:rsidRPr="004D1DE8">
        <w:rPr>
          <w:rFonts w:cs="Times New Roman"/>
        </w:rPr>
        <w:t>dT</w:t>
      </w:r>
      <w:proofErr w:type="spellEnd"/>
      <w:r w:rsidRPr="004D1DE8">
        <w:rPr>
          <w:rFonts w:cs="Times New Roman"/>
        </w:rPr>
        <w:t>)</w:t>
      </w:r>
      <w:r w:rsidRPr="00622A92">
        <w:rPr>
          <w:rFonts w:cs="Times New Roman"/>
          <w:vertAlign w:val="subscript"/>
        </w:rPr>
        <w:t>12-18</w:t>
      </w:r>
      <w:r w:rsidRPr="004D1DE8">
        <w:rPr>
          <w:rFonts w:cs="Times New Roman"/>
        </w:rPr>
        <w:t xml:space="preserve"> primers (Invitrogen). Diluted cDNA samples were used as templates for the QPCR reactions. Detection of QPCR was performed using SYBR Green PCR m</w:t>
      </w:r>
      <w:r>
        <w:rPr>
          <w:rFonts w:cs="Times New Roman"/>
        </w:rPr>
        <w:t>aster mix (Invitrogen) on the App</w:t>
      </w:r>
      <w:r w:rsidRPr="004D1DE8">
        <w:rPr>
          <w:rFonts w:cs="Times New Roman"/>
        </w:rPr>
        <w:t xml:space="preserve">lied </w:t>
      </w:r>
      <w:proofErr w:type="spellStart"/>
      <w:r w:rsidRPr="004D1DE8">
        <w:rPr>
          <w:rFonts w:cs="Times New Roman"/>
        </w:rPr>
        <w:t>Biosystems</w:t>
      </w:r>
      <w:proofErr w:type="spellEnd"/>
      <w:r w:rsidRPr="004D1DE8">
        <w:rPr>
          <w:rFonts w:cs="Times New Roman"/>
        </w:rPr>
        <w:t xml:space="preserve"> Sequence Detection system. Relative expression of genes was calculated by the delta cycle threshold (Δ-Ct) method with the expression of β-actin as an internal reference. </w:t>
      </w:r>
    </w:p>
    <w:p w:rsidR="009004DF" w:rsidRDefault="009004DF" w:rsidP="009004DF">
      <w:pPr>
        <w:spacing w:before="0" w:after="200" w:line="276" w:lineRule="auto"/>
        <w:rPr>
          <w:rFonts w:cs="Times New Roman"/>
          <w:b/>
        </w:rPr>
      </w:pPr>
      <w:r w:rsidRPr="004D1DE8">
        <w:rPr>
          <w:rFonts w:cs="Times New Roman"/>
          <w:b/>
        </w:rPr>
        <w:t>Adoptive Transfer of Progenitor T cells</w:t>
      </w:r>
    </w:p>
    <w:p w:rsidR="009004DF" w:rsidRPr="00144CFB" w:rsidRDefault="009004DF" w:rsidP="009004D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</w:rPr>
      </w:pPr>
      <w:r w:rsidRPr="00EF281A">
        <w:rPr>
          <w:rFonts w:cs="Times New Roman"/>
        </w:rPr>
        <w:t>CD34</w:t>
      </w:r>
      <w:r w:rsidRPr="00EF281A">
        <w:rPr>
          <w:rFonts w:cs="Times New Roman"/>
          <w:vertAlign w:val="superscript"/>
        </w:rPr>
        <w:t>+</w:t>
      </w:r>
      <w:r w:rsidRPr="00EF281A">
        <w:rPr>
          <w:rFonts w:cs="Times New Roman"/>
        </w:rPr>
        <w:t>CD7</w:t>
      </w:r>
      <w:r w:rsidRPr="00EF281A">
        <w:rPr>
          <w:rFonts w:cs="Times New Roman"/>
          <w:vertAlign w:val="superscript"/>
        </w:rPr>
        <w:t>+</w:t>
      </w:r>
      <w:r w:rsidRPr="00EF281A">
        <w:rPr>
          <w:rFonts w:cs="Times New Roman"/>
        </w:rPr>
        <w:t xml:space="preserve"> </w:t>
      </w:r>
      <w:r>
        <w:rPr>
          <w:rFonts w:cs="Times New Roman"/>
        </w:rPr>
        <w:t>cells were sorted from day 10-12 human HSC/OP9-DL4 cell co-cultures</w:t>
      </w:r>
      <w:r w:rsidRPr="00EF281A">
        <w:rPr>
          <w:rFonts w:cs="Times New Roman"/>
        </w:rPr>
        <w:t xml:space="preserve">, </w:t>
      </w:r>
      <w:proofErr w:type="spellStart"/>
      <w:r w:rsidRPr="00EF281A">
        <w:rPr>
          <w:rFonts w:cs="Times New Roman"/>
        </w:rPr>
        <w:t>resuspended</w:t>
      </w:r>
      <w:proofErr w:type="spellEnd"/>
      <w:r w:rsidRPr="00EF281A">
        <w:rPr>
          <w:rFonts w:cs="Times New Roman"/>
        </w:rPr>
        <w:t xml:space="preserve"> in a mixture containing rhIL-7 (0.5μg) and an IL-7 antibody M25 (2.5μg</w:t>
      </w:r>
      <w:r>
        <w:rPr>
          <w:rFonts w:cs="Times New Roman"/>
        </w:rPr>
        <w:t>)</w:t>
      </w:r>
      <w:r w:rsidRPr="00EF281A">
        <w:rPr>
          <w:rFonts w:cs="Times New Roman"/>
        </w:rPr>
        <w:t xml:space="preserve">, and injected </w:t>
      </w:r>
      <w:proofErr w:type="spellStart"/>
      <w:r w:rsidRPr="00EF281A">
        <w:rPr>
          <w:rFonts w:cs="Times New Roman"/>
        </w:rPr>
        <w:t>intrahepatically</w:t>
      </w:r>
      <w:proofErr w:type="spellEnd"/>
      <w:r w:rsidRPr="00EF281A">
        <w:rPr>
          <w:rFonts w:cs="Times New Roman"/>
        </w:rPr>
        <w:t xml:space="preserve"> (30μL</w:t>
      </w:r>
      <w:r w:rsidR="0041541B">
        <w:rPr>
          <w:rFonts w:cs="Times New Roman"/>
        </w:rPr>
        <w:t>/mouse) into non-irradiated 2-</w:t>
      </w:r>
      <w:proofErr w:type="gramStart"/>
      <w:r w:rsidR="0041541B">
        <w:rPr>
          <w:rFonts w:cs="Times New Roman"/>
        </w:rPr>
        <w:t xml:space="preserve">5 </w:t>
      </w:r>
      <w:r w:rsidRPr="00EF281A">
        <w:rPr>
          <w:rFonts w:cs="Times New Roman"/>
        </w:rPr>
        <w:t>day</w:t>
      </w:r>
      <w:proofErr w:type="gramEnd"/>
      <w:r w:rsidRPr="00EF281A">
        <w:rPr>
          <w:rFonts w:cs="Times New Roman"/>
        </w:rPr>
        <w:t xml:space="preserve"> old </w:t>
      </w:r>
      <w:r>
        <w:rPr>
          <w:rFonts w:cs="Times New Roman"/>
        </w:rPr>
        <w:t>RV-SRG</w:t>
      </w:r>
      <w:r w:rsidRPr="00EF281A">
        <w:rPr>
          <w:rFonts w:cs="Times New Roman"/>
        </w:rPr>
        <w:t xml:space="preserve"> neonates</w:t>
      </w:r>
      <w:r>
        <w:rPr>
          <w:rFonts w:cs="Times New Roman"/>
        </w:rPr>
        <w:t>.</w:t>
      </w:r>
      <w:r w:rsidRPr="00EF281A">
        <w:rPr>
          <w:rFonts w:cs="Times New Roman"/>
        </w:rPr>
        <w:t xml:space="preserve"> </w:t>
      </w:r>
      <w:r>
        <w:rPr>
          <w:rFonts w:cs="Times New Roman"/>
        </w:rPr>
        <w:t xml:space="preserve">Thymuses were harvested two </w:t>
      </w:r>
      <w:proofErr w:type="gramStart"/>
      <w:r>
        <w:rPr>
          <w:rFonts w:cs="Times New Roman"/>
        </w:rPr>
        <w:t>weeks</w:t>
      </w:r>
      <w:proofErr w:type="gramEnd"/>
      <w:r>
        <w:rPr>
          <w:rFonts w:cs="Times New Roman"/>
        </w:rPr>
        <w:t xml:space="preserve"> post-injection, and TECs were analyzed as previously described using flow cytometry (</w:t>
      </w:r>
      <w:r>
        <w:rPr>
          <w:rFonts w:cs="Times New Roman"/>
        </w:rPr>
        <w:t>2, 6).</w:t>
      </w:r>
    </w:p>
    <w:p w:rsidR="009004DF" w:rsidRPr="000A63DE" w:rsidRDefault="009004DF" w:rsidP="009004DF">
      <w:pPr>
        <w:spacing w:before="0" w:after="200" w:line="276" w:lineRule="auto"/>
        <w:rPr>
          <w:rFonts w:cs="Times New Roman"/>
        </w:rPr>
      </w:pPr>
      <w:r>
        <w:rPr>
          <w:rFonts w:cs="Times New Roman"/>
        </w:rPr>
        <w:t xml:space="preserve">For aged mouse experiments, </w:t>
      </w:r>
      <w:r w:rsidRPr="004D1DE8">
        <w:rPr>
          <w:rFonts w:cs="Times New Roman"/>
        </w:rPr>
        <w:t>B6 CD45.2 hosts received 1</w:t>
      </w:r>
      <w:r w:rsidR="0041541B">
        <w:rPr>
          <w:rFonts w:cs="Times New Roman"/>
        </w:rPr>
        <w:t xml:space="preserve">.025 </w:t>
      </w:r>
      <w:proofErr w:type="spellStart"/>
      <w:r w:rsidRPr="004D1DE8">
        <w:rPr>
          <w:rFonts w:cs="Times New Roman"/>
        </w:rPr>
        <w:t>Gy</w:t>
      </w:r>
      <w:proofErr w:type="spellEnd"/>
      <w:r w:rsidRPr="004D1DE8">
        <w:rPr>
          <w:rFonts w:cs="Times New Roman"/>
        </w:rPr>
        <w:t xml:space="preserve"> total body irradiation using a Cs137 source gamma irradiator. After 4-6 hours, all mice were intravenously injected with 1×10</w:t>
      </w:r>
      <w:r w:rsidRPr="0004316F">
        <w:rPr>
          <w:rFonts w:cs="Times New Roman"/>
          <w:vertAlign w:val="superscript"/>
        </w:rPr>
        <w:t>6</w:t>
      </w:r>
      <w:r w:rsidRPr="004D1DE8">
        <w:rPr>
          <w:rFonts w:cs="Times New Roman"/>
        </w:rPr>
        <w:t xml:space="preserve"> B6 GFP</w:t>
      </w:r>
      <w:r w:rsidRPr="0004316F">
        <w:rPr>
          <w:rFonts w:cs="Times New Roman"/>
          <w:vertAlign w:val="superscript"/>
        </w:rPr>
        <w:t>+</w:t>
      </w:r>
      <w:r w:rsidRPr="004D1DE8">
        <w:rPr>
          <w:rFonts w:cs="Times New Roman"/>
        </w:rPr>
        <w:t xml:space="preserve"> BM-extracted cells from VaviCre-ROSA26rtTA mice.  Some mice also received 6×10</w:t>
      </w:r>
      <w:r w:rsidRPr="000963B3">
        <w:rPr>
          <w:rFonts w:cs="Times New Roman"/>
          <w:vertAlign w:val="superscript"/>
        </w:rPr>
        <w:t xml:space="preserve">6 </w:t>
      </w:r>
      <w:r w:rsidRPr="004D1DE8">
        <w:rPr>
          <w:rFonts w:cs="Times New Roman"/>
        </w:rPr>
        <w:t>CD25-enriched proT cells derived from</w:t>
      </w:r>
      <w:r>
        <w:rPr>
          <w:rFonts w:cs="Times New Roman"/>
        </w:rPr>
        <w:t xml:space="preserve"> B6 CD45.1 </w:t>
      </w:r>
      <w:proofErr w:type="gramStart"/>
      <w:r>
        <w:rPr>
          <w:rFonts w:cs="Times New Roman"/>
        </w:rPr>
        <w:t>mice</w:t>
      </w:r>
      <w:proofErr w:type="gramEnd"/>
      <w:r>
        <w:rPr>
          <w:rFonts w:cs="Times New Roman"/>
        </w:rPr>
        <w:t>, at 99% purity.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  <w:b/>
        </w:rPr>
      </w:pPr>
      <w:r w:rsidRPr="004D1DE8">
        <w:rPr>
          <w:rFonts w:cs="Times New Roman"/>
          <w:b/>
        </w:rPr>
        <w:t>Flow Cytometric Analysis</w:t>
      </w:r>
    </w:p>
    <w:p w:rsidR="009004DF" w:rsidRPr="004D1DE8" w:rsidRDefault="009004DF" w:rsidP="009004DF">
      <w:pPr>
        <w:spacing w:before="0" w:after="200" w:line="276" w:lineRule="auto"/>
        <w:rPr>
          <w:rFonts w:cs="Times New Roman"/>
        </w:rPr>
      </w:pPr>
      <w:r w:rsidRPr="004D1DE8">
        <w:rPr>
          <w:rFonts w:cs="Times New Roman"/>
        </w:rPr>
        <w:t>To analyze the expression of LTβR, RANKL and CD40L, Lin</w:t>
      </w:r>
      <w:r>
        <w:rPr>
          <w:rFonts w:cs="Times New Roman"/>
        </w:rPr>
        <w:t>eage</w:t>
      </w:r>
      <w:r w:rsidRPr="000963B3">
        <w:rPr>
          <w:rFonts w:cs="Times New Roman"/>
          <w:vertAlign w:val="superscript"/>
        </w:rPr>
        <w:t>-</w:t>
      </w:r>
      <w:r w:rsidRPr="004D1DE8">
        <w:rPr>
          <w:rFonts w:cs="Times New Roman"/>
        </w:rPr>
        <w:t>CD34</w:t>
      </w:r>
      <w:r w:rsidRPr="000963B3">
        <w:rPr>
          <w:rFonts w:cs="Times New Roman"/>
          <w:vertAlign w:val="superscript"/>
        </w:rPr>
        <w:t>+</w:t>
      </w:r>
      <w:r w:rsidRPr="004D1DE8">
        <w:rPr>
          <w:rFonts w:cs="Times New Roman"/>
        </w:rPr>
        <w:t>CD38</w:t>
      </w:r>
      <w:r w:rsidRPr="000963B3">
        <w:rPr>
          <w:rFonts w:cs="Times New Roman"/>
          <w:vertAlign w:val="superscript"/>
        </w:rPr>
        <w:t>-/lo</w:t>
      </w:r>
      <w:r w:rsidRPr="004D1DE8">
        <w:rPr>
          <w:rFonts w:cs="Times New Roman"/>
        </w:rPr>
        <w:t xml:space="preserve"> human HSCs from UCB or CD34</w:t>
      </w:r>
      <w:r w:rsidRPr="000963B3">
        <w:rPr>
          <w:rFonts w:cs="Times New Roman"/>
          <w:vertAlign w:val="superscript"/>
        </w:rPr>
        <w:t>+</w:t>
      </w:r>
      <w:r w:rsidRPr="004D1DE8">
        <w:rPr>
          <w:rFonts w:cs="Times New Roman"/>
        </w:rPr>
        <w:t>CD7</w:t>
      </w:r>
      <w:r w:rsidRPr="000963B3">
        <w:rPr>
          <w:rFonts w:cs="Times New Roman"/>
          <w:vertAlign w:val="superscript"/>
        </w:rPr>
        <w:t xml:space="preserve">+ </w:t>
      </w:r>
      <w:r w:rsidRPr="004D1DE8">
        <w:rPr>
          <w:rFonts w:cs="Times New Roman"/>
        </w:rPr>
        <w:t>proT cells from a d</w:t>
      </w:r>
      <w:bookmarkStart w:id="0" w:name="_GoBack"/>
      <w:bookmarkEnd w:id="0"/>
      <w:r w:rsidRPr="004D1DE8">
        <w:rPr>
          <w:rFonts w:cs="Times New Roman"/>
        </w:rPr>
        <w:t xml:space="preserve">ay 10-12 HSC/OP9DL4 co-culture were stained </w:t>
      </w:r>
      <w:r w:rsidRPr="004D1DE8">
        <w:rPr>
          <w:rFonts w:cs="Times New Roman"/>
        </w:rPr>
        <w:lastRenderedPageBreak/>
        <w:t xml:space="preserve">with anti-human RANKL-PE for analysis of cell surface RANKL expression. For detection of LTαβ and CD40L, LTβR-Fc and CD40-Fc fusion proteins were used, followed by a secondary anti-human IgG-PE antibody. </w:t>
      </w:r>
    </w:p>
    <w:p w:rsidR="009004DF" w:rsidRDefault="009004DF" w:rsidP="009004DF">
      <w:pPr>
        <w:spacing w:before="0" w:after="200" w:line="276" w:lineRule="auto"/>
        <w:rPr>
          <w:rFonts w:cs="Times New Roman"/>
          <w:b/>
        </w:rPr>
      </w:pPr>
      <w:r w:rsidRPr="004D1DE8">
        <w:rPr>
          <w:rFonts w:cs="Times New Roman"/>
        </w:rPr>
        <w:t>For aged mouse experiments, single cell suspensions were prepared for thymus by mashing followed by filtering through cell strainers in Hanks’ Balanced Salt Solution supplemented with 1% bovine serum albumin and 2 </w:t>
      </w:r>
      <w:proofErr w:type="spellStart"/>
      <w:r w:rsidRPr="004D1DE8">
        <w:rPr>
          <w:rFonts w:cs="Times New Roman"/>
        </w:rPr>
        <w:t>mM</w:t>
      </w:r>
      <w:proofErr w:type="spellEnd"/>
      <w:r w:rsidRPr="004D1DE8">
        <w:rPr>
          <w:rFonts w:cs="Times New Roman"/>
        </w:rPr>
        <w:t xml:space="preserve"> EDTA. a-MEM. Single-cell suspensions were labelled with fluorescently-conjugated antibodies purchased from </w:t>
      </w:r>
      <w:proofErr w:type="spellStart"/>
      <w:r w:rsidRPr="004D1DE8">
        <w:rPr>
          <w:rFonts w:cs="Times New Roman"/>
        </w:rPr>
        <w:t>BioLegend</w:t>
      </w:r>
      <w:proofErr w:type="spellEnd"/>
      <w:r w:rsidRPr="004D1DE8">
        <w:rPr>
          <w:rFonts w:cs="Times New Roman"/>
        </w:rPr>
        <w:t xml:space="preserve"> as follows: CD45.1-Percp/Cy5.5, CD45.2-APC/Cy7, CD4-Alexafluor 700, CD8-PE/Cy7, CD44PE, CD25-APC. Flow cytometry was performed on an LSR II (BD Biosciences), and data were analyzed with </w:t>
      </w:r>
      <w:proofErr w:type="spellStart"/>
      <w:r w:rsidRPr="004D1DE8">
        <w:rPr>
          <w:rFonts w:cs="Times New Roman"/>
        </w:rPr>
        <w:t>FlowJo</w:t>
      </w:r>
      <w:proofErr w:type="spellEnd"/>
      <w:r w:rsidRPr="004D1DE8">
        <w:rPr>
          <w:rFonts w:cs="Times New Roman"/>
        </w:rPr>
        <w:t xml:space="preserve"> software version 9.7.6.</w:t>
      </w:r>
      <w:r w:rsidRPr="004D1DE8">
        <w:rPr>
          <w:rFonts w:cs="Times New Roman"/>
          <w:b/>
        </w:rPr>
        <w:t xml:space="preserve"> </w:t>
      </w:r>
    </w:p>
    <w:p w:rsidR="009004DF" w:rsidRDefault="009004DF" w:rsidP="009004DF">
      <w:pPr>
        <w:spacing w:before="0" w:after="200"/>
        <w:rPr>
          <w:rFonts w:cs="Times New Roman"/>
          <w:b/>
        </w:rPr>
      </w:pPr>
      <w:r>
        <w:rPr>
          <w:rFonts w:cs="Times New Roman"/>
          <w:b/>
        </w:rPr>
        <w:t>Statistical</w:t>
      </w:r>
      <w:r w:rsidRPr="004D1DE8">
        <w:rPr>
          <w:rFonts w:cs="Times New Roman"/>
          <w:b/>
        </w:rPr>
        <w:t xml:space="preserve"> Analysis</w:t>
      </w:r>
    </w:p>
    <w:p w:rsidR="009004DF" w:rsidRPr="00C458B6" w:rsidRDefault="009004DF" w:rsidP="009004DF">
      <w:pPr>
        <w:rPr>
          <w:rFonts w:cs="Times New Roman"/>
        </w:rPr>
      </w:pPr>
      <w:r w:rsidRPr="00EF281A">
        <w:rPr>
          <w:rFonts w:cs="Times New Roman"/>
        </w:rPr>
        <w:t xml:space="preserve">To determine statistical significance between </w:t>
      </w:r>
      <w:r>
        <w:rPr>
          <w:rFonts w:cs="Times New Roman"/>
        </w:rPr>
        <w:t xml:space="preserve">non-injected and proT-injected RV-SRG mice-derived TEC populations, or BM and </w:t>
      </w:r>
      <w:proofErr w:type="spellStart"/>
      <w:r>
        <w:rPr>
          <w:rFonts w:cs="Times New Roman"/>
        </w:rPr>
        <w:t>BM+proT</w:t>
      </w:r>
      <w:proofErr w:type="spellEnd"/>
      <w:r>
        <w:rPr>
          <w:rFonts w:cs="Times New Roman"/>
        </w:rPr>
        <w:t xml:space="preserve"> adoptive transfer experiments</w:t>
      </w:r>
      <w:r w:rsidRPr="00EF281A">
        <w:rPr>
          <w:rFonts w:cs="Times New Roman"/>
        </w:rPr>
        <w:t>, a two-tailed unpaired student’s t-test was performed using R software.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Kruskal</w:t>
      </w:r>
      <w:proofErr w:type="spellEnd"/>
      <w:r>
        <w:rPr>
          <w:rFonts w:cs="Times New Roman"/>
        </w:rPr>
        <w:t xml:space="preserve">-Wallis one-way analysis of variance with post-hoc Dunn’s test was used to determine significant differences across multiple groups for the FTOC experiments. </w:t>
      </w:r>
      <w:r w:rsidRPr="00C458B6">
        <w:rPr>
          <w:rFonts w:cs="Times New Roman"/>
          <w:szCs w:val="24"/>
        </w:rPr>
        <w:t xml:space="preserve">All data are represented as mean ± SEM, </w:t>
      </w:r>
      <w:r w:rsidRPr="00C458B6">
        <w:rPr>
          <w:rFonts w:cs="Times New Roman"/>
          <w:bCs/>
          <w:szCs w:val="24"/>
          <w:shd w:val="clear" w:color="auto" w:fill="FFFFFF"/>
        </w:rPr>
        <w:t xml:space="preserve">with asterisks representing statistical </w:t>
      </w:r>
      <w:r>
        <w:rPr>
          <w:rFonts w:cs="Times New Roman"/>
          <w:bCs/>
          <w:szCs w:val="24"/>
          <w:shd w:val="clear" w:color="auto" w:fill="FFFFFF"/>
        </w:rPr>
        <w:t>significance</w:t>
      </w:r>
      <w:r w:rsidRPr="00C458B6">
        <w:rPr>
          <w:rFonts w:cs="Times New Roman"/>
          <w:bCs/>
          <w:szCs w:val="24"/>
          <w:shd w:val="clear" w:color="auto" w:fill="FFFFFF"/>
        </w:rPr>
        <w:t xml:space="preserve"> (</w:t>
      </w:r>
      <w:r w:rsidRPr="00C458B6">
        <w:rPr>
          <w:rFonts w:cs="Times New Roman"/>
          <w:szCs w:val="24"/>
        </w:rPr>
        <w:t>*p &lt; 0.05, **p &lt; 0.01).</w:t>
      </w:r>
    </w:p>
    <w:p w:rsidR="005A7AC6" w:rsidRDefault="009004DF">
      <w:pPr>
        <w:rPr>
          <w:b/>
          <w:sz w:val="20"/>
          <w:szCs w:val="20"/>
        </w:rPr>
      </w:pPr>
      <w:r w:rsidRPr="009004DF">
        <w:rPr>
          <w:b/>
          <w:sz w:val="20"/>
          <w:szCs w:val="20"/>
        </w:rPr>
        <w:t>References</w:t>
      </w:r>
    </w:p>
    <w:p w:rsidR="009004DF" w:rsidRPr="008A20AC" w:rsidRDefault="009004DF" w:rsidP="009004DF">
      <w:pPr>
        <w:pStyle w:val="EndNoteBibliography"/>
        <w:spacing w:after="0"/>
        <w:rPr>
          <w:sz w:val="20"/>
          <w:szCs w:val="20"/>
        </w:rPr>
      </w:pPr>
      <w:r w:rsidRPr="008A20AC">
        <w:rPr>
          <w:sz w:val="20"/>
          <w:szCs w:val="20"/>
        </w:rPr>
        <w:t>1.</w:t>
      </w:r>
      <w:r w:rsidRPr="008A20AC">
        <w:rPr>
          <w:sz w:val="20"/>
          <w:szCs w:val="20"/>
        </w:rPr>
        <w:tab/>
      </w:r>
      <w:r w:rsidRPr="008A20AC">
        <w:rPr>
          <w:sz w:val="20"/>
          <w:szCs w:val="20"/>
        </w:rPr>
        <w:t xml:space="preserve">G. Awong, E. Herer, C. D. Surh, J. E. Dick, R. N. La Motte-Mohs and J. C. Zuniga-Pflucker: Characterization in vitro and engraftment potential in vivo of human progenitor T cells generated from hematopoietic stem cells. </w:t>
      </w:r>
      <w:r w:rsidRPr="008A20AC">
        <w:rPr>
          <w:i/>
          <w:sz w:val="20"/>
          <w:szCs w:val="20"/>
        </w:rPr>
        <w:t>Blood</w:t>
      </w:r>
      <w:r w:rsidRPr="008A20AC">
        <w:rPr>
          <w:sz w:val="20"/>
          <w:szCs w:val="20"/>
        </w:rPr>
        <w:t>, 114(5), 972-82 (2009) doi:10.1182/blood-2008-10-187013</w:t>
      </w:r>
    </w:p>
    <w:p w:rsidR="009004DF" w:rsidRPr="008A20AC" w:rsidRDefault="009004DF" w:rsidP="009004DF">
      <w:pPr>
        <w:pStyle w:val="EndNoteBibliography"/>
        <w:spacing w:after="0"/>
        <w:rPr>
          <w:sz w:val="20"/>
          <w:szCs w:val="20"/>
        </w:rPr>
      </w:pPr>
      <w:r w:rsidRPr="008A20AC">
        <w:rPr>
          <w:sz w:val="20"/>
          <w:szCs w:val="20"/>
        </w:rPr>
        <w:t xml:space="preserve">2. </w:t>
      </w:r>
      <w:r w:rsidRPr="008A20AC">
        <w:rPr>
          <w:sz w:val="20"/>
          <w:szCs w:val="20"/>
        </w:rPr>
        <w:tab/>
      </w:r>
      <w:r w:rsidRPr="008A20AC">
        <w:rPr>
          <w:sz w:val="20"/>
          <w:szCs w:val="20"/>
        </w:rPr>
        <w:t xml:space="preserve">S. Baik, E. J. Jenkinson, P. J. Lane, G. Anderson and W. E. Jenkinson: Generation of both cortical and Aire(+) medullary thymic epithelial compartments from CD205(+) progenitors. </w:t>
      </w:r>
      <w:r w:rsidRPr="008A20AC">
        <w:rPr>
          <w:i/>
          <w:sz w:val="20"/>
          <w:szCs w:val="20"/>
        </w:rPr>
        <w:t>Eur J Immunol</w:t>
      </w:r>
      <w:r w:rsidRPr="008A20AC">
        <w:rPr>
          <w:sz w:val="20"/>
          <w:szCs w:val="20"/>
        </w:rPr>
        <w:t>, 43(3), 589-94 (2013) doi:10.1002/eji.201243209</w:t>
      </w:r>
    </w:p>
    <w:p w:rsidR="009004DF" w:rsidRPr="008A20AC" w:rsidRDefault="009004DF" w:rsidP="009004DF">
      <w:pPr>
        <w:pStyle w:val="EndNoteBibliography"/>
        <w:spacing w:after="0"/>
        <w:rPr>
          <w:sz w:val="20"/>
          <w:szCs w:val="20"/>
        </w:rPr>
      </w:pPr>
      <w:r w:rsidRPr="008A20AC">
        <w:rPr>
          <w:sz w:val="20"/>
          <w:szCs w:val="20"/>
        </w:rPr>
        <w:t>3.</w:t>
      </w:r>
      <w:r w:rsidRPr="008A20AC">
        <w:rPr>
          <w:sz w:val="20"/>
          <w:szCs w:val="20"/>
        </w:rPr>
        <w:tab/>
      </w:r>
      <w:r w:rsidRPr="008A20AC">
        <w:rPr>
          <w:sz w:val="20"/>
          <w:szCs w:val="20"/>
        </w:rPr>
        <w:t xml:space="preserve">G. Belteki, J. Haigh, N. Kabacs, K. Haigh, K. Sison, F. Costantini, J. Whitsett, S. E. Quaggin and A. Nagy: Conditional and inducible transgene expression in mice through the combinatorial use of Cre-mediated recombination and tetracycline induction. </w:t>
      </w:r>
      <w:r w:rsidRPr="008A20AC">
        <w:rPr>
          <w:i/>
          <w:sz w:val="20"/>
          <w:szCs w:val="20"/>
        </w:rPr>
        <w:t>Nucleic Acids Res</w:t>
      </w:r>
      <w:r w:rsidRPr="008A20AC">
        <w:rPr>
          <w:sz w:val="20"/>
          <w:szCs w:val="20"/>
        </w:rPr>
        <w:t>, 33(5), e51 (2005) doi:10.1093/nar/gni051</w:t>
      </w:r>
    </w:p>
    <w:p w:rsidR="009004DF" w:rsidRPr="008A20AC" w:rsidRDefault="009004DF" w:rsidP="009004DF">
      <w:pPr>
        <w:pStyle w:val="EndNoteBibliography"/>
        <w:spacing w:after="0"/>
        <w:rPr>
          <w:sz w:val="20"/>
          <w:szCs w:val="20"/>
        </w:rPr>
      </w:pPr>
      <w:r w:rsidRPr="008A20AC">
        <w:rPr>
          <w:sz w:val="20"/>
          <w:szCs w:val="20"/>
        </w:rPr>
        <w:t xml:space="preserve">4. </w:t>
      </w:r>
      <w:r w:rsidRPr="008A20AC">
        <w:rPr>
          <w:sz w:val="20"/>
          <w:szCs w:val="20"/>
        </w:rPr>
        <w:t xml:space="preserve">M. Stadtfeld and T. Graf: Assessing the role of hematopoietic plasticity for endothelial and hepatocyte development by non-invasive lineage tracing. </w:t>
      </w:r>
      <w:r w:rsidRPr="008A20AC">
        <w:rPr>
          <w:i/>
          <w:sz w:val="20"/>
          <w:szCs w:val="20"/>
        </w:rPr>
        <w:t>Development</w:t>
      </w:r>
      <w:r w:rsidRPr="008A20AC">
        <w:rPr>
          <w:sz w:val="20"/>
          <w:szCs w:val="20"/>
        </w:rPr>
        <w:t>, 132(1), 203-13 (2005) doi:10.1242/dev.01558</w:t>
      </w:r>
    </w:p>
    <w:p w:rsidR="009004DF" w:rsidRPr="008A20AC" w:rsidRDefault="009004DF" w:rsidP="009004DF">
      <w:pPr>
        <w:pStyle w:val="EndNoteBibliography"/>
        <w:spacing w:after="0"/>
        <w:rPr>
          <w:sz w:val="20"/>
          <w:szCs w:val="20"/>
        </w:rPr>
      </w:pPr>
      <w:r w:rsidRPr="008A20AC">
        <w:rPr>
          <w:sz w:val="20"/>
          <w:szCs w:val="20"/>
        </w:rPr>
        <w:t>5.</w:t>
      </w:r>
      <w:r w:rsidRPr="008A20AC">
        <w:rPr>
          <w:sz w:val="20"/>
          <w:szCs w:val="20"/>
        </w:rPr>
        <w:tab/>
      </w:r>
      <w:r w:rsidRPr="008A20AC">
        <w:rPr>
          <w:sz w:val="20"/>
          <w:szCs w:val="20"/>
        </w:rPr>
        <w:t xml:space="preserve">M. Mohtashami, D. K. Shah, H. Nakase, K. Kianizad, H. T. Petrie and J. C. Zuniga-Pflucker: Direct comparison of Dll1- and Dll4-mediated Notch activation levels shows differential lymphomyeloid lineage commitment outcomes. </w:t>
      </w:r>
      <w:r w:rsidRPr="008A20AC">
        <w:rPr>
          <w:i/>
          <w:sz w:val="20"/>
          <w:szCs w:val="20"/>
        </w:rPr>
        <w:t>J Immunol</w:t>
      </w:r>
      <w:r w:rsidRPr="008A20AC">
        <w:rPr>
          <w:sz w:val="20"/>
          <w:szCs w:val="20"/>
        </w:rPr>
        <w:t>, 185(2), 867-76 (2010) doi:10.4049/jimmunol.1000782</w:t>
      </w:r>
    </w:p>
    <w:p w:rsidR="009004DF" w:rsidRPr="008A20AC" w:rsidRDefault="009004DF" w:rsidP="009004DF">
      <w:pPr>
        <w:pStyle w:val="EndNoteBibliography"/>
        <w:spacing w:after="0"/>
        <w:rPr>
          <w:sz w:val="20"/>
          <w:szCs w:val="20"/>
        </w:rPr>
      </w:pPr>
      <w:r w:rsidRPr="008A20AC">
        <w:rPr>
          <w:sz w:val="20"/>
          <w:szCs w:val="20"/>
        </w:rPr>
        <w:t>6.</w:t>
      </w:r>
      <w:r w:rsidRPr="008A20AC">
        <w:rPr>
          <w:sz w:val="20"/>
          <w:szCs w:val="20"/>
        </w:rPr>
        <w:tab/>
      </w:r>
      <w:r w:rsidRPr="008A20AC">
        <w:rPr>
          <w:sz w:val="20"/>
          <w:szCs w:val="20"/>
        </w:rPr>
        <w:t xml:space="preserve">S. Baik, M. Sekai, Y. Hamazaki, W. E. Jenkinson and G. Anderson: Relb acts downstream of medullary thymic epithelial stem cells and is essential for the emergence of RANK(+) medullary epithelial progenitors. </w:t>
      </w:r>
      <w:r w:rsidRPr="008A20AC">
        <w:rPr>
          <w:i/>
          <w:sz w:val="20"/>
          <w:szCs w:val="20"/>
        </w:rPr>
        <w:t>Eur J Immunol</w:t>
      </w:r>
      <w:r w:rsidRPr="008A20AC">
        <w:rPr>
          <w:sz w:val="20"/>
          <w:szCs w:val="20"/>
        </w:rPr>
        <w:t>, 46(4), 857-62 (2016) doi:10.1002/eji.201546253</w:t>
      </w:r>
    </w:p>
    <w:p w:rsidR="009004DF" w:rsidRPr="005E7146" w:rsidRDefault="009004DF" w:rsidP="009004DF">
      <w:pPr>
        <w:pStyle w:val="EndNoteBibliography"/>
        <w:spacing w:after="0"/>
      </w:pPr>
    </w:p>
    <w:p w:rsidR="009004DF" w:rsidRPr="005E7146" w:rsidRDefault="009004DF" w:rsidP="009004DF">
      <w:pPr>
        <w:pStyle w:val="EndNoteBibliography"/>
        <w:spacing w:after="0"/>
      </w:pPr>
    </w:p>
    <w:p w:rsidR="009004DF" w:rsidRPr="009004DF" w:rsidRDefault="009004DF">
      <w:pPr>
        <w:rPr>
          <w:b/>
          <w:sz w:val="20"/>
          <w:szCs w:val="20"/>
        </w:rPr>
      </w:pPr>
    </w:p>
    <w:sectPr w:rsidR="009004DF" w:rsidRPr="0090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DF"/>
    <w:rsid w:val="00131F8F"/>
    <w:rsid w:val="0041541B"/>
    <w:rsid w:val="005A2221"/>
    <w:rsid w:val="005A7AC6"/>
    <w:rsid w:val="008A20AC"/>
    <w:rsid w:val="009004DF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4A29"/>
  <w15:chartTrackingRefBased/>
  <w15:docId w15:val="{A862553B-8A68-4DF9-A219-C8F2E969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DF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9004DF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9004DF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9004DF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004DF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9004DF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004DF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9004DF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9004D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9004DF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004DF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9004D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004DF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9004DF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04DF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52FA-73FD-406C-A85E-1F478B72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Jastaran Singh</dc:creator>
  <cp:keywords/>
  <dc:description/>
  <cp:lastModifiedBy>Jastaran Singh</cp:lastModifiedBy>
  <cp:revision>4</cp:revision>
  <dcterms:created xsi:type="dcterms:W3CDTF">2020-08-04T19:28:00Z</dcterms:created>
  <dcterms:modified xsi:type="dcterms:W3CDTF">2020-08-05T02:21:00Z</dcterms:modified>
</cp:coreProperties>
</file>