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2FE5F8" w14:textId="77777777" w:rsidR="003A22BC" w:rsidRDefault="003A22BC">
      <w:pPr>
        <w:jc w:val="center"/>
        <w:rPr>
          <w:b/>
          <w:bCs/>
          <w:lang/>
        </w:rPr>
      </w:pPr>
    </w:p>
    <w:p w14:paraId="589646C4" w14:textId="77777777" w:rsidR="003A22BC" w:rsidRDefault="00957FF2">
      <w:pPr>
        <w:jc w:val="center"/>
        <w:rPr>
          <w:b/>
          <w:bCs/>
          <w:lang/>
        </w:rPr>
      </w:pPr>
      <w:r>
        <w:rPr>
          <w:b/>
          <w:bCs/>
          <w:lang/>
        </w:rPr>
        <w:t>Supplementary Data</w:t>
      </w:r>
    </w:p>
    <w:p w14:paraId="1825A7B8" w14:textId="77777777" w:rsidR="003A22BC" w:rsidRDefault="003A22BC">
      <w:pPr>
        <w:jc w:val="both"/>
        <w:rPr>
          <w:lang/>
        </w:rPr>
      </w:pPr>
    </w:p>
    <w:p w14:paraId="77A00180" w14:textId="77777777" w:rsidR="003A22BC" w:rsidRDefault="00957FF2">
      <w:pPr>
        <w:numPr>
          <w:ilvl w:val="0"/>
          <w:numId w:val="1"/>
        </w:numPr>
      </w:pPr>
      <w:r>
        <w:rPr>
          <w:rFonts w:eastAsia="Times New Roman"/>
          <w:lang/>
        </w:rPr>
        <w:t xml:space="preserve">All related code, models and maps can be downloaded from GitHub: </w:t>
      </w:r>
      <w:hyperlink r:id="rId5">
        <w:r>
          <w:rPr>
            <w:rFonts w:eastAsia="Times New Roman"/>
            <w:color w:val="0000FF"/>
            <w:u w:val="single"/>
            <w:lang/>
          </w:rPr>
          <w:t>https://github.com/davidoctaviobotero/Xpm_metabolic_model</w:t>
        </w:r>
      </w:hyperlink>
    </w:p>
    <w:p w14:paraId="50668C87" w14:textId="77777777" w:rsidR="003A22BC" w:rsidRDefault="00957FF2">
      <w:pPr>
        <w:numPr>
          <w:ilvl w:val="0"/>
          <w:numId w:val="1"/>
        </w:numPr>
      </w:pPr>
      <w:r>
        <w:rPr>
          <w:rFonts w:eastAsia="Times New Roman"/>
          <w:lang/>
        </w:rPr>
        <w:t>Metabolic map of the</w:t>
      </w:r>
      <w:r>
        <w:rPr>
          <w:rFonts w:eastAsia="Times New Roman"/>
          <w:b/>
          <w:lang/>
        </w:rPr>
        <w:t xml:space="preserve"> </w:t>
      </w:r>
      <w:r>
        <w:rPr>
          <w:rFonts w:eastAsia="Times New Roman"/>
          <w:lang/>
        </w:rPr>
        <w:t xml:space="preserve">central metabolism and carbohydrate sources of </w:t>
      </w:r>
      <w:r>
        <w:rPr>
          <w:rFonts w:eastAsia="Times New Roman"/>
          <w:i/>
          <w:lang/>
        </w:rPr>
        <w:t>Xpm</w:t>
      </w:r>
      <w:r>
        <w:rPr>
          <w:rFonts w:eastAsia="Times New Roman"/>
          <w:lang/>
        </w:rPr>
        <w:t xml:space="preserve"> constructed in Escher </w:t>
      </w:r>
      <w:bookmarkStart w:id="0" w:name="Mendeley_Bookmark_mWPTibHovW"/>
      <w:bookmarkStart w:id="1" w:name="Mendeley_Bookmark_d7Z3gGU2bH"/>
      <w:r>
        <w:rPr>
          <w:rFonts w:eastAsia="Times New Roman"/>
          <w:lang/>
        </w:rPr>
        <w:t>(Tarazona et al., 2015)</w:t>
      </w:r>
      <w:bookmarkStart w:id="2" w:name="__Fieldmark__3267_3187395758"/>
      <w:bookmarkEnd w:id="0"/>
      <w:bookmarkEnd w:id="1"/>
      <w:r>
        <w:rPr>
          <w:rFonts w:eastAsia="Times New Roman"/>
          <w:lang/>
        </w:rPr>
        <w:t>:</w:t>
      </w:r>
      <w:bookmarkEnd w:id="2"/>
      <w:r>
        <w:rPr>
          <w:rFonts w:eastAsia="Times New Roman"/>
          <w:lang/>
        </w:rPr>
        <w:t xml:space="preserve"> </w:t>
      </w:r>
      <w:hyperlink r:id="rId6">
        <w:r>
          <w:rPr>
            <w:rFonts w:eastAsia="Times New Roman"/>
            <w:color w:val="0000FF"/>
            <w:u w:val="single"/>
            <w:lang/>
          </w:rPr>
          <w:t>https://github.com/davidoctaviobotero/Xpm_metabolic_model/blob/master/Maps/Xpm_Central_metabolism_map.json</w:t>
        </w:r>
      </w:hyperlink>
    </w:p>
    <w:p w14:paraId="0929E8CB" w14:textId="77777777" w:rsidR="003A22BC" w:rsidRDefault="00957FF2">
      <w:pPr>
        <w:numPr>
          <w:ilvl w:val="0"/>
          <w:numId w:val="1"/>
        </w:numPr>
      </w:pPr>
      <w:r>
        <w:rPr>
          <w:rFonts w:eastAsia="Times New Roman"/>
          <w:lang/>
        </w:rPr>
        <w:t xml:space="preserve">Metabolic map of amino acid biosynthesis of </w:t>
      </w:r>
      <w:r>
        <w:rPr>
          <w:rFonts w:eastAsia="Times New Roman"/>
          <w:i/>
          <w:lang/>
        </w:rPr>
        <w:t>Xpm</w:t>
      </w:r>
      <w:r>
        <w:rPr>
          <w:rFonts w:eastAsia="Times New Roman"/>
          <w:lang/>
        </w:rPr>
        <w:t xml:space="preserve"> constructed in Escher </w:t>
      </w:r>
      <w:bookmarkStart w:id="3" w:name="Mendeley_Bookmark_FrxPILXKaA"/>
      <w:r>
        <w:rPr>
          <w:rFonts w:eastAsia="Times New Roman"/>
          <w:lang/>
        </w:rPr>
        <w:t>(King et al., 2015)</w:t>
      </w:r>
      <w:bookmarkStart w:id="4" w:name="__Fieldmark__3280_3187395758"/>
      <w:bookmarkEnd w:id="3"/>
      <w:r>
        <w:rPr>
          <w:rFonts w:eastAsia="Times New Roman"/>
          <w:lang/>
        </w:rPr>
        <w:t>:</w:t>
      </w:r>
      <w:bookmarkEnd w:id="4"/>
      <w:r>
        <w:rPr>
          <w:lang/>
        </w:rPr>
        <w:t xml:space="preserve"> </w:t>
      </w:r>
      <w:hyperlink r:id="rId7">
        <w:r>
          <w:rPr>
            <w:rFonts w:eastAsia="Times New Roman"/>
            <w:color w:val="0000FF"/>
            <w:u w:val="single"/>
            <w:lang/>
          </w:rPr>
          <w:t>https://github.com/davidoctaviobotero/Xpm_metabolic_model/blob/master/Maps/Xpm-Aminoacid_map.json</w:t>
        </w:r>
      </w:hyperlink>
    </w:p>
    <w:p w14:paraId="27D46DBE" w14:textId="77777777" w:rsidR="003A22BC" w:rsidRDefault="00957FF2">
      <w:pPr>
        <w:numPr>
          <w:ilvl w:val="0"/>
          <w:numId w:val="1"/>
        </w:numPr>
      </w:pPr>
      <w:r>
        <w:rPr>
          <w:rFonts w:eastAsia="Times New Roman"/>
          <w:lang/>
        </w:rPr>
        <w:t xml:space="preserve">Metabolic map of xanthan biosynthesis of </w:t>
      </w:r>
      <w:r>
        <w:rPr>
          <w:rFonts w:eastAsia="Times New Roman"/>
          <w:i/>
          <w:lang/>
        </w:rPr>
        <w:t>Xpm</w:t>
      </w:r>
      <w:r>
        <w:rPr>
          <w:rFonts w:eastAsia="Times New Roman"/>
          <w:lang/>
        </w:rPr>
        <w:t xml:space="preserve"> constru</w:t>
      </w:r>
      <w:r>
        <w:rPr>
          <w:rFonts w:eastAsia="Times New Roman"/>
          <w:lang/>
        </w:rPr>
        <w:t xml:space="preserve">cted in Escher </w:t>
      </w:r>
      <w:bookmarkStart w:id="5" w:name="Mendeley_Bookmark_RDolHZ0reZ"/>
      <w:bookmarkStart w:id="6" w:name="Mendeley_Bookmark_n9cVPazVKN"/>
      <w:r>
        <w:rPr>
          <w:rFonts w:eastAsia="Times New Roman"/>
          <w:lang/>
        </w:rPr>
        <w:t>(King et al., 2015)</w:t>
      </w:r>
      <w:bookmarkStart w:id="7" w:name="__Fieldmark__3294_3187395758"/>
      <w:bookmarkEnd w:id="5"/>
      <w:bookmarkEnd w:id="6"/>
      <w:r>
        <w:rPr>
          <w:rFonts w:eastAsia="Times New Roman"/>
          <w:lang/>
        </w:rPr>
        <w:t>:</w:t>
      </w:r>
      <w:bookmarkEnd w:id="7"/>
      <w:r>
        <w:rPr>
          <w:rFonts w:eastAsia="Times New Roman"/>
          <w:lang/>
        </w:rPr>
        <w:t xml:space="preserve"> </w:t>
      </w:r>
      <w:hyperlink r:id="rId8">
        <w:r>
          <w:rPr>
            <w:rFonts w:eastAsia="Times New Roman"/>
            <w:color w:val="0000FF"/>
            <w:u w:val="single"/>
            <w:lang/>
          </w:rPr>
          <w:t>https://github.com/davidoctaviobotero/Xpm_metabolic_model/blob/master/Maps/Xpm-Xanthan_biosy</w:t>
        </w:r>
        <w:r>
          <w:rPr>
            <w:rFonts w:eastAsia="Times New Roman"/>
            <w:color w:val="0000FF"/>
            <w:u w:val="single"/>
            <w:lang/>
          </w:rPr>
          <w:t>nthesis_map.json</w:t>
        </w:r>
      </w:hyperlink>
    </w:p>
    <w:p w14:paraId="1B82DC21" w14:textId="77777777" w:rsidR="003A22BC" w:rsidRDefault="00957FF2">
      <w:pPr>
        <w:numPr>
          <w:ilvl w:val="0"/>
          <w:numId w:val="1"/>
        </w:numPr>
      </w:pPr>
      <w:r>
        <w:rPr>
          <w:rFonts w:eastAsia="Times New Roman"/>
          <w:lang/>
        </w:rPr>
        <w:t xml:space="preserve">Full metabolic model of </w:t>
      </w:r>
      <w:r>
        <w:rPr>
          <w:rFonts w:eastAsia="Times New Roman"/>
          <w:i/>
          <w:lang/>
        </w:rPr>
        <w:t xml:space="preserve">Xpm: </w:t>
      </w:r>
      <w:hyperlink r:id="rId9">
        <w:r>
          <w:rPr>
            <w:rFonts w:eastAsia="Times New Roman"/>
            <w:color w:val="0000FF"/>
            <w:u w:val="single"/>
            <w:lang/>
          </w:rPr>
          <w:t>https://github.com/davidoctaviobotero/Xpm_metabolic_model/blob/m</w:t>
        </w:r>
        <w:r>
          <w:rPr>
            <w:rFonts w:eastAsia="Times New Roman"/>
            <w:color w:val="0000FF"/>
            <w:u w:val="single"/>
            <w:lang/>
          </w:rPr>
          <w:t>aster/Models/Xam_Biomass%26Xanthan(completed_mar15)_model.json</w:t>
        </w:r>
      </w:hyperlink>
    </w:p>
    <w:p w14:paraId="0643AA1F" w14:textId="77777777" w:rsidR="003A22BC" w:rsidRDefault="00957FF2">
      <w:pPr>
        <w:numPr>
          <w:ilvl w:val="0"/>
          <w:numId w:val="1"/>
        </w:numPr>
      </w:pPr>
      <w:r>
        <w:rPr>
          <w:rFonts w:eastAsia="Times New Roman"/>
          <w:lang/>
        </w:rPr>
        <w:t xml:space="preserve">Context Specific Metabolic Model of </w:t>
      </w:r>
      <w:r>
        <w:rPr>
          <w:rFonts w:eastAsia="Times New Roman"/>
          <w:i/>
          <w:lang/>
        </w:rPr>
        <w:t>Xpm</w:t>
      </w:r>
      <w:r>
        <w:rPr>
          <w:rFonts w:eastAsia="Times New Roman"/>
          <w:lang/>
        </w:rPr>
        <w:t xml:space="preserve"> CIO151 EV: </w:t>
      </w:r>
      <w:hyperlink r:id="rId10">
        <w:r>
          <w:rPr>
            <w:rFonts w:eastAsia="Times New Roman"/>
            <w:color w:val="0000FF"/>
            <w:u w:val="single"/>
            <w:lang/>
          </w:rPr>
          <w:t>https://github.com/davidoctaviobotero/Xpm_metabolic_model/blob/master/Models/Xam_void_CSM.mat</w:t>
        </w:r>
      </w:hyperlink>
    </w:p>
    <w:p w14:paraId="6CE2095A" w14:textId="77777777" w:rsidR="003A22BC" w:rsidRDefault="00957FF2">
      <w:pPr>
        <w:numPr>
          <w:ilvl w:val="0"/>
          <w:numId w:val="1"/>
        </w:numPr>
        <w:rPr>
          <w:b/>
          <w:bCs/>
          <w:lang/>
        </w:rPr>
      </w:pPr>
      <w:r>
        <w:rPr>
          <w:rFonts w:eastAsia="Times New Roman"/>
          <w:b/>
          <w:bCs/>
          <w:lang/>
        </w:rPr>
        <w:t xml:space="preserve">Context Specific Metabolic Model of </w:t>
      </w:r>
      <w:r>
        <w:rPr>
          <w:rFonts w:eastAsia="Times New Roman"/>
          <w:b/>
          <w:bCs/>
          <w:i/>
          <w:lang/>
        </w:rPr>
        <w:t>Xpm</w:t>
      </w:r>
      <w:r>
        <w:rPr>
          <w:rFonts w:eastAsia="Times New Roman"/>
          <w:b/>
          <w:bCs/>
          <w:lang/>
        </w:rPr>
        <w:t xml:space="preserve"> CIO151 </w:t>
      </w:r>
      <w:r>
        <w:rPr>
          <w:rFonts w:eastAsia="Times New Roman"/>
          <w:b/>
          <w:bCs/>
          <w:i/>
          <w:iCs/>
          <w:lang/>
        </w:rPr>
        <w:t>ΔrpfCGH</w:t>
      </w:r>
      <w:r>
        <w:rPr>
          <w:rFonts w:eastAsia="Times New Roman"/>
          <w:b/>
          <w:bCs/>
          <w:lang/>
        </w:rPr>
        <w:t xml:space="preserve">-EV: </w:t>
      </w:r>
      <w:hyperlink r:id="rId11">
        <w:r>
          <w:rPr>
            <w:rStyle w:val="Hyperlink"/>
            <w:rFonts w:eastAsia="Times New Roman"/>
            <w:b/>
            <w:bCs/>
            <w:lang/>
          </w:rPr>
          <w:t>https://github.com/davidoctaviobotero/Xpm_metabolic_model/blob/master/Models/Xam_rpfCGH_CSM.mat</w:t>
        </w:r>
      </w:hyperlink>
    </w:p>
    <w:p w14:paraId="368DB456" w14:textId="77777777" w:rsidR="003A22BC" w:rsidRDefault="003A22BC">
      <w:pPr>
        <w:jc w:val="center"/>
        <w:rPr>
          <w:b/>
          <w:bCs/>
          <w:lang/>
        </w:rPr>
      </w:pPr>
    </w:p>
    <w:p w14:paraId="754C1DC8" w14:textId="77777777" w:rsidR="003A22BC" w:rsidRDefault="003A22BC">
      <w:pPr>
        <w:jc w:val="center"/>
        <w:rPr>
          <w:b/>
          <w:bCs/>
          <w:lang/>
        </w:rPr>
      </w:pPr>
    </w:p>
    <w:p w14:paraId="041F79FF" w14:textId="77777777" w:rsidR="003A22BC" w:rsidRDefault="003A22BC">
      <w:pPr>
        <w:jc w:val="center"/>
        <w:rPr>
          <w:b/>
          <w:bCs/>
          <w:lang/>
        </w:rPr>
      </w:pPr>
    </w:p>
    <w:p w14:paraId="4697D453" w14:textId="77777777" w:rsidR="003A22BC" w:rsidRDefault="003A22BC">
      <w:pPr>
        <w:jc w:val="center"/>
        <w:rPr>
          <w:b/>
          <w:bCs/>
          <w:lang/>
        </w:rPr>
      </w:pPr>
    </w:p>
    <w:p w14:paraId="49B93FD4" w14:textId="77777777" w:rsidR="003A22BC" w:rsidRDefault="003A22BC">
      <w:pPr>
        <w:jc w:val="center"/>
        <w:rPr>
          <w:b/>
          <w:bCs/>
          <w:lang/>
        </w:rPr>
      </w:pPr>
    </w:p>
    <w:p w14:paraId="62D29363" w14:textId="77777777" w:rsidR="003A22BC" w:rsidRDefault="003A22BC">
      <w:pPr>
        <w:jc w:val="center"/>
        <w:rPr>
          <w:b/>
          <w:bCs/>
          <w:lang/>
        </w:rPr>
      </w:pPr>
    </w:p>
    <w:p w14:paraId="436D21F8" w14:textId="77777777" w:rsidR="003A22BC" w:rsidRDefault="003A22BC">
      <w:pPr>
        <w:jc w:val="center"/>
        <w:rPr>
          <w:b/>
          <w:bCs/>
          <w:lang/>
        </w:rPr>
      </w:pPr>
    </w:p>
    <w:p w14:paraId="4CBCFB3D" w14:textId="77777777" w:rsidR="003A22BC" w:rsidRDefault="003A22BC">
      <w:pPr>
        <w:jc w:val="center"/>
        <w:rPr>
          <w:b/>
          <w:bCs/>
          <w:lang/>
        </w:rPr>
      </w:pPr>
    </w:p>
    <w:p w14:paraId="08FF2C54" w14:textId="77777777" w:rsidR="003A22BC" w:rsidRDefault="003A22BC">
      <w:pPr>
        <w:jc w:val="center"/>
        <w:rPr>
          <w:b/>
          <w:bCs/>
          <w:lang/>
        </w:rPr>
      </w:pPr>
    </w:p>
    <w:p w14:paraId="40544BD6" w14:textId="77777777" w:rsidR="003A22BC" w:rsidRDefault="003A22BC">
      <w:pPr>
        <w:jc w:val="center"/>
        <w:rPr>
          <w:b/>
          <w:bCs/>
          <w:lang/>
        </w:rPr>
      </w:pPr>
    </w:p>
    <w:p w14:paraId="7CEE28DB" w14:textId="77777777" w:rsidR="003A22BC" w:rsidRDefault="003A22BC">
      <w:pPr>
        <w:jc w:val="center"/>
        <w:rPr>
          <w:b/>
          <w:bCs/>
          <w:lang/>
        </w:rPr>
      </w:pPr>
    </w:p>
    <w:p w14:paraId="57A24AC6" w14:textId="77777777" w:rsidR="003A22BC" w:rsidRDefault="003A22BC">
      <w:pPr>
        <w:jc w:val="center"/>
        <w:rPr>
          <w:b/>
          <w:bCs/>
          <w:lang/>
        </w:rPr>
      </w:pPr>
    </w:p>
    <w:p w14:paraId="081B7975" w14:textId="77777777" w:rsidR="003A22BC" w:rsidRDefault="003A22BC">
      <w:pPr>
        <w:jc w:val="center"/>
        <w:rPr>
          <w:b/>
          <w:bCs/>
          <w:lang/>
        </w:rPr>
      </w:pPr>
    </w:p>
    <w:p w14:paraId="210F23B8" w14:textId="77777777" w:rsidR="003A22BC" w:rsidRDefault="003A22BC">
      <w:pPr>
        <w:jc w:val="center"/>
        <w:rPr>
          <w:b/>
          <w:bCs/>
          <w:lang/>
        </w:rPr>
      </w:pPr>
    </w:p>
    <w:p w14:paraId="5CDA15BF" w14:textId="77777777" w:rsidR="003A22BC" w:rsidRDefault="003A22BC">
      <w:pPr>
        <w:jc w:val="center"/>
        <w:rPr>
          <w:b/>
          <w:bCs/>
          <w:lang/>
        </w:rPr>
      </w:pPr>
    </w:p>
    <w:p w14:paraId="35811A4D" w14:textId="77777777" w:rsidR="003A22BC" w:rsidRDefault="003A22BC">
      <w:pPr>
        <w:jc w:val="center"/>
        <w:rPr>
          <w:b/>
          <w:bCs/>
          <w:lang/>
        </w:rPr>
      </w:pPr>
    </w:p>
    <w:p w14:paraId="34DAD49D" w14:textId="77777777" w:rsidR="003A22BC" w:rsidRDefault="003A22BC">
      <w:pPr>
        <w:jc w:val="center"/>
        <w:rPr>
          <w:b/>
          <w:bCs/>
          <w:lang/>
        </w:rPr>
      </w:pPr>
    </w:p>
    <w:p w14:paraId="4A1B604E" w14:textId="77777777" w:rsidR="003A22BC" w:rsidRDefault="003A22BC">
      <w:pPr>
        <w:jc w:val="center"/>
        <w:rPr>
          <w:b/>
          <w:bCs/>
          <w:lang/>
        </w:rPr>
      </w:pPr>
    </w:p>
    <w:p w14:paraId="174A5EF0" w14:textId="77777777" w:rsidR="003A22BC" w:rsidRDefault="003A22BC">
      <w:pPr>
        <w:jc w:val="center"/>
        <w:rPr>
          <w:b/>
          <w:bCs/>
          <w:lang/>
        </w:rPr>
      </w:pPr>
    </w:p>
    <w:p w14:paraId="1B28E56C" w14:textId="77777777" w:rsidR="003A22BC" w:rsidRDefault="003A22BC">
      <w:pPr>
        <w:jc w:val="center"/>
        <w:rPr>
          <w:b/>
          <w:bCs/>
          <w:lang/>
        </w:rPr>
      </w:pPr>
    </w:p>
    <w:p w14:paraId="0AF6179C" w14:textId="77777777" w:rsidR="003A22BC" w:rsidRDefault="003A22BC">
      <w:pPr>
        <w:jc w:val="center"/>
        <w:rPr>
          <w:b/>
          <w:bCs/>
          <w:lang/>
        </w:rPr>
      </w:pPr>
    </w:p>
    <w:p w14:paraId="1DF47811" w14:textId="77777777" w:rsidR="003A22BC" w:rsidRDefault="003A22BC">
      <w:pPr>
        <w:jc w:val="center"/>
        <w:rPr>
          <w:b/>
          <w:bCs/>
          <w:lang/>
        </w:rPr>
      </w:pPr>
    </w:p>
    <w:p w14:paraId="46AEE716" w14:textId="77777777" w:rsidR="003A22BC" w:rsidRDefault="003A22BC">
      <w:pPr>
        <w:jc w:val="center"/>
        <w:rPr>
          <w:b/>
          <w:bCs/>
          <w:lang/>
        </w:rPr>
      </w:pPr>
    </w:p>
    <w:p w14:paraId="3EE418B3" w14:textId="77777777" w:rsidR="003A22BC" w:rsidRDefault="003A22BC">
      <w:pPr>
        <w:jc w:val="center"/>
        <w:rPr>
          <w:b/>
          <w:bCs/>
          <w:lang/>
        </w:rPr>
      </w:pPr>
    </w:p>
    <w:p w14:paraId="4F945F79" w14:textId="77777777" w:rsidR="003A22BC" w:rsidRDefault="003A22BC">
      <w:pPr>
        <w:jc w:val="center"/>
        <w:rPr>
          <w:b/>
          <w:bCs/>
          <w:lang/>
        </w:rPr>
      </w:pPr>
    </w:p>
    <w:p w14:paraId="0A1F73A3" w14:textId="77777777" w:rsidR="003A22BC" w:rsidRDefault="003A22BC">
      <w:pPr>
        <w:jc w:val="center"/>
        <w:rPr>
          <w:b/>
          <w:bCs/>
          <w:lang/>
        </w:rPr>
      </w:pPr>
    </w:p>
    <w:p w14:paraId="73A3DD0C" w14:textId="77777777" w:rsidR="003A22BC" w:rsidRDefault="00957FF2">
      <w:pPr>
        <w:jc w:val="center"/>
        <w:rPr>
          <w:b/>
          <w:bCs/>
          <w:lang/>
        </w:rPr>
      </w:pPr>
      <w:r>
        <w:rPr>
          <w:b/>
          <w:bCs/>
          <w:lang/>
        </w:rPr>
        <w:t>Supplementary Figures</w:t>
      </w:r>
    </w:p>
    <w:p w14:paraId="70641556" w14:textId="77777777" w:rsidR="003A22BC" w:rsidRDefault="003A22BC">
      <w:pPr>
        <w:jc w:val="both"/>
        <w:rPr>
          <w:b/>
          <w:bCs/>
          <w:lang/>
        </w:rPr>
      </w:pPr>
    </w:p>
    <w:tbl>
      <w:tblPr>
        <w:tblW w:w="9972" w:type="dxa"/>
        <w:tblLayout w:type="fixed"/>
        <w:tblCellMar>
          <w:top w:w="55" w:type="dxa"/>
          <w:left w:w="55" w:type="dxa"/>
          <w:bottom w:w="55" w:type="dxa"/>
          <w:right w:w="55" w:type="dxa"/>
        </w:tblCellMar>
        <w:tblLook w:val="0000" w:firstRow="0" w:lastRow="0" w:firstColumn="0" w:lastColumn="0" w:noHBand="0" w:noVBand="0"/>
      </w:tblPr>
      <w:tblGrid>
        <w:gridCol w:w="9972"/>
      </w:tblGrid>
      <w:tr w:rsidR="003A22BC" w14:paraId="13F18D58" w14:textId="77777777">
        <w:tc>
          <w:tcPr>
            <w:tcW w:w="9972" w:type="dxa"/>
            <w:tcBorders>
              <w:top w:val="single" w:sz="2" w:space="0" w:color="000000"/>
              <w:left w:val="single" w:sz="2" w:space="0" w:color="000000"/>
              <w:bottom w:val="single" w:sz="2" w:space="0" w:color="000000"/>
              <w:right w:val="single" w:sz="2" w:space="0" w:color="000000"/>
            </w:tcBorders>
          </w:tcPr>
          <w:p w14:paraId="4A93675F" w14:textId="77777777" w:rsidR="003A22BC" w:rsidRDefault="00957FF2">
            <w:pPr>
              <w:pStyle w:val="TableContents"/>
              <w:jc w:val="both"/>
              <w:rPr>
                <w:lang/>
              </w:rPr>
            </w:pPr>
            <w:r>
              <w:rPr>
                <w:noProof/>
                <w:lang/>
              </w:rPr>
              <w:drawing>
                <wp:anchor distT="0" distB="0" distL="0" distR="0" simplePos="0" relativeHeight="4" behindDoc="0" locked="0" layoutInCell="0" allowOverlap="1" wp14:anchorId="6CF04C84" wp14:editId="59B4577E">
                  <wp:simplePos x="0" y="0"/>
                  <wp:positionH relativeFrom="column">
                    <wp:align>center</wp:align>
                  </wp:positionH>
                  <wp:positionV relativeFrom="paragraph">
                    <wp:posOffset>635</wp:posOffset>
                  </wp:positionV>
                  <wp:extent cx="5924550" cy="2651125"/>
                  <wp:effectExtent l="0" t="0" r="0" b="0"/>
                  <wp:wrapSquare wrapText="largest"/>
                  <wp:docPr id="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0"/>
                          <pic:cNvPicPr>
                            <a:picLocks noChangeAspect="1" noChangeArrowheads="1"/>
                          </pic:cNvPicPr>
                        </pic:nvPicPr>
                        <pic:blipFill>
                          <a:blip r:embed="rId12"/>
                          <a:stretch>
                            <a:fillRect/>
                          </a:stretch>
                        </pic:blipFill>
                        <pic:spPr bwMode="auto">
                          <a:xfrm>
                            <a:off x="0" y="0"/>
                            <a:ext cx="5924550" cy="2651125"/>
                          </a:xfrm>
                          <a:prstGeom prst="rect">
                            <a:avLst/>
                          </a:prstGeom>
                        </pic:spPr>
                      </pic:pic>
                    </a:graphicData>
                  </a:graphic>
                </wp:anchor>
              </w:drawing>
            </w:r>
          </w:p>
        </w:tc>
      </w:tr>
      <w:tr w:rsidR="003A22BC" w14:paraId="7B1ABD0A" w14:textId="77777777">
        <w:tc>
          <w:tcPr>
            <w:tcW w:w="9972" w:type="dxa"/>
            <w:tcBorders>
              <w:left w:val="single" w:sz="2" w:space="0" w:color="000000"/>
              <w:bottom w:val="single" w:sz="2" w:space="0" w:color="000000"/>
              <w:right w:val="single" w:sz="2" w:space="0" w:color="000000"/>
            </w:tcBorders>
          </w:tcPr>
          <w:p w14:paraId="34C816AD" w14:textId="77777777" w:rsidR="003A22BC" w:rsidRDefault="00957FF2">
            <w:pPr>
              <w:jc w:val="both"/>
              <w:rPr>
                <w:lang/>
              </w:rPr>
            </w:pPr>
            <w:r>
              <w:rPr>
                <w:rFonts w:eastAsia="Times New Roman"/>
                <w:b/>
                <w:lang/>
              </w:rPr>
              <w:t>Figure S1.</w:t>
            </w:r>
            <w:r>
              <w:rPr>
                <w:rFonts w:eastAsia="Times New Roman"/>
                <w:lang/>
              </w:rPr>
              <w:t xml:space="preserve"> Over-represented gene ontologies upregulated by </w:t>
            </w:r>
            <w:r>
              <w:rPr>
                <w:rFonts w:eastAsia="Times New Roman"/>
                <w:i/>
                <w:lang/>
              </w:rPr>
              <w:t>rpfCGH</w:t>
            </w:r>
            <w:r>
              <w:rPr>
                <w:rFonts w:eastAsia="Times New Roman"/>
                <w:lang/>
              </w:rPr>
              <w:t xml:space="preserve"> in </w:t>
            </w:r>
            <w:r>
              <w:rPr>
                <w:rFonts w:eastAsia="Times New Roman"/>
                <w:i/>
                <w:lang/>
              </w:rPr>
              <w:t>Xpm</w:t>
            </w:r>
            <w:r>
              <w:rPr>
                <w:rFonts w:eastAsia="Times New Roman"/>
                <w:lang/>
              </w:rPr>
              <w:t xml:space="preserve"> using a Fisher Enrichment Analysis [Blast2GO]. Motor, flagellar and chemotaxis activities were among the most abundant, followed by signaling transduction processes. References set (red): propo</w:t>
            </w:r>
            <w:r>
              <w:rPr>
                <w:rFonts w:eastAsia="Times New Roman"/>
                <w:lang/>
              </w:rPr>
              <w:t xml:space="preserve">rtion of GO-term in </w:t>
            </w:r>
            <w:r>
              <w:rPr>
                <w:rFonts w:eastAsia="Times New Roman"/>
                <w:i/>
                <w:lang/>
              </w:rPr>
              <w:t>Xpm</w:t>
            </w:r>
            <w:r>
              <w:rPr>
                <w:rFonts w:eastAsia="Times New Roman"/>
                <w:lang/>
              </w:rPr>
              <w:t xml:space="preserve"> genome; Test set (blue): proportion of GO-term in the DEGs group of </w:t>
            </w:r>
            <w:r>
              <w:rPr>
                <w:rFonts w:eastAsia="Times New Roman"/>
                <w:i/>
                <w:lang/>
              </w:rPr>
              <w:t>Xpm</w:t>
            </w:r>
            <w:r>
              <w:rPr>
                <w:rFonts w:eastAsia="Times New Roman"/>
                <w:lang/>
              </w:rPr>
              <w:t>.</w:t>
            </w:r>
          </w:p>
        </w:tc>
      </w:tr>
    </w:tbl>
    <w:p w14:paraId="4BD332CD" w14:textId="77777777" w:rsidR="003A22BC" w:rsidRDefault="003A22BC">
      <w:pPr>
        <w:jc w:val="both"/>
        <w:rPr>
          <w:b/>
          <w:bCs/>
          <w:lang/>
        </w:rPr>
      </w:pPr>
    </w:p>
    <w:p w14:paraId="0050BA38" w14:textId="77777777" w:rsidR="003A22BC" w:rsidRDefault="003A22BC">
      <w:pPr>
        <w:jc w:val="both"/>
        <w:rPr>
          <w:b/>
          <w:bCs/>
          <w:lang/>
        </w:rPr>
      </w:pPr>
    </w:p>
    <w:p w14:paraId="34049E5B" w14:textId="77777777" w:rsidR="003A22BC" w:rsidRDefault="003A22BC">
      <w:pPr>
        <w:jc w:val="both"/>
        <w:rPr>
          <w:b/>
          <w:bCs/>
          <w:lang/>
        </w:rPr>
      </w:pPr>
    </w:p>
    <w:p w14:paraId="303BE2C0" w14:textId="77777777" w:rsidR="003A22BC" w:rsidRDefault="003A22BC">
      <w:pPr>
        <w:jc w:val="both"/>
        <w:rPr>
          <w:b/>
          <w:bCs/>
          <w:lang/>
        </w:rPr>
      </w:pPr>
    </w:p>
    <w:p w14:paraId="0476B1E0" w14:textId="77777777" w:rsidR="003A22BC" w:rsidRDefault="003A22BC">
      <w:pPr>
        <w:jc w:val="both"/>
        <w:rPr>
          <w:b/>
          <w:bCs/>
          <w:lang/>
        </w:rPr>
      </w:pPr>
    </w:p>
    <w:p w14:paraId="589294D9" w14:textId="77777777" w:rsidR="003A22BC" w:rsidRDefault="003A22BC">
      <w:pPr>
        <w:jc w:val="both"/>
        <w:rPr>
          <w:b/>
          <w:bCs/>
          <w:lang/>
        </w:rPr>
      </w:pPr>
    </w:p>
    <w:p w14:paraId="0A6524B3" w14:textId="77777777" w:rsidR="003A22BC" w:rsidRDefault="003A22BC">
      <w:pPr>
        <w:jc w:val="both"/>
        <w:rPr>
          <w:b/>
          <w:bCs/>
          <w:lang/>
        </w:rPr>
      </w:pPr>
    </w:p>
    <w:p w14:paraId="653D8EAA" w14:textId="77777777" w:rsidR="003A22BC" w:rsidRDefault="003A22BC">
      <w:pPr>
        <w:jc w:val="both"/>
        <w:rPr>
          <w:b/>
          <w:bCs/>
          <w:lang/>
        </w:rPr>
      </w:pPr>
    </w:p>
    <w:p w14:paraId="0596ECF9" w14:textId="77777777" w:rsidR="003A22BC" w:rsidRDefault="003A22BC">
      <w:pPr>
        <w:jc w:val="both"/>
        <w:rPr>
          <w:b/>
          <w:bCs/>
          <w:lang/>
        </w:rPr>
      </w:pPr>
    </w:p>
    <w:p w14:paraId="0A0DBE70" w14:textId="77777777" w:rsidR="003A22BC" w:rsidRDefault="003A22BC">
      <w:pPr>
        <w:jc w:val="both"/>
        <w:rPr>
          <w:b/>
          <w:bCs/>
          <w:lang/>
        </w:rPr>
      </w:pPr>
    </w:p>
    <w:p w14:paraId="4C4F8815" w14:textId="77777777" w:rsidR="003A22BC" w:rsidRDefault="003A22BC">
      <w:pPr>
        <w:jc w:val="both"/>
        <w:rPr>
          <w:b/>
          <w:bCs/>
          <w:lang/>
        </w:rPr>
      </w:pPr>
    </w:p>
    <w:p w14:paraId="22246CB7" w14:textId="77777777" w:rsidR="003A22BC" w:rsidRDefault="003A22BC">
      <w:pPr>
        <w:jc w:val="both"/>
        <w:rPr>
          <w:b/>
          <w:bCs/>
          <w:lang/>
        </w:rPr>
      </w:pPr>
    </w:p>
    <w:p w14:paraId="6A6B6F36" w14:textId="77777777" w:rsidR="003A22BC" w:rsidRDefault="003A22BC">
      <w:pPr>
        <w:jc w:val="both"/>
        <w:rPr>
          <w:b/>
          <w:bCs/>
          <w:lang/>
        </w:rPr>
      </w:pPr>
    </w:p>
    <w:p w14:paraId="36965671" w14:textId="77777777" w:rsidR="003A22BC" w:rsidRDefault="003A22BC">
      <w:pPr>
        <w:jc w:val="both"/>
        <w:rPr>
          <w:b/>
          <w:bCs/>
          <w:lang/>
        </w:rPr>
      </w:pPr>
    </w:p>
    <w:p w14:paraId="407EEF23" w14:textId="77777777" w:rsidR="003A22BC" w:rsidRDefault="003A22BC">
      <w:pPr>
        <w:jc w:val="both"/>
        <w:rPr>
          <w:b/>
          <w:bCs/>
          <w:lang/>
        </w:rPr>
      </w:pPr>
    </w:p>
    <w:p w14:paraId="60A8F37F" w14:textId="77777777" w:rsidR="003A22BC" w:rsidRDefault="003A22BC">
      <w:pPr>
        <w:jc w:val="both"/>
        <w:rPr>
          <w:b/>
          <w:bCs/>
          <w:lang/>
        </w:rPr>
      </w:pPr>
    </w:p>
    <w:p w14:paraId="4C922A8C" w14:textId="77777777" w:rsidR="003A22BC" w:rsidRDefault="003A22BC">
      <w:pPr>
        <w:jc w:val="both"/>
        <w:rPr>
          <w:b/>
          <w:bCs/>
          <w:lang/>
        </w:rPr>
      </w:pPr>
    </w:p>
    <w:p w14:paraId="1E772DC7" w14:textId="77777777" w:rsidR="003A22BC" w:rsidRDefault="003A22BC">
      <w:pPr>
        <w:jc w:val="both"/>
        <w:rPr>
          <w:b/>
          <w:bCs/>
          <w:lang/>
        </w:rPr>
      </w:pPr>
    </w:p>
    <w:p w14:paraId="5D23FADE" w14:textId="77777777" w:rsidR="003A22BC" w:rsidRDefault="003A22BC">
      <w:pPr>
        <w:jc w:val="both"/>
        <w:rPr>
          <w:b/>
          <w:bCs/>
          <w:lang/>
        </w:rPr>
      </w:pPr>
    </w:p>
    <w:p w14:paraId="485BECBE" w14:textId="77777777" w:rsidR="003A22BC" w:rsidRDefault="003A22BC">
      <w:pPr>
        <w:jc w:val="both"/>
        <w:rPr>
          <w:b/>
          <w:bCs/>
          <w:lang/>
        </w:rPr>
      </w:pPr>
    </w:p>
    <w:p w14:paraId="0996038D" w14:textId="77777777" w:rsidR="003A22BC" w:rsidRDefault="003A22BC">
      <w:pPr>
        <w:jc w:val="both"/>
        <w:rPr>
          <w:b/>
          <w:bCs/>
          <w:lang/>
        </w:rPr>
      </w:pPr>
    </w:p>
    <w:p w14:paraId="5B12F97C" w14:textId="77777777" w:rsidR="003A22BC" w:rsidRDefault="003A22BC">
      <w:pPr>
        <w:jc w:val="both"/>
        <w:rPr>
          <w:b/>
          <w:bCs/>
          <w:lang/>
        </w:rPr>
      </w:pPr>
    </w:p>
    <w:p w14:paraId="01F9EBE8" w14:textId="77777777" w:rsidR="003A22BC" w:rsidRDefault="003A22BC">
      <w:pPr>
        <w:jc w:val="both"/>
        <w:rPr>
          <w:b/>
          <w:bCs/>
          <w:lang/>
        </w:rPr>
      </w:pPr>
    </w:p>
    <w:p w14:paraId="6BDBDF4C" w14:textId="77777777" w:rsidR="003A22BC" w:rsidRDefault="003A22BC">
      <w:pPr>
        <w:jc w:val="both"/>
        <w:rPr>
          <w:b/>
          <w:bCs/>
          <w:lang/>
        </w:rPr>
      </w:pPr>
    </w:p>
    <w:tbl>
      <w:tblPr>
        <w:tblW w:w="9972" w:type="dxa"/>
        <w:tblLayout w:type="fixed"/>
        <w:tblCellMar>
          <w:top w:w="55" w:type="dxa"/>
          <w:left w:w="55" w:type="dxa"/>
          <w:bottom w:w="55" w:type="dxa"/>
          <w:right w:w="55" w:type="dxa"/>
        </w:tblCellMar>
        <w:tblLook w:val="0000" w:firstRow="0" w:lastRow="0" w:firstColumn="0" w:lastColumn="0" w:noHBand="0" w:noVBand="0"/>
      </w:tblPr>
      <w:tblGrid>
        <w:gridCol w:w="9972"/>
      </w:tblGrid>
      <w:tr w:rsidR="003A22BC" w14:paraId="7316A3CE" w14:textId="77777777">
        <w:tc>
          <w:tcPr>
            <w:tcW w:w="9972" w:type="dxa"/>
            <w:tcBorders>
              <w:top w:val="single" w:sz="2" w:space="0" w:color="000000"/>
              <w:left w:val="single" w:sz="2" w:space="0" w:color="000000"/>
              <w:bottom w:val="single" w:sz="2" w:space="0" w:color="000000"/>
              <w:right w:val="single" w:sz="2" w:space="0" w:color="000000"/>
            </w:tcBorders>
          </w:tcPr>
          <w:p w14:paraId="6D125368" w14:textId="77777777" w:rsidR="003A22BC" w:rsidRDefault="00957FF2">
            <w:pPr>
              <w:pStyle w:val="TableContents"/>
              <w:jc w:val="both"/>
            </w:pPr>
            <w:r>
              <w:rPr>
                <w:noProof/>
              </w:rPr>
              <w:lastRenderedPageBreak/>
              <w:drawing>
                <wp:inline distT="0" distB="5715" distL="0" distR="0" wp14:anchorId="768D5A35" wp14:editId="27CA9080">
                  <wp:extent cx="5704840" cy="3830320"/>
                  <wp:effectExtent l="0" t="0" r="0" b="0"/>
                  <wp:docPr id="2" name="Imagen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1" descr="A screenshot of a cell phone&#10;&#10;Description automatically generated"/>
                          <pic:cNvPicPr>
                            <a:picLocks noChangeAspect="1" noChangeArrowheads="1"/>
                          </pic:cNvPicPr>
                        </pic:nvPicPr>
                        <pic:blipFill>
                          <a:blip r:embed="rId13"/>
                          <a:stretch>
                            <a:fillRect/>
                          </a:stretch>
                        </pic:blipFill>
                        <pic:spPr bwMode="auto">
                          <a:xfrm>
                            <a:off x="0" y="0"/>
                            <a:ext cx="5704840" cy="3830320"/>
                          </a:xfrm>
                          <a:prstGeom prst="rect">
                            <a:avLst/>
                          </a:prstGeom>
                        </pic:spPr>
                      </pic:pic>
                    </a:graphicData>
                  </a:graphic>
                </wp:inline>
              </w:drawing>
            </w:r>
          </w:p>
        </w:tc>
      </w:tr>
      <w:tr w:rsidR="003A22BC" w14:paraId="2BD0DF6B" w14:textId="77777777">
        <w:tc>
          <w:tcPr>
            <w:tcW w:w="9972" w:type="dxa"/>
            <w:tcBorders>
              <w:left w:val="single" w:sz="2" w:space="0" w:color="000000"/>
              <w:bottom w:val="single" w:sz="2" w:space="0" w:color="000000"/>
              <w:right w:val="single" w:sz="2" w:space="0" w:color="000000"/>
            </w:tcBorders>
          </w:tcPr>
          <w:p w14:paraId="46970CBF" w14:textId="77777777" w:rsidR="003A22BC" w:rsidRDefault="00957FF2">
            <w:pPr>
              <w:pStyle w:val="FrameContents"/>
              <w:jc w:val="both"/>
              <w:rPr>
                <w:lang w:val="en-US"/>
              </w:rPr>
            </w:pPr>
            <w:r>
              <w:rPr>
                <w:b/>
                <w:lang w:val="en-US"/>
              </w:rPr>
              <w:t xml:space="preserve">Figure S2. </w:t>
            </w:r>
            <w:r>
              <w:rPr>
                <w:lang w:val="en-US"/>
              </w:rPr>
              <w:t xml:space="preserve">Overrepresented molecular functions and biological processes regulated by </w:t>
            </w:r>
            <w:proofErr w:type="spellStart"/>
            <w:r>
              <w:rPr>
                <w:i/>
                <w:lang w:val="en-US"/>
              </w:rPr>
              <w:t>rpfCGH</w:t>
            </w:r>
            <w:proofErr w:type="spellEnd"/>
            <w:r>
              <w:rPr>
                <w:i/>
                <w:lang w:val="en-US"/>
              </w:rPr>
              <w:t xml:space="preserve"> </w:t>
            </w:r>
            <w:r>
              <w:rPr>
                <w:lang w:val="en-US"/>
              </w:rPr>
              <w:t xml:space="preserve">according to DEGs </w:t>
            </w:r>
            <w:proofErr w:type="gramStart"/>
            <w:r>
              <w:rPr>
                <w:lang w:val="en-US"/>
              </w:rPr>
              <w:t>identified</w:t>
            </w:r>
            <w:proofErr w:type="gramEnd"/>
            <w:r>
              <w:rPr>
                <w:lang w:val="en-US"/>
              </w:rPr>
              <w:t xml:space="preserve"> with </w:t>
            </w:r>
            <w:proofErr w:type="spellStart"/>
            <w:r>
              <w:rPr>
                <w:lang w:val="en-US"/>
              </w:rPr>
              <w:t>NOISeqBIO</w:t>
            </w:r>
            <w:proofErr w:type="spellEnd"/>
            <w:r>
              <w:rPr>
                <w:lang w:val="en-US"/>
              </w:rPr>
              <w:t xml:space="preserve">. Scores were calculated by adding the highest hit similarity weighted by its EC number with the number of total GOs unified at the </w:t>
            </w:r>
            <w:r>
              <w:rPr>
                <w:lang w:val="en-US"/>
              </w:rPr>
              <w:t>nearest node, to include the possibility of selecting parent nodes when several child nodes existed.</w:t>
            </w:r>
          </w:p>
        </w:tc>
      </w:tr>
    </w:tbl>
    <w:p w14:paraId="0717D228" w14:textId="77777777" w:rsidR="003A22BC" w:rsidRDefault="003A22BC">
      <w:pPr>
        <w:jc w:val="both"/>
        <w:rPr>
          <w:b/>
          <w:bCs/>
          <w:lang/>
        </w:rPr>
      </w:pPr>
    </w:p>
    <w:p w14:paraId="37E60A8B" w14:textId="77777777" w:rsidR="003A22BC" w:rsidRDefault="003A22BC">
      <w:pPr>
        <w:jc w:val="both"/>
        <w:rPr>
          <w:b/>
          <w:bCs/>
          <w:lang/>
        </w:rPr>
      </w:pPr>
    </w:p>
    <w:p w14:paraId="0F2F5150" w14:textId="77777777" w:rsidR="003A22BC" w:rsidRDefault="003A22BC">
      <w:pPr>
        <w:jc w:val="both"/>
        <w:rPr>
          <w:b/>
          <w:bCs/>
          <w:lang/>
        </w:rPr>
      </w:pPr>
    </w:p>
    <w:p w14:paraId="254F233C" w14:textId="77777777" w:rsidR="003A22BC" w:rsidRDefault="003A22BC">
      <w:pPr>
        <w:jc w:val="both"/>
        <w:rPr>
          <w:b/>
          <w:bCs/>
          <w:lang/>
        </w:rPr>
      </w:pPr>
    </w:p>
    <w:p w14:paraId="68077EF9" w14:textId="77777777" w:rsidR="003A22BC" w:rsidRDefault="003A22BC">
      <w:pPr>
        <w:jc w:val="both"/>
        <w:rPr>
          <w:b/>
          <w:bCs/>
          <w:lang/>
        </w:rPr>
      </w:pPr>
    </w:p>
    <w:tbl>
      <w:tblPr>
        <w:tblW w:w="9972" w:type="dxa"/>
        <w:tblLayout w:type="fixed"/>
        <w:tblCellMar>
          <w:top w:w="55" w:type="dxa"/>
          <w:left w:w="55" w:type="dxa"/>
          <w:bottom w:w="55" w:type="dxa"/>
          <w:right w:w="55" w:type="dxa"/>
        </w:tblCellMar>
        <w:tblLook w:val="0000" w:firstRow="0" w:lastRow="0" w:firstColumn="0" w:lastColumn="0" w:noHBand="0" w:noVBand="0"/>
      </w:tblPr>
      <w:tblGrid>
        <w:gridCol w:w="9972"/>
      </w:tblGrid>
      <w:tr w:rsidR="003A22BC" w14:paraId="2B326EB5" w14:textId="77777777">
        <w:trPr>
          <w:cantSplit/>
        </w:trPr>
        <w:tc>
          <w:tcPr>
            <w:tcW w:w="9972" w:type="dxa"/>
            <w:tcBorders>
              <w:top w:val="single" w:sz="2" w:space="0" w:color="000000"/>
              <w:left w:val="single" w:sz="2" w:space="0" w:color="000000"/>
              <w:bottom w:val="single" w:sz="2" w:space="0" w:color="000000"/>
              <w:right w:val="single" w:sz="2" w:space="0" w:color="000000"/>
            </w:tcBorders>
          </w:tcPr>
          <w:p w14:paraId="029F0FEB" w14:textId="77777777" w:rsidR="003A22BC" w:rsidRDefault="00957FF2">
            <w:pPr>
              <w:pStyle w:val="TableContents"/>
              <w:keepNext/>
              <w:jc w:val="both"/>
              <w:rPr>
                <w:lang/>
              </w:rPr>
            </w:pPr>
            <w:r>
              <w:rPr>
                <w:noProof/>
                <w:lang/>
              </w:rPr>
              <w:lastRenderedPageBreak/>
              <w:drawing>
                <wp:anchor distT="0" distB="0" distL="0" distR="0" simplePos="0" relativeHeight="5" behindDoc="0" locked="0" layoutInCell="0" allowOverlap="1" wp14:anchorId="2116520C" wp14:editId="70565E23">
                  <wp:simplePos x="0" y="0"/>
                  <wp:positionH relativeFrom="column">
                    <wp:align>center</wp:align>
                  </wp:positionH>
                  <wp:positionV relativeFrom="paragraph">
                    <wp:posOffset>635</wp:posOffset>
                  </wp:positionV>
                  <wp:extent cx="6156325" cy="3449955"/>
                  <wp:effectExtent l="0" t="0" r="0" b="0"/>
                  <wp:wrapSquare wrapText="largest"/>
                  <wp:docPr id="3"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
                          <pic:cNvPicPr>
                            <a:picLocks noChangeAspect="1" noChangeArrowheads="1"/>
                          </pic:cNvPicPr>
                        </pic:nvPicPr>
                        <pic:blipFill>
                          <a:blip r:embed="rId14"/>
                          <a:stretch>
                            <a:fillRect/>
                          </a:stretch>
                        </pic:blipFill>
                        <pic:spPr bwMode="auto">
                          <a:xfrm>
                            <a:off x="0" y="0"/>
                            <a:ext cx="6156325" cy="3449955"/>
                          </a:xfrm>
                          <a:prstGeom prst="rect">
                            <a:avLst/>
                          </a:prstGeom>
                        </pic:spPr>
                      </pic:pic>
                    </a:graphicData>
                  </a:graphic>
                </wp:anchor>
              </w:drawing>
            </w:r>
          </w:p>
        </w:tc>
      </w:tr>
      <w:tr w:rsidR="003A22BC" w14:paraId="1D7399A8" w14:textId="77777777">
        <w:trPr>
          <w:cantSplit/>
        </w:trPr>
        <w:tc>
          <w:tcPr>
            <w:tcW w:w="9972" w:type="dxa"/>
            <w:tcBorders>
              <w:left w:val="single" w:sz="2" w:space="0" w:color="000000"/>
              <w:bottom w:val="single" w:sz="2" w:space="0" w:color="000000"/>
              <w:right w:val="single" w:sz="2" w:space="0" w:color="000000"/>
            </w:tcBorders>
          </w:tcPr>
          <w:p w14:paraId="48CDE268" w14:textId="77777777" w:rsidR="003A22BC" w:rsidRDefault="00957FF2">
            <w:pPr>
              <w:jc w:val="both"/>
              <w:rPr>
                <w:lang/>
              </w:rPr>
            </w:pPr>
            <w:r>
              <w:rPr>
                <w:b/>
                <w:lang/>
              </w:rPr>
              <w:t>Figure S3.</w:t>
            </w:r>
            <w:r>
              <w:rPr>
                <w:lang/>
              </w:rPr>
              <w:t xml:space="preserve"> Relative expression ratio of upregulated genes validated through qRT-PCR using </w:t>
            </w:r>
            <w:r>
              <w:rPr>
                <w:i/>
                <w:lang/>
              </w:rPr>
              <w:t xml:space="preserve">gyrB </w:t>
            </w:r>
            <w:r>
              <w:rPr>
                <w:lang/>
              </w:rPr>
              <w:t xml:space="preserve">as the endogenous control. Bars indicate log relative expression ratios for genes that showed upregulation by </w:t>
            </w:r>
            <w:r>
              <w:rPr>
                <w:i/>
                <w:lang/>
              </w:rPr>
              <w:t>rpfCGH</w:t>
            </w:r>
            <w:r>
              <w:rPr>
                <w:lang/>
              </w:rPr>
              <w:t xml:space="preserve"> in RNA-seq experiments and were evaluated by qRT-PCR.</w:t>
            </w:r>
          </w:p>
        </w:tc>
      </w:tr>
    </w:tbl>
    <w:p w14:paraId="76DA8EC1" w14:textId="77777777" w:rsidR="003A22BC" w:rsidRDefault="003A22BC">
      <w:pPr>
        <w:jc w:val="both"/>
        <w:rPr>
          <w:b/>
          <w:bCs/>
          <w:lang/>
        </w:rPr>
      </w:pPr>
    </w:p>
    <w:p w14:paraId="39A38251" w14:textId="77777777" w:rsidR="003A22BC" w:rsidRDefault="003A22BC">
      <w:pPr>
        <w:jc w:val="both"/>
        <w:rPr>
          <w:b/>
          <w:bCs/>
          <w:lang/>
        </w:rPr>
      </w:pPr>
    </w:p>
    <w:p w14:paraId="50CB2F2C" w14:textId="77777777" w:rsidR="003A22BC" w:rsidRDefault="003A22BC">
      <w:pPr>
        <w:jc w:val="both"/>
        <w:rPr>
          <w:b/>
          <w:bCs/>
          <w:lang/>
        </w:rPr>
      </w:pPr>
    </w:p>
    <w:p w14:paraId="1DDD8B58" w14:textId="77777777" w:rsidR="003A22BC" w:rsidRDefault="003A22BC">
      <w:pPr>
        <w:jc w:val="both"/>
        <w:rPr>
          <w:b/>
          <w:bCs/>
          <w:lang/>
        </w:rPr>
      </w:pPr>
    </w:p>
    <w:p w14:paraId="57377912" w14:textId="77777777" w:rsidR="003A22BC" w:rsidRDefault="003A22BC">
      <w:pPr>
        <w:jc w:val="both"/>
        <w:rPr>
          <w:b/>
          <w:bCs/>
          <w:lang/>
        </w:rPr>
      </w:pPr>
    </w:p>
    <w:p w14:paraId="062C9A09" w14:textId="77777777" w:rsidR="003A22BC" w:rsidRDefault="003A22BC">
      <w:pPr>
        <w:jc w:val="both"/>
        <w:rPr>
          <w:b/>
          <w:bCs/>
          <w:lang/>
        </w:rPr>
      </w:pPr>
    </w:p>
    <w:p w14:paraId="781DED5C" w14:textId="77777777" w:rsidR="003A22BC" w:rsidRDefault="003A22BC">
      <w:pPr>
        <w:jc w:val="both"/>
        <w:rPr>
          <w:b/>
          <w:bCs/>
          <w:lang/>
        </w:rPr>
      </w:pPr>
    </w:p>
    <w:p w14:paraId="2F27D510" w14:textId="77777777" w:rsidR="003A22BC" w:rsidRDefault="003A22BC">
      <w:pPr>
        <w:jc w:val="both"/>
        <w:rPr>
          <w:b/>
          <w:bCs/>
          <w:lang/>
        </w:rPr>
      </w:pPr>
    </w:p>
    <w:p w14:paraId="26259D5B" w14:textId="77777777" w:rsidR="003A22BC" w:rsidRDefault="003A22BC">
      <w:pPr>
        <w:jc w:val="both"/>
        <w:rPr>
          <w:b/>
          <w:bCs/>
          <w:lang/>
        </w:rPr>
      </w:pPr>
    </w:p>
    <w:p w14:paraId="0C127E09" w14:textId="77777777" w:rsidR="003A22BC" w:rsidRDefault="003A22BC">
      <w:pPr>
        <w:jc w:val="both"/>
        <w:rPr>
          <w:b/>
          <w:bCs/>
          <w:lang/>
        </w:rPr>
      </w:pPr>
    </w:p>
    <w:p w14:paraId="3C79C7CE" w14:textId="77777777" w:rsidR="003A22BC" w:rsidRDefault="003A22BC">
      <w:pPr>
        <w:jc w:val="both"/>
        <w:rPr>
          <w:b/>
          <w:bCs/>
          <w:lang/>
        </w:rPr>
      </w:pPr>
    </w:p>
    <w:p w14:paraId="26F30DF1" w14:textId="77777777" w:rsidR="003A22BC" w:rsidRDefault="003A22BC">
      <w:pPr>
        <w:jc w:val="both"/>
        <w:rPr>
          <w:b/>
          <w:bCs/>
          <w:lang/>
        </w:rPr>
      </w:pPr>
    </w:p>
    <w:p w14:paraId="556AA3CD" w14:textId="77777777" w:rsidR="003A22BC" w:rsidRDefault="003A22BC">
      <w:pPr>
        <w:jc w:val="both"/>
        <w:rPr>
          <w:b/>
          <w:bCs/>
          <w:lang/>
        </w:rPr>
      </w:pPr>
    </w:p>
    <w:p w14:paraId="771AD3B9" w14:textId="77777777" w:rsidR="003A22BC" w:rsidRDefault="003A22BC">
      <w:pPr>
        <w:jc w:val="both"/>
        <w:rPr>
          <w:b/>
          <w:bCs/>
          <w:lang/>
        </w:rPr>
      </w:pPr>
    </w:p>
    <w:p w14:paraId="5B3961C2" w14:textId="77777777" w:rsidR="003A22BC" w:rsidRDefault="003A22BC">
      <w:pPr>
        <w:jc w:val="both"/>
        <w:rPr>
          <w:b/>
          <w:bCs/>
          <w:lang/>
        </w:rPr>
      </w:pPr>
    </w:p>
    <w:p w14:paraId="43682B90" w14:textId="77777777" w:rsidR="003A22BC" w:rsidRDefault="003A22BC">
      <w:pPr>
        <w:jc w:val="both"/>
        <w:rPr>
          <w:b/>
          <w:bCs/>
          <w:lang/>
        </w:rPr>
      </w:pPr>
    </w:p>
    <w:p w14:paraId="0E5C1639" w14:textId="77777777" w:rsidR="003A22BC" w:rsidRDefault="003A22BC">
      <w:pPr>
        <w:jc w:val="both"/>
        <w:rPr>
          <w:b/>
          <w:bCs/>
          <w:lang/>
        </w:rPr>
      </w:pPr>
    </w:p>
    <w:p w14:paraId="7DCD3330" w14:textId="77777777" w:rsidR="003A22BC" w:rsidRDefault="003A22BC">
      <w:pPr>
        <w:jc w:val="both"/>
        <w:rPr>
          <w:b/>
          <w:bCs/>
          <w:lang/>
        </w:rPr>
      </w:pPr>
    </w:p>
    <w:p w14:paraId="4431B844" w14:textId="77777777" w:rsidR="003A22BC" w:rsidRDefault="003A22BC">
      <w:pPr>
        <w:jc w:val="both"/>
        <w:rPr>
          <w:b/>
          <w:bCs/>
          <w:lang/>
        </w:rPr>
      </w:pPr>
    </w:p>
    <w:p w14:paraId="4276DE0C" w14:textId="77777777" w:rsidR="003A22BC" w:rsidRDefault="003A22BC">
      <w:pPr>
        <w:jc w:val="both"/>
        <w:rPr>
          <w:b/>
          <w:bCs/>
          <w:lang/>
        </w:rPr>
      </w:pPr>
    </w:p>
    <w:p w14:paraId="653147ED" w14:textId="77777777" w:rsidR="003A22BC" w:rsidRDefault="003A22BC">
      <w:pPr>
        <w:jc w:val="both"/>
        <w:rPr>
          <w:b/>
          <w:bCs/>
          <w:lang/>
        </w:rPr>
      </w:pPr>
    </w:p>
    <w:p w14:paraId="2EA13992" w14:textId="77777777" w:rsidR="003A22BC" w:rsidRDefault="003A22BC">
      <w:pPr>
        <w:jc w:val="both"/>
        <w:rPr>
          <w:b/>
          <w:bCs/>
          <w:lang/>
        </w:rPr>
      </w:pPr>
    </w:p>
    <w:tbl>
      <w:tblPr>
        <w:tblW w:w="9972" w:type="dxa"/>
        <w:tblLayout w:type="fixed"/>
        <w:tblCellMar>
          <w:top w:w="55" w:type="dxa"/>
          <w:left w:w="55" w:type="dxa"/>
          <w:bottom w:w="55" w:type="dxa"/>
          <w:right w:w="55" w:type="dxa"/>
        </w:tblCellMar>
        <w:tblLook w:val="0000" w:firstRow="0" w:lastRow="0" w:firstColumn="0" w:lastColumn="0" w:noHBand="0" w:noVBand="0"/>
      </w:tblPr>
      <w:tblGrid>
        <w:gridCol w:w="9972"/>
      </w:tblGrid>
      <w:tr w:rsidR="003A22BC" w14:paraId="49B6B50A" w14:textId="77777777">
        <w:tc>
          <w:tcPr>
            <w:tcW w:w="9972" w:type="dxa"/>
            <w:tcBorders>
              <w:top w:val="single" w:sz="2" w:space="0" w:color="000000"/>
              <w:left w:val="single" w:sz="2" w:space="0" w:color="000000"/>
              <w:bottom w:val="single" w:sz="2" w:space="0" w:color="000000"/>
              <w:right w:val="single" w:sz="2" w:space="0" w:color="000000"/>
            </w:tcBorders>
          </w:tcPr>
          <w:p w14:paraId="7A2A7425" w14:textId="77777777" w:rsidR="003A22BC" w:rsidRDefault="00957FF2">
            <w:pPr>
              <w:pStyle w:val="TableContents"/>
              <w:jc w:val="both"/>
            </w:pPr>
            <w:r>
              <w:rPr>
                <w:noProof/>
              </w:rPr>
              <w:lastRenderedPageBreak/>
              <w:drawing>
                <wp:inline distT="0" distB="0" distL="0" distR="3810" wp14:anchorId="3C66655E" wp14:editId="3F4B9C58">
                  <wp:extent cx="5803265" cy="4631690"/>
                  <wp:effectExtent l="0" t="0" r="0" b="0"/>
                  <wp:docPr id="4" name="Imagen 2" descr="Correlation qRT_RNAseq.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Correlation qRT_RNAseq.tiff"/>
                          <pic:cNvPicPr>
                            <a:picLocks noChangeAspect="1" noChangeArrowheads="1"/>
                          </pic:cNvPicPr>
                        </pic:nvPicPr>
                        <pic:blipFill>
                          <a:blip r:embed="rId15"/>
                          <a:stretch>
                            <a:fillRect/>
                          </a:stretch>
                        </pic:blipFill>
                        <pic:spPr bwMode="auto">
                          <a:xfrm>
                            <a:off x="0" y="0"/>
                            <a:ext cx="5803265" cy="4631690"/>
                          </a:xfrm>
                          <a:prstGeom prst="rect">
                            <a:avLst/>
                          </a:prstGeom>
                        </pic:spPr>
                      </pic:pic>
                    </a:graphicData>
                  </a:graphic>
                </wp:inline>
              </w:drawing>
            </w:r>
          </w:p>
        </w:tc>
      </w:tr>
      <w:tr w:rsidR="003A22BC" w14:paraId="5EDCEE6C" w14:textId="77777777">
        <w:tc>
          <w:tcPr>
            <w:tcW w:w="9972" w:type="dxa"/>
            <w:tcBorders>
              <w:left w:val="single" w:sz="2" w:space="0" w:color="000000"/>
              <w:bottom w:val="single" w:sz="2" w:space="0" w:color="000000"/>
              <w:right w:val="single" w:sz="2" w:space="0" w:color="000000"/>
            </w:tcBorders>
          </w:tcPr>
          <w:p w14:paraId="014C1562" w14:textId="77777777" w:rsidR="003A22BC" w:rsidRDefault="00957FF2">
            <w:pPr>
              <w:pStyle w:val="FrameContents"/>
              <w:jc w:val="both"/>
              <w:rPr>
                <w:lang w:val="en-US"/>
              </w:rPr>
            </w:pPr>
            <w:r>
              <w:rPr>
                <w:b/>
                <w:bCs/>
                <w:lang w:val="en-US"/>
              </w:rPr>
              <w:t>Figure S4.</w:t>
            </w:r>
            <w:r>
              <w:rPr>
                <w:lang w:val="en-US"/>
              </w:rPr>
              <w:t xml:space="preserve"> Correlation between RNA-Seq and </w:t>
            </w:r>
            <w:proofErr w:type="spellStart"/>
            <w:r>
              <w:rPr>
                <w:lang w:val="en-US"/>
              </w:rPr>
              <w:t>qRT</w:t>
            </w:r>
            <w:proofErr w:type="spellEnd"/>
            <w:r>
              <w:rPr>
                <w:lang w:val="en-US"/>
              </w:rPr>
              <w:t>-PCR data for the validated DEGs. Pearson Coefficient showed a significant correlation between both datasets (</w:t>
            </w:r>
            <w:r>
              <w:rPr>
                <w:rFonts w:ascii="Symbol" w:eastAsia="Symbol" w:hAnsi="Symbol" w:cs="Symbol"/>
                <w:lang w:val="en-US"/>
              </w:rPr>
              <w:t></w:t>
            </w:r>
            <w:r>
              <w:rPr>
                <w:lang w:val="en-US"/>
              </w:rPr>
              <w:t xml:space="preserve"> = 0.05).</w:t>
            </w:r>
          </w:p>
        </w:tc>
      </w:tr>
    </w:tbl>
    <w:p w14:paraId="5CB38A50" w14:textId="77777777" w:rsidR="003A22BC" w:rsidRDefault="003A22BC">
      <w:pPr>
        <w:jc w:val="both"/>
        <w:rPr>
          <w:b/>
          <w:bCs/>
          <w:lang/>
        </w:rPr>
      </w:pPr>
    </w:p>
    <w:p w14:paraId="6ECE05A3" w14:textId="77777777" w:rsidR="003A22BC" w:rsidRDefault="003A22BC">
      <w:pPr>
        <w:jc w:val="both"/>
        <w:rPr>
          <w:b/>
          <w:bCs/>
          <w:lang/>
        </w:rPr>
      </w:pPr>
    </w:p>
    <w:p w14:paraId="70BB319A" w14:textId="77777777" w:rsidR="003A22BC" w:rsidRDefault="003A22BC">
      <w:pPr>
        <w:jc w:val="both"/>
        <w:rPr>
          <w:b/>
          <w:bCs/>
          <w:lang/>
        </w:rPr>
      </w:pPr>
    </w:p>
    <w:p w14:paraId="586AD6A8" w14:textId="77777777" w:rsidR="003A22BC" w:rsidRDefault="003A22BC">
      <w:pPr>
        <w:jc w:val="both"/>
        <w:rPr>
          <w:b/>
          <w:bCs/>
          <w:lang/>
        </w:rPr>
      </w:pPr>
    </w:p>
    <w:p w14:paraId="15B9D2A9" w14:textId="77777777" w:rsidR="003A22BC" w:rsidRDefault="003A22BC">
      <w:pPr>
        <w:jc w:val="both"/>
        <w:rPr>
          <w:b/>
          <w:bCs/>
          <w:lang/>
        </w:rPr>
      </w:pPr>
    </w:p>
    <w:p w14:paraId="14D358E4" w14:textId="77777777" w:rsidR="003A22BC" w:rsidRDefault="003A22BC">
      <w:pPr>
        <w:jc w:val="both"/>
        <w:rPr>
          <w:b/>
          <w:bCs/>
          <w:lang/>
        </w:rPr>
      </w:pPr>
    </w:p>
    <w:p w14:paraId="0B05DED9" w14:textId="77777777" w:rsidR="003A22BC" w:rsidRDefault="003A22BC">
      <w:pPr>
        <w:jc w:val="both"/>
        <w:rPr>
          <w:b/>
          <w:bCs/>
          <w:lang/>
        </w:rPr>
      </w:pPr>
    </w:p>
    <w:p w14:paraId="7B42F143" w14:textId="77777777" w:rsidR="003A22BC" w:rsidRDefault="003A22BC">
      <w:pPr>
        <w:jc w:val="both"/>
        <w:rPr>
          <w:b/>
          <w:bCs/>
          <w:lang/>
        </w:rPr>
      </w:pPr>
    </w:p>
    <w:p w14:paraId="522E8DA7" w14:textId="77777777" w:rsidR="003A22BC" w:rsidRDefault="003A22BC">
      <w:pPr>
        <w:jc w:val="both"/>
        <w:rPr>
          <w:b/>
          <w:bCs/>
          <w:lang/>
        </w:rPr>
      </w:pPr>
    </w:p>
    <w:p w14:paraId="5EFD1250" w14:textId="77777777" w:rsidR="003A22BC" w:rsidRDefault="003A22BC">
      <w:pPr>
        <w:jc w:val="both"/>
        <w:rPr>
          <w:b/>
          <w:bCs/>
          <w:lang/>
        </w:rPr>
      </w:pPr>
    </w:p>
    <w:p w14:paraId="2DB46E51" w14:textId="77777777" w:rsidR="003A22BC" w:rsidRDefault="003A22BC">
      <w:pPr>
        <w:jc w:val="both"/>
        <w:rPr>
          <w:b/>
          <w:bCs/>
          <w:lang/>
        </w:rPr>
      </w:pPr>
    </w:p>
    <w:p w14:paraId="7DF8D870" w14:textId="77777777" w:rsidR="003A22BC" w:rsidRDefault="003A22BC">
      <w:pPr>
        <w:jc w:val="both"/>
        <w:rPr>
          <w:b/>
          <w:bCs/>
          <w:lang/>
        </w:rPr>
      </w:pPr>
    </w:p>
    <w:p w14:paraId="4E9437AC" w14:textId="77777777" w:rsidR="003A22BC" w:rsidRDefault="003A22BC">
      <w:pPr>
        <w:jc w:val="both"/>
        <w:rPr>
          <w:b/>
          <w:bCs/>
          <w:lang/>
        </w:rPr>
      </w:pPr>
    </w:p>
    <w:p w14:paraId="2728AC69" w14:textId="77777777" w:rsidR="003A22BC" w:rsidRDefault="003A22BC">
      <w:pPr>
        <w:jc w:val="both"/>
        <w:rPr>
          <w:b/>
          <w:bCs/>
          <w:lang/>
        </w:rPr>
      </w:pPr>
    </w:p>
    <w:p w14:paraId="5E6AF356" w14:textId="77777777" w:rsidR="003A22BC" w:rsidRDefault="003A22BC">
      <w:pPr>
        <w:jc w:val="both"/>
        <w:rPr>
          <w:b/>
          <w:bCs/>
          <w:lang/>
        </w:rPr>
      </w:pPr>
    </w:p>
    <w:p w14:paraId="4806171D" w14:textId="77777777" w:rsidR="003A22BC" w:rsidRDefault="003A22BC">
      <w:pPr>
        <w:jc w:val="both"/>
        <w:rPr>
          <w:b/>
          <w:bCs/>
          <w:lang/>
        </w:rPr>
      </w:pPr>
    </w:p>
    <w:tbl>
      <w:tblPr>
        <w:tblW w:w="9972" w:type="dxa"/>
        <w:tblLayout w:type="fixed"/>
        <w:tblCellMar>
          <w:top w:w="55" w:type="dxa"/>
          <w:left w:w="55" w:type="dxa"/>
          <w:bottom w:w="55" w:type="dxa"/>
          <w:right w:w="55" w:type="dxa"/>
        </w:tblCellMar>
        <w:tblLook w:val="0000" w:firstRow="0" w:lastRow="0" w:firstColumn="0" w:lastColumn="0" w:noHBand="0" w:noVBand="0"/>
      </w:tblPr>
      <w:tblGrid>
        <w:gridCol w:w="9972"/>
      </w:tblGrid>
      <w:tr w:rsidR="003A22BC" w14:paraId="32195297" w14:textId="77777777">
        <w:tc>
          <w:tcPr>
            <w:tcW w:w="9972" w:type="dxa"/>
            <w:tcBorders>
              <w:top w:val="single" w:sz="2" w:space="0" w:color="000000"/>
              <w:left w:val="single" w:sz="2" w:space="0" w:color="000000"/>
              <w:bottom w:val="single" w:sz="2" w:space="0" w:color="000000"/>
              <w:right w:val="single" w:sz="2" w:space="0" w:color="000000"/>
            </w:tcBorders>
          </w:tcPr>
          <w:p w14:paraId="2CB18A74" w14:textId="77777777" w:rsidR="003A22BC" w:rsidRDefault="00957FF2">
            <w:pPr>
              <w:pStyle w:val="TableContents"/>
              <w:jc w:val="both"/>
            </w:pPr>
            <w:r>
              <w:rPr>
                <w:noProof/>
              </w:rPr>
              <w:lastRenderedPageBreak/>
              <w:drawing>
                <wp:anchor distT="0" distB="0" distL="0" distR="0" simplePos="0" relativeHeight="6" behindDoc="0" locked="0" layoutInCell="0" allowOverlap="1" wp14:anchorId="52B9A399" wp14:editId="36C6174C">
                  <wp:simplePos x="0" y="0"/>
                  <wp:positionH relativeFrom="column">
                    <wp:align>center</wp:align>
                  </wp:positionH>
                  <wp:positionV relativeFrom="paragraph">
                    <wp:posOffset>635</wp:posOffset>
                  </wp:positionV>
                  <wp:extent cx="5031105" cy="3961765"/>
                  <wp:effectExtent l="0" t="0" r="0" b="0"/>
                  <wp:wrapTopAndBottom/>
                  <wp:docPr id="5"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2"/>
                          <pic:cNvPicPr>
                            <a:picLocks noChangeAspect="1" noChangeArrowheads="1"/>
                          </pic:cNvPicPr>
                        </pic:nvPicPr>
                        <pic:blipFill>
                          <a:blip r:embed="rId16"/>
                          <a:stretch>
                            <a:fillRect/>
                          </a:stretch>
                        </pic:blipFill>
                        <pic:spPr bwMode="auto">
                          <a:xfrm>
                            <a:off x="0" y="0"/>
                            <a:ext cx="5031105" cy="3961765"/>
                          </a:xfrm>
                          <a:prstGeom prst="rect">
                            <a:avLst/>
                          </a:prstGeom>
                        </pic:spPr>
                      </pic:pic>
                    </a:graphicData>
                  </a:graphic>
                </wp:anchor>
              </w:drawing>
            </w:r>
          </w:p>
        </w:tc>
      </w:tr>
      <w:tr w:rsidR="003A22BC" w14:paraId="7197C691" w14:textId="77777777">
        <w:tc>
          <w:tcPr>
            <w:tcW w:w="9972" w:type="dxa"/>
            <w:tcBorders>
              <w:left w:val="single" w:sz="2" w:space="0" w:color="000000"/>
              <w:bottom w:val="single" w:sz="2" w:space="0" w:color="000000"/>
              <w:right w:val="single" w:sz="2" w:space="0" w:color="000000"/>
            </w:tcBorders>
          </w:tcPr>
          <w:p w14:paraId="10824B84" w14:textId="77777777" w:rsidR="003A22BC" w:rsidRDefault="00957FF2">
            <w:pPr>
              <w:pStyle w:val="TableContents"/>
              <w:jc w:val="both"/>
              <w:rPr>
                <w:b/>
                <w:bCs/>
                <w:lang w:val="en-CA"/>
              </w:rPr>
            </w:pPr>
            <w:r>
              <w:rPr>
                <w:b/>
                <w:bCs/>
                <w:lang w:val="en-CA"/>
              </w:rPr>
              <w:t xml:space="preserve">Figure S5. </w:t>
            </w:r>
            <w:r>
              <w:rPr>
                <w:lang w:val="en-CA"/>
              </w:rPr>
              <w:t xml:space="preserve"> Growth curve of </w:t>
            </w:r>
            <w:proofErr w:type="spellStart"/>
            <w:r>
              <w:rPr>
                <w:i/>
                <w:iCs/>
                <w:lang w:val="en-CA"/>
              </w:rPr>
              <w:t>Xpm</w:t>
            </w:r>
            <w:proofErr w:type="spellEnd"/>
            <w:r>
              <w:rPr>
                <w:lang w:val="en-CA"/>
              </w:rPr>
              <w:t xml:space="preserve"> in Phi </w:t>
            </w:r>
            <w:r>
              <w:rPr>
                <w:lang w:val="en-CA"/>
              </w:rPr>
              <w:t>ɸ</w:t>
            </w:r>
            <w:r>
              <w:rPr>
                <w:lang w:val="en-CA"/>
              </w:rPr>
              <w:t xml:space="preserve"> liquid media. Bacteria strains were grown at 28ºC in a Phi </w:t>
            </w:r>
            <w:r>
              <w:rPr>
                <w:lang w:val="en-CA"/>
              </w:rPr>
              <w:t>ɸ</w:t>
            </w:r>
            <w:r>
              <w:rPr>
                <w:lang w:val="en-CA"/>
              </w:rPr>
              <w:t xml:space="preserve"> liquid media for 28 hours at 28ºC with shaking at 200 rpm. Figure shows cell populations determined by measuring their colony forming units (CFU) over </w:t>
            </w:r>
            <w:proofErr w:type="gramStart"/>
            <w:r>
              <w:rPr>
                <w:lang w:val="en-CA"/>
              </w:rPr>
              <w:t>a period of time</w:t>
            </w:r>
            <w:proofErr w:type="gramEnd"/>
            <w:r>
              <w:rPr>
                <w:lang w:val="en-CA"/>
              </w:rPr>
              <w:t>.</w:t>
            </w:r>
          </w:p>
        </w:tc>
      </w:tr>
    </w:tbl>
    <w:p w14:paraId="66A98AAE" w14:textId="77777777" w:rsidR="003A22BC" w:rsidRDefault="003A22BC">
      <w:pPr>
        <w:jc w:val="both"/>
        <w:rPr>
          <w:b/>
          <w:bCs/>
          <w:lang/>
        </w:rPr>
      </w:pPr>
    </w:p>
    <w:p w14:paraId="113A2588" w14:textId="77777777" w:rsidR="003A22BC" w:rsidRDefault="003A22BC">
      <w:pPr>
        <w:jc w:val="both"/>
        <w:rPr>
          <w:b/>
          <w:bCs/>
          <w:lang/>
        </w:rPr>
      </w:pPr>
    </w:p>
    <w:p w14:paraId="7EBE9098" w14:textId="77777777" w:rsidR="003A22BC" w:rsidRDefault="003A22BC">
      <w:pPr>
        <w:jc w:val="both"/>
        <w:rPr>
          <w:b/>
          <w:bCs/>
          <w:lang/>
        </w:rPr>
      </w:pPr>
    </w:p>
    <w:p w14:paraId="6FBE0E47" w14:textId="77777777" w:rsidR="003A22BC" w:rsidRDefault="003A22BC">
      <w:pPr>
        <w:jc w:val="both"/>
        <w:rPr>
          <w:b/>
          <w:bCs/>
          <w:lang/>
        </w:rPr>
      </w:pPr>
    </w:p>
    <w:p w14:paraId="6936ABC2" w14:textId="77777777" w:rsidR="003A22BC" w:rsidRDefault="003A22BC">
      <w:pPr>
        <w:jc w:val="both"/>
        <w:rPr>
          <w:b/>
          <w:bCs/>
          <w:lang/>
        </w:rPr>
      </w:pPr>
    </w:p>
    <w:p w14:paraId="716815F4" w14:textId="77777777" w:rsidR="003A22BC" w:rsidRDefault="003A22BC">
      <w:pPr>
        <w:jc w:val="both"/>
        <w:rPr>
          <w:b/>
          <w:bCs/>
          <w:lang/>
        </w:rPr>
      </w:pPr>
    </w:p>
    <w:p w14:paraId="411F21BC" w14:textId="77777777" w:rsidR="003A22BC" w:rsidRDefault="003A22BC">
      <w:pPr>
        <w:jc w:val="both"/>
        <w:rPr>
          <w:b/>
          <w:bCs/>
          <w:lang/>
        </w:rPr>
      </w:pPr>
    </w:p>
    <w:p w14:paraId="625DF8F2" w14:textId="77777777" w:rsidR="003A22BC" w:rsidRDefault="003A22BC">
      <w:pPr>
        <w:jc w:val="both"/>
        <w:rPr>
          <w:b/>
          <w:bCs/>
          <w:lang/>
        </w:rPr>
      </w:pPr>
    </w:p>
    <w:p w14:paraId="4A2438FA" w14:textId="77777777" w:rsidR="003A22BC" w:rsidRDefault="003A22BC">
      <w:pPr>
        <w:jc w:val="both"/>
        <w:rPr>
          <w:b/>
          <w:bCs/>
          <w:lang/>
        </w:rPr>
      </w:pPr>
    </w:p>
    <w:p w14:paraId="6AAA9939" w14:textId="77777777" w:rsidR="003A22BC" w:rsidRDefault="003A22BC">
      <w:pPr>
        <w:jc w:val="both"/>
        <w:rPr>
          <w:b/>
          <w:bCs/>
          <w:lang/>
        </w:rPr>
      </w:pPr>
    </w:p>
    <w:p w14:paraId="2DC507B5" w14:textId="77777777" w:rsidR="003A22BC" w:rsidRDefault="003A22BC">
      <w:pPr>
        <w:jc w:val="both"/>
        <w:rPr>
          <w:b/>
          <w:bCs/>
          <w:lang/>
        </w:rPr>
      </w:pPr>
    </w:p>
    <w:p w14:paraId="7AC58916" w14:textId="77777777" w:rsidR="003A22BC" w:rsidRDefault="003A22BC">
      <w:pPr>
        <w:jc w:val="both"/>
        <w:rPr>
          <w:b/>
          <w:bCs/>
          <w:lang/>
        </w:rPr>
      </w:pPr>
    </w:p>
    <w:p w14:paraId="07290523" w14:textId="77777777" w:rsidR="003A22BC" w:rsidRDefault="003A22BC">
      <w:pPr>
        <w:jc w:val="both"/>
        <w:rPr>
          <w:b/>
          <w:bCs/>
          <w:lang/>
        </w:rPr>
      </w:pPr>
    </w:p>
    <w:p w14:paraId="4BB6B1CF" w14:textId="77777777" w:rsidR="003A22BC" w:rsidRDefault="003A22BC">
      <w:pPr>
        <w:jc w:val="both"/>
        <w:rPr>
          <w:b/>
          <w:bCs/>
          <w:lang/>
        </w:rPr>
      </w:pPr>
    </w:p>
    <w:p w14:paraId="3AD01E7A" w14:textId="77777777" w:rsidR="003A22BC" w:rsidRDefault="003A22BC">
      <w:pPr>
        <w:jc w:val="both"/>
        <w:rPr>
          <w:b/>
          <w:bCs/>
          <w:lang/>
        </w:rPr>
      </w:pPr>
    </w:p>
    <w:p w14:paraId="5D2E04B6" w14:textId="77777777" w:rsidR="003A22BC" w:rsidRDefault="003A22BC">
      <w:pPr>
        <w:jc w:val="both"/>
        <w:rPr>
          <w:b/>
          <w:bCs/>
          <w:lang/>
        </w:rPr>
      </w:pPr>
    </w:p>
    <w:p w14:paraId="4977A484" w14:textId="77777777" w:rsidR="003A22BC" w:rsidRDefault="003A22BC">
      <w:pPr>
        <w:jc w:val="both"/>
        <w:rPr>
          <w:b/>
          <w:bCs/>
          <w:lang/>
        </w:rPr>
      </w:pPr>
    </w:p>
    <w:p w14:paraId="0DEF3319" w14:textId="77777777" w:rsidR="003A22BC" w:rsidRDefault="003A22BC">
      <w:pPr>
        <w:jc w:val="both"/>
        <w:rPr>
          <w:b/>
          <w:bCs/>
          <w:lang/>
        </w:rPr>
      </w:pPr>
    </w:p>
    <w:p w14:paraId="2C880313" w14:textId="77777777" w:rsidR="003A22BC" w:rsidRDefault="003A22BC">
      <w:pPr>
        <w:jc w:val="both"/>
        <w:rPr>
          <w:b/>
          <w:bCs/>
          <w:lang/>
        </w:rPr>
      </w:pPr>
    </w:p>
    <w:p w14:paraId="78EAC432" w14:textId="77777777" w:rsidR="003A22BC" w:rsidRDefault="003A22BC">
      <w:pPr>
        <w:jc w:val="both"/>
        <w:rPr>
          <w:rFonts w:eastAsia="Times New Roman"/>
          <w:b/>
          <w:lang/>
        </w:rPr>
      </w:pPr>
    </w:p>
    <w:tbl>
      <w:tblPr>
        <w:tblW w:w="9972" w:type="dxa"/>
        <w:tblLayout w:type="fixed"/>
        <w:tblCellMar>
          <w:top w:w="55" w:type="dxa"/>
          <w:left w:w="55" w:type="dxa"/>
          <w:bottom w:w="55" w:type="dxa"/>
          <w:right w:w="55" w:type="dxa"/>
        </w:tblCellMar>
        <w:tblLook w:val="0000" w:firstRow="0" w:lastRow="0" w:firstColumn="0" w:lastColumn="0" w:noHBand="0" w:noVBand="0"/>
      </w:tblPr>
      <w:tblGrid>
        <w:gridCol w:w="9972"/>
      </w:tblGrid>
      <w:tr w:rsidR="003A22BC" w14:paraId="77859D24" w14:textId="77777777">
        <w:tc>
          <w:tcPr>
            <w:tcW w:w="9972" w:type="dxa"/>
            <w:tcBorders>
              <w:top w:val="single" w:sz="2" w:space="0" w:color="000000"/>
              <w:left w:val="single" w:sz="2" w:space="0" w:color="000000"/>
              <w:bottom w:val="single" w:sz="2" w:space="0" w:color="000000"/>
              <w:right w:val="single" w:sz="2" w:space="0" w:color="000000"/>
            </w:tcBorders>
          </w:tcPr>
          <w:p w14:paraId="61759944" w14:textId="77777777" w:rsidR="003A22BC" w:rsidRDefault="00957FF2">
            <w:pPr>
              <w:pStyle w:val="TableContents"/>
              <w:jc w:val="both"/>
              <w:rPr>
                <w:rFonts w:eastAsia="Times New Roman"/>
                <w:lang/>
              </w:rPr>
            </w:pPr>
            <w:r>
              <w:rPr>
                <w:rFonts w:eastAsia="Times New Roman"/>
                <w:noProof/>
                <w:lang/>
              </w:rPr>
              <w:lastRenderedPageBreak/>
              <w:drawing>
                <wp:anchor distT="0" distB="0" distL="0" distR="0" simplePos="0" relativeHeight="7" behindDoc="0" locked="0" layoutInCell="0" allowOverlap="1" wp14:anchorId="68789BF8" wp14:editId="76045F5E">
                  <wp:simplePos x="0" y="0"/>
                  <wp:positionH relativeFrom="column">
                    <wp:align>center</wp:align>
                  </wp:positionH>
                  <wp:positionV relativeFrom="paragraph">
                    <wp:align>top</wp:align>
                  </wp:positionV>
                  <wp:extent cx="5455285" cy="5461635"/>
                  <wp:effectExtent l="0" t="0" r="0" b="0"/>
                  <wp:wrapTopAndBottom/>
                  <wp:docPr id="6"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
                          <pic:cNvPicPr>
                            <a:picLocks noChangeAspect="1" noChangeArrowheads="1"/>
                          </pic:cNvPicPr>
                        </pic:nvPicPr>
                        <pic:blipFill>
                          <a:blip r:embed="rId17"/>
                          <a:stretch>
                            <a:fillRect/>
                          </a:stretch>
                        </pic:blipFill>
                        <pic:spPr bwMode="auto">
                          <a:xfrm>
                            <a:off x="0" y="0"/>
                            <a:ext cx="5455285" cy="5461635"/>
                          </a:xfrm>
                          <a:prstGeom prst="rect">
                            <a:avLst/>
                          </a:prstGeom>
                        </pic:spPr>
                      </pic:pic>
                    </a:graphicData>
                  </a:graphic>
                </wp:anchor>
              </w:drawing>
            </w:r>
          </w:p>
        </w:tc>
      </w:tr>
      <w:tr w:rsidR="003A22BC" w14:paraId="4B7033A9" w14:textId="77777777">
        <w:tc>
          <w:tcPr>
            <w:tcW w:w="9972" w:type="dxa"/>
            <w:tcBorders>
              <w:left w:val="single" w:sz="2" w:space="0" w:color="000000"/>
              <w:bottom w:val="single" w:sz="2" w:space="0" w:color="000000"/>
              <w:right w:val="single" w:sz="2" w:space="0" w:color="000000"/>
            </w:tcBorders>
          </w:tcPr>
          <w:p w14:paraId="5BEA6D4E" w14:textId="77777777" w:rsidR="003A22BC" w:rsidRDefault="00957FF2">
            <w:pPr>
              <w:jc w:val="both"/>
              <w:rPr>
                <w:rFonts w:eastAsia="Times New Roman"/>
                <w:lang/>
              </w:rPr>
            </w:pPr>
            <w:r>
              <w:rPr>
                <w:rFonts w:eastAsia="Times New Roman" w:cs="Times New Roman"/>
                <w:b/>
                <w:lang/>
              </w:rPr>
              <w:t xml:space="preserve">Figure S6. Hierarchical Clustering Heatmap of </w:t>
            </w:r>
            <w:r>
              <w:rPr>
                <w:rFonts w:eastAsia="Times New Roman" w:cs="Times New Roman"/>
                <w:b/>
                <w:i/>
                <w:lang/>
              </w:rPr>
              <w:t>Xpm</w:t>
            </w:r>
            <w:r>
              <w:rPr>
                <w:rFonts w:eastAsia="Times New Roman" w:cs="Times New Roman"/>
                <w:b/>
                <w:lang/>
              </w:rPr>
              <w:t xml:space="preserve"> strains differentiated in the QS system.</w:t>
            </w:r>
            <w:r>
              <w:rPr>
                <w:rFonts w:eastAsia="Times New Roman" w:cs="Times New Roman"/>
                <w:lang/>
              </w:rPr>
              <w:t xml:space="preserve"> Comparisons between the flux values obtained by FBA of the two strains of </w:t>
            </w:r>
            <w:r>
              <w:rPr>
                <w:rFonts w:eastAsia="Times New Roman" w:cs="Times New Roman"/>
                <w:i/>
                <w:lang/>
              </w:rPr>
              <w:t xml:space="preserve">Xpm </w:t>
            </w:r>
            <w:r>
              <w:rPr>
                <w:rFonts w:eastAsia="Times New Roman" w:cs="Times New Roman"/>
                <w:lang/>
              </w:rPr>
              <w:t>(</w:t>
            </w:r>
            <w:r>
              <w:rPr>
                <w:rFonts w:eastAsia="Times New Roman" w:cs="Times New Roman"/>
                <w:i/>
                <w:lang/>
              </w:rPr>
              <w:t>Xpm</w:t>
            </w:r>
            <w:r>
              <w:rPr>
                <w:rFonts w:eastAsia="Times New Roman" w:cs="Times New Roman"/>
                <w:lang/>
              </w:rPr>
              <w:t xml:space="preserve"> CIO151 EV and </w:t>
            </w:r>
            <w:r>
              <w:rPr>
                <w:rFonts w:eastAsia="Times New Roman" w:cs="Times New Roman"/>
                <w:i/>
                <w:lang/>
              </w:rPr>
              <w:t>Xpm</w:t>
            </w:r>
            <w:r>
              <w:rPr>
                <w:rFonts w:eastAsia="Times New Roman" w:cs="Times New Roman"/>
                <w:lang/>
              </w:rPr>
              <w:t xml:space="preserve"> CIO151 </w:t>
            </w:r>
            <w:r>
              <w:rPr>
                <w:rFonts w:eastAsia="Times New Roman" w:cs="Times New Roman"/>
                <w:i/>
                <w:iCs/>
                <w:lang/>
              </w:rPr>
              <w:t>ΔrpfCGH</w:t>
            </w:r>
            <w:r>
              <w:rPr>
                <w:rFonts w:eastAsia="Times New Roman" w:cs="Times New Roman"/>
                <w:lang/>
              </w:rPr>
              <w:t>-EV)</w:t>
            </w:r>
            <w:r>
              <w:rPr>
                <w:rFonts w:eastAsia="Times New Roman" w:cs="Times New Roman"/>
                <w:i/>
                <w:lang/>
              </w:rPr>
              <w:t>,</w:t>
            </w:r>
            <w:r>
              <w:rPr>
                <w:rFonts w:eastAsia="Times New Roman" w:cs="Times New Roman"/>
                <w:lang/>
              </w:rPr>
              <w:t xml:space="preserve"> using two different objective functions are shown. First, Z-scores were computed to normalize flux values. Then, the linkage matrix with Euclidean distance based on Ward method was used to construct the map. The dendrogram was colored for grouping purpose</w:t>
            </w:r>
            <w:r>
              <w:rPr>
                <w:rFonts w:eastAsia="Times New Roman" w:cs="Times New Roman"/>
                <w:lang/>
              </w:rPr>
              <w:t xml:space="preserve">s using a color threshold of 0.25. Finally, cluster maps of the two strains were calculated. The vertical axis represents the reactions and the horizontal axis the strains and conditions. Flux values for each reaction are colored according to its activity </w:t>
            </w:r>
            <w:r>
              <w:rPr>
                <w:rFonts w:eastAsia="Times New Roman" w:cs="Times New Roman"/>
                <w:lang/>
              </w:rPr>
              <w:t xml:space="preserve">from white to green colors, positive values (white) correspond to forward direction of the reaction and negative values (dark green) correspond to reverse direction. </w:t>
            </w:r>
            <w:r>
              <w:rPr>
                <w:rFonts w:eastAsia="Times New Roman" w:cs="Times New Roman"/>
                <w:b/>
                <w:lang/>
              </w:rPr>
              <w:t>Abbreviations</w:t>
            </w:r>
            <w:r>
              <w:rPr>
                <w:rFonts w:eastAsia="Times New Roman" w:cs="Times New Roman"/>
                <w:lang/>
              </w:rPr>
              <w:t xml:space="preserve">. </w:t>
            </w:r>
            <w:r>
              <w:rPr>
                <w:rFonts w:eastAsia="Times New Roman" w:cs="Times New Roman"/>
                <w:b/>
                <w:i/>
                <w:lang/>
              </w:rPr>
              <w:t>Xpm</w:t>
            </w:r>
            <w:r>
              <w:rPr>
                <w:rFonts w:eastAsia="Times New Roman" w:cs="Times New Roman"/>
                <w:lang/>
              </w:rPr>
              <w:t>: CSM of</w:t>
            </w:r>
            <w:r>
              <w:rPr>
                <w:rFonts w:eastAsia="Times New Roman" w:cs="Times New Roman"/>
                <w:i/>
                <w:lang/>
              </w:rPr>
              <w:t xml:space="preserve"> Xpm</w:t>
            </w:r>
            <w:r>
              <w:rPr>
                <w:rFonts w:eastAsia="Times New Roman" w:cs="Times New Roman"/>
                <w:lang/>
              </w:rPr>
              <w:t xml:space="preserve"> CIO151 EV using biomass as objective function; </w:t>
            </w:r>
            <w:r>
              <w:rPr>
                <w:rFonts w:eastAsia="Times New Roman" w:cs="Times New Roman"/>
                <w:b/>
                <w:i/>
                <w:lang/>
              </w:rPr>
              <w:t>Xpm (Xanthan</w:t>
            </w:r>
            <w:r>
              <w:rPr>
                <w:rFonts w:eastAsia="Times New Roman" w:cs="Times New Roman"/>
                <w:b/>
                <w:i/>
                <w:lang/>
              </w:rPr>
              <w:t>)</w:t>
            </w:r>
            <w:r>
              <w:rPr>
                <w:rFonts w:eastAsia="Times New Roman" w:cs="Times New Roman"/>
                <w:lang/>
              </w:rPr>
              <w:t xml:space="preserve">: CSM of </w:t>
            </w:r>
            <w:r>
              <w:rPr>
                <w:rFonts w:eastAsia="Times New Roman" w:cs="Times New Roman"/>
                <w:i/>
                <w:lang/>
              </w:rPr>
              <w:t>Xpm</w:t>
            </w:r>
            <w:r>
              <w:rPr>
                <w:rFonts w:eastAsia="Times New Roman" w:cs="Times New Roman"/>
                <w:lang/>
              </w:rPr>
              <w:t xml:space="preserve"> CIO151 EV using biomass and xanthan as objective function; </w:t>
            </w:r>
            <w:r>
              <w:rPr>
                <w:rFonts w:eastAsia="Times New Roman" w:cs="Times New Roman"/>
                <w:b/>
                <w:i/>
                <w:lang/>
              </w:rPr>
              <w:t>Xpm Mutant</w:t>
            </w:r>
            <w:r>
              <w:rPr>
                <w:rFonts w:eastAsia="Times New Roman" w:cs="Times New Roman"/>
                <w:lang/>
              </w:rPr>
              <w:t>: CSM of</w:t>
            </w:r>
            <w:r>
              <w:rPr>
                <w:rFonts w:eastAsia="Times New Roman" w:cs="Times New Roman"/>
                <w:i/>
                <w:lang/>
              </w:rPr>
              <w:t xml:space="preserve"> Xpm</w:t>
            </w:r>
            <w:r>
              <w:rPr>
                <w:rFonts w:eastAsia="Times New Roman" w:cs="Times New Roman"/>
                <w:lang/>
              </w:rPr>
              <w:t xml:space="preserve"> CIO151 </w:t>
            </w:r>
            <w:r>
              <w:rPr>
                <w:rFonts w:eastAsia="Times New Roman" w:cs="Times New Roman"/>
                <w:i/>
                <w:iCs/>
                <w:lang/>
              </w:rPr>
              <w:t>ΔrpfCGH</w:t>
            </w:r>
            <w:r>
              <w:rPr>
                <w:rFonts w:eastAsia="Times New Roman" w:cs="Times New Roman"/>
                <w:lang/>
              </w:rPr>
              <w:t xml:space="preserve">-EV using biomass as objective function; </w:t>
            </w:r>
            <w:r>
              <w:rPr>
                <w:rFonts w:eastAsia="Times New Roman" w:cs="Times New Roman"/>
                <w:b/>
                <w:i/>
                <w:lang/>
              </w:rPr>
              <w:t>Xpm Mutant(Xanthan)</w:t>
            </w:r>
            <w:r>
              <w:rPr>
                <w:rFonts w:eastAsia="Times New Roman" w:cs="Times New Roman"/>
                <w:lang/>
              </w:rPr>
              <w:t xml:space="preserve">: CSM of </w:t>
            </w:r>
            <w:r>
              <w:rPr>
                <w:rFonts w:eastAsia="Times New Roman" w:cs="Times New Roman"/>
                <w:i/>
                <w:lang/>
              </w:rPr>
              <w:t>Xpm</w:t>
            </w:r>
            <w:r>
              <w:rPr>
                <w:rFonts w:eastAsia="Times New Roman" w:cs="Times New Roman"/>
                <w:lang/>
              </w:rPr>
              <w:t xml:space="preserve"> CIO151 </w:t>
            </w:r>
            <w:r>
              <w:rPr>
                <w:rFonts w:eastAsia="Times New Roman" w:cs="Times New Roman"/>
                <w:i/>
                <w:iCs/>
                <w:lang/>
              </w:rPr>
              <w:t>ΔrpfCGH</w:t>
            </w:r>
            <w:r>
              <w:rPr>
                <w:rFonts w:eastAsia="Times New Roman" w:cs="Times New Roman"/>
                <w:lang/>
              </w:rPr>
              <w:t>-EV using biomass plus xanthan as objective function.</w:t>
            </w:r>
          </w:p>
        </w:tc>
      </w:tr>
    </w:tbl>
    <w:p w14:paraId="2A7AAA92" w14:textId="77777777" w:rsidR="003A22BC" w:rsidRDefault="003A22BC">
      <w:pPr>
        <w:jc w:val="center"/>
        <w:rPr>
          <w:rStyle w:val="Hyperlink"/>
          <w:rFonts w:eastAsia="Times New Roman"/>
          <w:lang/>
        </w:rPr>
        <w:sectPr w:rsidR="003A22BC">
          <w:pgSz w:w="12240" w:h="15840"/>
          <w:pgMar w:top="1134" w:right="1134" w:bottom="1134" w:left="1134" w:header="0" w:footer="0" w:gutter="0"/>
          <w:cols w:space="720"/>
          <w:formProt w:val="0"/>
          <w:docGrid w:linePitch="600" w:charSpace="32768"/>
        </w:sectPr>
      </w:pPr>
    </w:p>
    <w:p w14:paraId="3EEE6427" w14:textId="77777777" w:rsidR="003A22BC" w:rsidRDefault="003A22BC">
      <w:pPr>
        <w:jc w:val="both"/>
        <w:rPr>
          <w:lang/>
        </w:rPr>
      </w:pPr>
    </w:p>
    <w:tbl>
      <w:tblPr>
        <w:tblW w:w="12926" w:type="dxa"/>
        <w:tblLayout w:type="fixed"/>
        <w:tblLook w:val="0000" w:firstRow="0" w:lastRow="0" w:firstColumn="0" w:lastColumn="0" w:noHBand="0" w:noVBand="0"/>
      </w:tblPr>
      <w:tblGrid>
        <w:gridCol w:w="12926"/>
      </w:tblGrid>
      <w:tr w:rsidR="003A22BC" w14:paraId="6519F485" w14:textId="77777777">
        <w:tc>
          <w:tcPr>
            <w:tcW w:w="12926" w:type="dxa"/>
            <w:tcBorders>
              <w:top w:val="single" w:sz="4" w:space="0" w:color="7F7F7F"/>
              <w:bottom w:val="single" w:sz="4" w:space="0" w:color="7F7F7F"/>
            </w:tcBorders>
            <w:shd w:val="clear" w:color="auto" w:fill="FFFFFF"/>
          </w:tcPr>
          <w:tbl>
            <w:tblPr>
              <w:tblW w:w="12874" w:type="dxa"/>
              <w:tblLayout w:type="fixed"/>
              <w:tblLook w:val="0000" w:firstRow="0" w:lastRow="0" w:firstColumn="0" w:lastColumn="0" w:noHBand="0" w:noVBand="0"/>
            </w:tblPr>
            <w:tblGrid>
              <w:gridCol w:w="2667"/>
              <w:gridCol w:w="2608"/>
              <w:gridCol w:w="1583"/>
              <w:gridCol w:w="1417"/>
              <w:gridCol w:w="4599"/>
            </w:tblGrid>
            <w:tr w:rsidR="003A22BC" w14:paraId="71F68E2D" w14:textId="77777777">
              <w:trPr>
                <w:trHeight w:val="300"/>
              </w:trPr>
              <w:tc>
                <w:tcPr>
                  <w:tcW w:w="2667" w:type="dxa"/>
                  <w:vMerge w:val="restart"/>
                  <w:tcBorders>
                    <w:top w:val="single" w:sz="4" w:space="0" w:color="000000"/>
                    <w:left w:val="single" w:sz="4" w:space="0" w:color="000000"/>
                    <w:bottom w:val="single" w:sz="4" w:space="0" w:color="000000"/>
                    <w:right w:val="single" w:sz="4" w:space="0" w:color="000000"/>
                  </w:tcBorders>
                  <w:vAlign w:val="center"/>
                </w:tcPr>
                <w:p w14:paraId="5A850016" w14:textId="77777777" w:rsidR="003A22BC" w:rsidRDefault="00957FF2">
                  <w:pPr>
                    <w:jc w:val="center"/>
                    <w:rPr>
                      <w:b/>
                      <w:bCs/>
                      <w:lang/>
                    </w:rPr>
                  </w:pPr>
                  <w:r>
                    <w:rPr>
                      <w:b/>
                      <w:bCs/>
                      <w:lang/>
                    </w:rPr>
                    <w:t>Gene Product</w:t>
                  </w:r>
                </w:p>
              </w:tc>
              <w:tc>
                <w:tcPr>
                  <w:tcW w:w="2608" w:type="dxa"/>
                  <w:vMerge w:val="restart"/>
                  <w:tcBorders>
                    <w:top w:val="single" w:sz="4" w:space="0" w:color="000000"/>
                    <w:left w:val="single" w:sz="4" w:space="0" w:color="000000"/>
                    <w:bottom w:val="single" w:sz="4" w:space="0" w:color="000000"/>
                    <w:right w:val="single" w:sz="4" w:space="0" w:color="000000"/>
                  </w:tcBorders>
                  <w:vAlign w:val="center"/>
                </w:tcPr>
                <w:p w14:paraId="3B61369E" w14:textId="77777777" w:rsidR="003A22BC" w:rsidRDefault="00957FF2">
                  <w:pPr>
                    <w:jc w:val="center"/>
                    <w:rPr>
                      <w:b/>
                      <w:bCs/>
                      <w:lang/>
                    </w:rPr>
                  </w:pPr>
                  <w:r>
                    <w:rPr>
                      <w:b/>
                      <w:bCs/>
                      <w:lang/>
                    </w:rPr>
                    <w:t>Gene ID</w:t>
                  </w:r>
                </w:p>
              </w:tc>
              <w:tc>
                <w:tcPr>
                  <w:tcW w:w="3000" w:type="dxa"/>
                  <w:gridSpan w:val="2"/>
                  <w:tcBorders>
                    <w:top w:val="single" w:sz="4" w:space="0" w:color="000000"/>
                    <w:left w:val="single" w:sz="4" w:space="0" w:color="000000"/>
                    <w:bottom w:val="single" w:sz="4" w:space="0" w:color="000000"/>
                    <w:right w:val="single" w:sz="4" w:space="0" w:color="000000"/>
                  </w:tcBorders>
                  <w:vAlign w:val="center"/>
                </w:tcPr>
                <w:p w14:paraId="1B791116" w14:textId="77777777" w:rsidR="003A22BC" w:rsidRDefault="00957FF2">
                  <w:pPr>
                    <w:jc w:val="center"/>
                    <w:rPr>
                      <w:b/>
                      <w:bCs/>
                      <w:lang/>
                    </w:rPr>
                  </w:pPr>
                  <w:r>
                    <w:rPr>
                      <w:b/>
                      <w:bCs/>
                      <w:lang/>
                    </w:rPr>
                    <w:t>Relative Expression Ratio</w:t>
                  </w:r>
                </w:p>
              </w:tc>
              <w:tc>
                <w:tcPr>
                  <w:tcW w:w="4599" w:type="dxa"/>
                  <w:vMerge w:val="restart"/>
                  <w:tcBorders>
                    <w:top w:val="single" w:sz="4" w:space="0" w:color="000000"/>
                    <w:left w:val="single" w:sz="4" w:space="0" w:color="000000"/>
                    <w:bottom w:val="single" w:sz="4" w:space="0" w:color="000000"/>
                    <w:right w:val="single" w:sz="4" w:space="0" w:color="000000"/>
                  </w:tcBorders>
                  <w:vAlign w:val="center"/>
                </w:tcPr>
                <w:p w14:paraId="0E9129A0" w14:textId="77777777" w:rsidR="003A22BC" w:rsidRDefault="00957FF2">
                  <w:pPr>
                    <w:jc w:val="center"/>
                    <w:rPr>
                      <w:b/>
                      <w:bCs/>
                      <w:lang/>
                    </w:rPr>
                  </w:pPr>
                  <w:r>
                    <w:rPr>
                      <w:b/>
                      <w:bCs/>
                      <w:lang/>
                    </w:rPr>
                    <w:t>Reported Functions in gram negative bacteria</w:t>
                  </w:r>
                </w:p>
              </w:tc>
            </w:tr>
            <w:tr w:rsidR="003A22BC" w14:paraId="2EE1E76A" w14:textId="77777777">
              <w:trPr>
                <w:trHeight w:val="320"/>
              </w:trPr>
              <w:tc>
                <w:tcPr>
                  <w:tcW w:w="2667" w:type="dxa"/>
                  <w:vMerge/>
                  <w:tcBorders>
                    <w:top w:val="single" w:sz="4" w:space="0" w:color="000000"/>
                    <w:left w:val="single" w:sz="4" w:space="0" w:color="000000"/>
                    <w:bottom w:val="single" w:sz="4" w:space="0" w:color="000000"/>
                    <w:right w:val="single" w:sz="4" w:space="0" w:color="000000"/>
                  </w:tcBorders>
                  <w:vAlign w:val="center"/>
                </w:tcPr>
                <w:p w14:paraId="1AB95740" w14:textId="77777777" w:rsidR="003A22BC" w:rsidRDefault="003A22BC"/>
              </w:tc>
              <w:tc>
                <w:tcPr>
                  <w:tcW w:w="2608" w:type="dxa"/>
                  <w:vMerge/>
                  <w:tcBorders>
                    <w:top w:val="single" w:sz="4" w:space="0" w:color="000000"/>
                    <w:left w:val="single" w:sz="4" w:space="0" w:color="000000"/>
                    <w:bottom w:val="single" w:sz="4" w:space="0" w:color="000000"/>
                    <w:right w:val="single" w:sz="4" w:space="0" w:color="000000"/>
                  </w:tcBorders>
                  <w:vAlign w:val="center"/>
                </w:tcPr>
                <w:p w14:paraId="5354F250" w14:textId="77777777" w:rsidR="003A22BC" w:rsidRDefault="003A22BC"/>
              </w:tc>
              <w:tc>
                <w:tcPr>
                  <w:tcW w:w="1583" w:type="dxa"/>
                  <w:tcBorders>
                    <w:top w:val="single" w:sz="4" w:space="0" w:color="000000"/>
                    <w:left w:val="single" w:sz="4" w:space="0" w:color="000000"/>
                    <w:bottom w:val="single" w:sz="4" w:space="0" w:color="000000"/>
                    <w:right w:val="single" w:sz="4" w:space="0" w:color="000000"/>
                  </w:tcBorders>
                  <w:vAlign w:val="center"/>
                </w:tcPr>
                <w:p w14:paraId="7CE0CC83" w14:textId="77777777" w:rsidR="003A22BC" w:rsidRDefault="00957FF2">
                  <w:pPr>
                    <w:rPr>
                      <w:lang/>
                    </w:rPr>
                  </w:pPr>
                  <w:r>
                    <w:rPr>
                      <w:lang/>
                    </w:rPr>
                    <w:t>RNA-Seq</w:t>
                  </w:r>
                </w:p>
              </w:tc>
              <w:tc>
                <w:tcPr>
                  <w:tcW w:w="1417" w:type="dxa"/>
                  <w:tcBorders>
                    <w:top w:val="single" w:sz="4" w:space="0" w:color="000000"/>
                    <w:left w:val="single" w:sz="4" w:space="0" w:color="000000"/>
                    <w:bottom w:val="single" w:sz="4" w:space="0" w:color="000000"/>
                    <w:right w:val="single" w:sz="4" w:space="0" w:color="000000"/>
                  </w:tcBorders>
                  <w:vAlign w:val="center"/>
                </w:tcPr>
                <w:p w14:paraId="5712BB8B" w14:textId="77777777" w:rsidR="003A22BC" w:rsidRDefault="00957FF2">
                  <w:pPr>
                    <w:rPr>
                      <w:lang/>
                    </w:rPr>
                  </w:pPr>
                  <w:r>
                    <w:rPr>
                      <w:lang/>
                    </w:rPr>
                    <w:t>qRT-PCR</w:t>
                  </w:r>
                </w:p>
              </w:tc>
              <w:tc>
                <w:tcPr>
                  <w:tcW w:w="4599" w:type="dxa"/>
                  <w:vMerge/>
                  <w:tcBorders>
                    <w:top w:val="single" w:sz="4" w:space="0" w:color="000000"/>
                    <w:left w:val="single" w:sz="4" w:space="0" w:color="000000"/>
                    <w:bottom w:val="single" w:sz="4" w:space="0" w:color="000000"/>
                    <w:right w:val="single" w:sz="4" w:space="0" w:color="000000"/>
                  </w:tcBorders>
                  <w:vAlign w:val="center"/>
                </w:tcPr>
                <w:p w14:paraId="04B1AA60" w14:textId="77777777" w:rsidR="003A22BC" w:rsidRDefault="003A22BC"/>
              </w:tc>
            </w:tr>
            <w:tr w:rsidR="003A22BC" w14:paraId="01B72816" w14:textId="77777777">
              <w:trPr>
                <w:trHeight w:val="900"/>
              </w:trPr>
              <w:tc>
                <w:tcPr>
                  <w:tcW w:w="2667" w:type="dxa"/>
                  <w:tcBorders>
                    <w:top w:val="single" w:sz="4" w:space="0" w:color="000000"/>
                    <w:left w:val="single" w:sz="4" w:space="0" w:color="000000"/>
                    <w:bottom w:val="single" w:sz="4" w:space="0" w:color="000000"/>
                    <w:right w:val="single" w:sz="4" w:space="0" w:color="000000"/>
                  </w:tcBorders>
                  <w:vAlign w:val="center"/>
                </w:tcPr>
                <w:p w14:paraId="2B778C60" w14:textId="77777777" w:rsidR="003A22BC" w:rsidRDefault="00957FF2">
                  <w:pPr>
                    <w:rPr>
                      <w:color w:val="000000"/>
                      <w:lang/>
                    </w:rPr>
                  </w:pPr>
                  <w:r>
                    <w:rPr>
                      <w:color w:val="000000"/>
                      <w:lang/>
                    </w:rPr>
                    <w:t>Outer membrane efflux protein</w:t>
                  </w:r>
                </w:p>
              </w:tc>
              <w:tc>
                <w:tcPr>
                  <w:tcW w:w="2608" w:type="dxa"/>
                  <w:tcBorders>
                    <w:top w:val="single" w:sz="4" w:space="0" w:color="000000"/>
                    <w:left w:val="single" w:sz="4" w:space="0" w:color="000000"/>
                    <w:bottom w:val="single" w:sz="4" w:space="0" w:color="000000"/>
                    <w:right w:val="single" w:sz="4" w:space="0" w:color="000000"/>
                  </w:tcBorders>
                  <w:vAlign w:val="center"/>
                </w:tcPr>
                <w:p w14:paraId="24510190" w14:textId="77777777" w:rsidR="003A22BC" w:rsidRDefault="00957FF2">
                  <w:pPr>
                    <w:rPr>
                      <w:color w:val="000000"/>
                      <w:lang/>
                    </w:rPr>
                  </w:pPr>
                  <w:r>
                    <w:rPr>
                      <w:color w:val="000000"/>
                      <w:lang/>
                    </w:rPr>
                    <w:t>fig|1185660.4.peg.405</w:t>
                  </w:r>
                </w:p>
              </w:tc>
              <w:tc>
                <w:tcPr>
                  <w:tcW w:w="1583" w:type="dxa"/>
                  <w:tcBorders>
                    <w:top w:val="single" w:sz="4" w:space="0" w:color="000000"/>
                    <w:left w:val="single" w:sz="4" w:space="0" w:color="000000"/>
                    <w:bottom w:val="single" w:sz="4" w:space="0" w:color="000000"/>
                    <w:right w:val="single" w:sz="4" w:space="0" w:color="000000"/>
                  </w:tcBorders>
                  <w:vAlign w:val="center"/>
                </w:tcPr>
                <w:p w14:paraId="52B5BE1D" w14:textId="77777777" w:rsidR="003A22BC" w:rsidRDefault="00957FF2">
                  <w:pPr>
                    <w:jc w:val="center"/>
                    <w:rPr>
                      <w:color w:val="000000"/>
                      <w:lang/>
                    </w:rPr>
                  </w:pPr>
                  <w:r>
                    <w:rPr>
                      <w:color w:val="000000"/>
                      <w:lang/>
                    </w:rPr>
                    <w:t>56</w:t>
                  </w:r>
                </w:p>
              </w:tc>
              <w:tc>
                <w:tcPr>
                  <w:tcW w:w="1417" w:type="dxa"/>
                  <w:tcBorders>
                    <w:top w:val="single" w:sz="4" w:space="0" w:color="000000"/>
                    <w:left w:val="single" w:sz="4" w:space="0" w:color="000000"/>
                    <w:bottom w:val="single" w:sz="4" w:space="0" w:color="000000"/>
                    <w:right w:val="single" w:sz="4" w:space="0" w:color="000000"/>
                  </w:tcBorders>
                  <w:vAlign w:val="center"/>
                </w:tcPr>
                <w:p w14:paraId="214B3F58" w14:textId="77777777" w:rsidR="003A22BC" w:rsidRDefault="00957FF2">
                  <w:pPr>
                    <w:jc w:val="center"/>
                    <w:rPr>
                      <w:color w:val="000000"/>
                      <w:lang/>
                    </w:rPr>
                  </w:pPr>
                  <w:r>
                    <w:rPr>
                      <w:color w:val="000000"/>
                      <w:lang/>
                    </w:rPr>
                    <w:t>72</w:t>
                  </w:r>
                </w:p>
              </w:tc>
              <w:tc>
                <w:tcPr>
                  <w:tcW w:w="4599" w:type="dxa"/>
                  <w:tcBorders>
                    <w:top w:val="single" w:sz="4" w:space="0" w:color="000000"/>
                    <w:left w:val="single" w:sz="4" w:space="0" w:color="000000"/>
                    <w:bottom w:val="single" w:sz="4" w:space="0" w:color="000000"/>
                    <w:right w:val="single" w:sz="4" w:space="0" w:color="000000"/>
                  </w:tcBorders>
                  <w:vAlign w:val="center"/>
                </w:tcPr>
                <w:p w14:paraId="5EC9E085" w14:textId="77777777" w:rsidR="003A22BC" w:rsidRDefault="00957FF2">
                  <w:pPr>
                    <w:rPr>
                      <w:color w:val="000000"/>
                      <w:lang/>
                    </w:rPr>
                  </w:pPr>
                  <w:r>
                    <w:rPr>
                      <w:color w:val="000000"/>
                      <w:lang/>
                    </w:rPr>
                    <w:t xml:space="preserve">Resistance against external toxins (antibiotics, host hormones and phytoalexins), copper resistance, and manganese homeostasis </w:t>
                  </w:r>
                  <w:bookmarkStart w:id="8" w:name="Mendeley_Bookmark_QvxWfhbbXt"/>
                  <w:r>
                    <w:rPr>
                      <w:color w:val="000000"/>
                      <w:lang/>
                    </w:rPr>
                    <w:t>(Burse, Weingart, &amp; Ullrich, 2004; C. Li, Tao, Mao, &amp; He, 2011; Nishino, Latifi, &amp; Groisman, 2006; Piddock, 2006; Ryan et al., 20</w:t>
                  </w:r>
                  <w:r>
                    <w:rPr>
                      <w:color w:val="000000"/>
                      <w:lang/>
                    </w:rPr>
                    <w:t>07; Zhao, Li, Srikumar, &amp; Poole, 1998)</w:t>
                  </w:r>
                  <w:bookmarkEnd w:id="8"/>
                  <w:r>
                    <w:rPr>
                      <w:color w:val="000000"/>
                      <w:lang/>
                    </w:rPr>
                    <w:t>.</w:t>
                  </w:r>
                </w:p>
              </w:tc>
            </w:tr>
            <w:tr w:rsidR="003A22BC" w14:paraId="5D90C21E" w14:textId="77777777">
              <w:trPr>
                <w:trHeight w:val="900"/>
              </w:trPr>
              <w:tc>
                <w:tcPr>
                  <w:tcW w:w="2667" w:type="dxa"/>
                  <w:tcBorders>
                    <w:left w:val="single" w:sz="4" w:space="0" w:color="000000"/>
                    <w:bottom w:val="single" w:sz="4" w:space="0" w:color="000000"/>
                    <w:right w:val="single" w:sz="4" w:space="0" w:color="000000"/>
                  </w:tcBorders>
                  <w:vAlign w:val="center"/>
                </w:tcPr>
                <w:p w14:paraId="6A897855" w14:textId="77777777" w:rsidR="003A22BC" w:rsidRDefault="00957FF2">
                  <w:pPr>
                    <w:rPr>
                      <w:color w:val="000000"/>
                      <w:lang/>
                    </w:rPr>
                  </w:pPr>
                  <w:r>
                    <w:rPr>
                      <w:color w:val="000000"/>
                      <w:lang/>
                    </w:rPr>
                    <w:t>Hypothetical protein</w:t>
                  </w:r>
                </w:p>
              </w:tc>
              <w:tc>
                <w:tcPr>
                  <w:tcW w:w="2608" w:type="dxa"/>
                  <w:tcBorders>
                    <w:left w:val="single" w:sz="4" w:space="0" w:color="000000"/>
                    <w:bottom w:val="single" w:sz="4" w:space="0" w:color="000000"/>
                    <w:right w:val="single" w:sz="4" w:space="0" w:color="000000"/>
                  </w:tcBorders>
                  <w:vAlign w:val="center"/>
                </w:tcPr>
                <w:p w14:paraId="36DA3265" w14:textId="77777777" w:rsidR="003A22BC" w:rsidRDefault="00957FF2">
                  <w:pPr>
                    <w:rPr>
                      <w:color w:val="000000"/>
                      <w:lang/>
                    </w:rPr>
                  </w:pPr>
                  <w:r>
                    <w:rPr>
                      <w:color w:val="000000"/>
                      <w:lang/>
                    </w:rPr>
                    <w:t>fig|1185660.4.peg.2568</w:t>
                  </w:r>
                </w:p>
              </w:tc>
              <w:tc>
                <w:tcPr>
                  <w:tcW w:w="1583" w:type="dxa"/>
                  <w:tcBorders>
                    <w:left w:val="single" w:sz="4" w:space="0" w:color="000000"/>
                    <w:bottom w:val="single" w:sz="4" w:space="0" w:color="000000"/>
                    <w:right w:val="single" w:sz="4" w:space="0" w:color="000000"/>
                  </w:tcBorders>
                  <w:vAlign w:val="center"/>
                </w:tcPr>
                <w:p w14:paraId="6BCC0B2E" w14:textId="77777777" w:rsidR="003A22BC" w:rsidRDefault="00957FF2">
                  <w:pPr>
                    <w:jc w:val="center"/>
                    <w:rPr>
                      <w:color w:val="000000"/>
                      <w:lang/>
                    </w:rPr>
                  </w:pPr>
                  <w:r>
                    <w:rPr>
                      <w:color w:val="000000"/>
                      <w:lang/>
                    </w:rPr>
                    <w:t>60</w:t>
                  </w:r>
                </w:p>
              </w:tc>
              <w:tc>
                <w:tcPr>
                  <w:tcW w:w="1417" w:type="dxa"/>
                  <w:tcBorders>
                    <w:left w:val="single" w:sz="4" w:space="0" w:color="000000"/>
                    <w:bottom w:val="single" w:sz="4" w:space="0" w:color="000000"/>
                    <w:right w:val="single" w:sz="4" w:space="0" w:color="000000"/>
                  </w:tcBorders>
                  <w:vAlign w:val="center"/>
                </w:tcPr>
                <w:p w14:paraId="0DD5D049" w14:textId="77777777" w:rsidR="003A22BC" w:rsidRDefault="00957FF2">
                  <w:pPr>
                    <w:jc w:val="center"/>
                    <w:rPr>
                      <w:color w:val="000000"/>
                      <w:lang/>
                    </w:rPr>
                  </w:pPr>
                  <w:r>
                    <w:rPr>
                      <w:color w:val="000000"/>
                      <w:lang/>
                    </w:rPr>
                    <w:t>4.5</w:t>
                  </w:r>
                </w:p>
              </w:tc>
              <w:tc>
                <w:tcPr>
                  <w:tcW w:w="4599" w:type="dxa"/>
                  <w:tcBorders>
                    <w:left w:val="single" w:sz="4" w:space="0" w:color="000000"/>
                    <w:bottom w:val="single" w:sz="4" w:space="0" w:color="000000"/>
                    <w:right w:val="single" w:sz="4" w:space="0" w:color="000000"/>
                  </w:tcBorders>
                  <w:vAlign w:val="center"/>
                </w:tcPr>
                <w:p w14:paraId="5EA43BA3" w14:textId="77777777" w:rsidR="003A22BC" w:rsidRDefault="00957FF2">
                  <w:pPr>
                    <w:rPr>
                      <w:color w:val="000000"/>
                      <w:lang/>
                    </w:rPr>
                  </w:pPr>
                  <w:r>
                    <w:rPr>
                      <w:color w:val="000000"/>
                      <w:lang/>
                    </w:rPr>
                    <w:t>Unknown function</w:t>
                  </w:r>
                </w:p>
              </w:tc>
            </w:tr>
            <w:tr w:rsidR="003A22BC" w14:paraId="083313FC" w14:textId="77777777">
              <w:trPr>
                <w:trHeight w:val="900"/>
              </w:trPr>
              <w:tc>
                <w:tcPr>
                  <w:tcW w:w="2667" w:type="dxa"/>
                  <w:tcBorders>
                    <w:left w:val="single" w:sz="4" w:space="0" w:color="000000"/>
                    <w:bottom w:val="single" w:sz="4" w:space="0" w:color="000000"/>
                    <w:right w:val="single" w:sz="4" w:space="0" w:color="000000"/>
                  </w:tcBorders>
                  <w:vAlign w:val="center"/>
                </w:tcPr>
                <w:p w14:paraId="1573D3F0" w14:textId="77777777" w:rsidR="003A22BC" w:rsidRDefault="00957FF2">
                  <w:pPr>
                    <w:rPr>
                      <w:color w:val="000000"/>
                      <w:lang/>
                    </w:rPr>
                  </w:pPr>
                  <w:r>
                    <w:rPr>
                      <w:color w:val="000000"/>
                      <w:lang/>
                    </w:rPr>
                    <w:t>M13-type metallopeptidase</w:t>
                  </w:r>
                </w:p>
              </w:tc>
              <w:tc>
                <w:tcPr>
                  <w:tcW w:w="2608" w:type="dxa"/>
                  <w:tcBorders>
                    <w:left w:val="single" w:sz="4" w:space="0" w:color="000000"/>
                    <w:bottom w:val="single" w:sz="4" w:space="0" w:color="000000"/>
                    <w:right w:val="single" w:sz="4" w:space="0" w:color="000000"/>
                  </w:tcBorders>
                  <w:vAlign w:val="center"/>
                </w:tcPr>
                <w:p w14:paraId="17966C44" w14:textId="77777777" w:rsidR="003A22BC" w:rsidRDefault="00957FF2">
                  <w:pPr>
                    <w:rPr>
                      <w:color w:val="000000"/>
                      <w:lang/>
                    </w:rPr>
                  </w:pPr>
                  <w:r>
                    <w:rPr>
                      <w:color w:val="000000"/>
                      <w:lang/>
                    </w:rPr>
                    <w:t>fig|1185660.4.peg.2655</w:t>
                  </w:r>
                </w:p>
              </w:tc>
              <w:tc>
                <w:tcPr>
                  <w:tcW w:w="1583" w:type="dxa"/>
                  <w:tcBorders>
                    <w:left w:val="single" w:sz="4" w:space="0" w:color="000000"/>
                    <w:bottom w:val="single" w:sz="4" w:space="0" w:color="000000"/>
                    <w:right w:val="single" w:sz="4" w:space="0" w:color="000000"/>
                  </w:tcBorders>
                  <w:vAlign w:val="center"/>
                </w:tcPr>
                <w:p w14:paraId="00C42A86" w14:textId="77777777" w:rsidR="003A22BC" w:rsidRDefault="00957FF2">
                  <w:pPr>
                    <w:jc w:val="center"/>
                    <w:rPr>
                      <w:color w:val="000000"/>
                      <w:lang/>
                    </w:rPr>
                  </w:pPr>
                  <w:r>
                    <w:rPr>
                      <w:color w:val="000000"/>
                      <w:lang/>
                    </w:rPr>
                    <w:t>39</w:t>
                  </w:r>
                </w:p>
              </w:tc>
              <w:tc>
                <w:tcPr>
                  <w:tcW w:w="1417" w:type="dxa"/>
                  <w:tcBorders>
                    <w:left w:val="single" w:sz="4" w:space="0" w:color="000000"/>
                    <w:bottom w:val="single" w:sz="4" w:space="0" w:color="000000"/>
                    <w:right w:val="single" w:sz="4" w:space="0" w:color="000000"/>
                  </w:tcBorders>
                  <w:vAlign w:val="center"/>
                </w:tcPr>
                <w:p w14:paraId="00A0048A" w14:textId="77777777" w:rsidR="003A22BC" w:rsidRDefault="00957FF2">
                  <w:pPr>
                    <w:jc w:val="center"/>
                    <w:rPr>
                      <w:color w:val="000000"/>
                      <w:lang/>
                    </w:rPr>
                  </w:pPr>
                  <w:r>
                    <w:rPr>
                      <w:color w:val="000000"/>
                      <w:lang/>
                    </w:rPr>
                    <w:t>90</w:t>
                  </w:r>
                </w:p>
              </w:tc>
              <w:tc>
                <w:tcPr>
                  <w:tcW w:w="4599" w:type="dxa"/>
                  <w:tcBorders>
                    <w:left w:val="single" w:sz="4" w:space="0" w:color="000000"/>
                    <w:bottom w:val="single" w:sz="4" w:space="0" w:color="000000"/>
                    <w:right w:val="single" w:sz="4" w:space="0" w:color="000000"/>
                  </w:tcBorders>
                  <w:vAlign w:val="center"/>
                </w:tcPr>
                <w:p w14:paraId="15DADBE8" w14:textId="77777777" w:rsidR="003A22BC" w:rsidRDefault="00957FF2">
                  <w:pPr>
                    <w:rPr>
                      <w:color w:val="000000"/>
                      <w:lang/>
                    </w:rPr>
                  </w:pPr>
                  <w:r>
                    <w:rPr>
                      <w:color w:val="000000"/>
                      <w:lang/>
                    </w:rPr>
                    <w:t xml:space="preserve">Cleaving of extracellular peptides: activation of a self-secreted peptide, disruption of a host-secreted peptide, aminoacid uptake </w:t>
                  </w:r>
                  <w:bookmarkStart w:id="9" w:name="Mendeley_Bookmark_qgeB9Fia75"/>
                  <w:bookmarkStart w:id="10" w:name="Mendeley_Bookmark_raA9lH1vOQ"/>
                  <w:r>
                    <w:rPr>
                      <w:color w:val="000000"/>
                      <w:lang/>
                    </w:rPr>
                    <w:t>(Kiely, O’Callaghan, Abbas, &amp; O’Gara, 2008; Oetjen, Fives-Taylor, &amp; Froeliger, 2001; Yanagisawa et al., 1988)</w:t>
                  </w:r>
                  <w:bookmarkEnd w:id="9"/>
                  <w:bookmarkEnd w:id="10"/>
                </w:p>
              </w:tc>
            </w:tr>
            <w:tr w:rsidR="003A22BC" w14:paraId="5B1F5B3B" w14:textId="77777777">
              <w:trPr>
                <w:trHeight w:val="900"/>
              </w:trPr>
              <w:tc>
                <w:tcPr>
                  <w:tcW w:w="2667" w:type="dxa"/>
                  <w:tcBorders>
                    <w:left w:val="single" w:sz="4" w:space="0" w:color="000000"/>
                    <w:bottom w:val="single" w:sz="4" w:space="0" w:color="000000"/>
                    <w:right w:val="single" w:sz="4" w:space="0" w:color="000000"/>
                  </w:tcBorders>
                  <w:vAlign w:val="center"/>
                </w:tcPr>
                <w:p w14:paraId="2A925452" w14:textId="77777777" w:rsidR="003A22BC" w:rsidRDefault="00957FF2">
                  <w:pPr>
                    <w:rPr>
                      <w:color w:val="000000"/>
                      <w:lang/>
                    </w:rPr>
                  </w:pPr>
                  <w:r>
                    <w:rPr>
                      <w:color w:val="000000"/>
                      <w:lang/>
                    </w:rPr>
                    <w:t>ABC transporte</w:t>
                  </w:r>
                  <w:r>
                    <w:rPr>
                      <w:color w:val="000000"/>
                      <w:lang/>
                    </w:rPr>
                    <w:t>r</w:t>
                  </w:r>
                </w:p>
              </w:tc>
              <w:tc>
                <w:tcPr>
                  <w:tcW w:w="2608" w:type="dxa"/>
                  <w:tcBorders>
                    <w:left w:val="single" w:sz="4" w:space="0" w:color="000000"/>
                    <w:bottom w:val="single" w:sz="4" w:space="0" w:color="000000"/>
                    <w:right w:val="single" w:sz="4" w:space="0" w:color="000000"/>
                  </w:tcBorders>
                  <w:vAlign w:val="center"/>
                </w:tcPr>
                <w:p w14:paraId="4AB99E99" w14:textId="77777777" w:rsidR="003A22BC" w:rsidRDefault="00957FF2">
                  <w:pPr>
                    <w:rPr>
                      <w:color w:val="000000"/>
                      <w:lang/>
                    </w:rPr>
                  </w:pPr>
                  <w:r>
                    <w:rPr>
                      <w:color w:val="000000"/>
                      <w:lang/>
                    </w:rPr>
                    <w:t>fig|1185660.4.peg.3022</w:t>
                  </w:r>
                </w:p>
              </w:tc>
              <w:tc>
                <w:tcPr>
                  <w:tcW w:w="1583" w:type="dxa"/>
                  <w:tcBorders>
                    <w:left w:val="single" w:sz="4" w:space="0" w:color="000000"/>
                    <w:bottom w:val="single" w:sz="4" w:space="0" w:color="000000"/>
                    <w:right w:val="single" w:sz="4" w:space="0" w:color="000000"/>
                  </w:tcBorders>
                  <w:vAlign w:val="center"/>
                </w:tcPr>
                <w:p w14:paraId="4E063CBE" w14:textId="77777777" w:rsidR="003A22BC" w:rsidRDefault="00957FF2">
                  <w:pPr>
                    <w:jc w:val="center"/>
                    <w:rPr>
                      <w:color w:val="000000"/>
                      <w:lang/>
                    </w:rPr>
                  </w:pPr>
                  <w:r>
                    <w:rPr>
                      <w:color w:val="000000"/>
                      <w:lang/>
                    </w:rPr>
                    <w:t>11</w:t>
                  </w:r>
                </w:p>
              </w:tc>
              <w:tc>
                <w:tcPr>
                  <w:tcW w:w="1417" w:type="dxa"/>
                  <w:tcBorders>
                    <w:left w:val="single" w:sz="4" w:space="0" w:color="000000"/>
                    <w:bottom w:val="single" w:sz="4" w:space="0" w:color="000000"/>
                    <w:right w:val="single" w:sz="4" w:space="0" w:color="000000"/>
                  </w:tcBorders>
                  <w:vAlign w:val="center"/>
                </w:tcPr>
                <w:p w14:paraId="60552F6C" w14:textId="77777777" w:rsidR="003A22BC" w:rsidRDefault="00957FF2">
                  <w:pPr>
                    <w:jc w:val="center"/>
                    <w:rPr>
                      <w:color w:val="000000"/>
                      <w:lang/>
                    </w:rPr>
                  </w:pPr>
                  <w:r>
                    <w:rPr>
                      <w:color w:val="000000"/>
                      <w:lang/>
                    </w:rPr>
                    <w:t>5</w:t>
                  </w:r>
                </w:p>
              </w:tc>
              <w:tc>
                <w:tcPr>
                  <w:tcW w:w="4599" w:type="dxa"/>
                  <w:tcBorders>
                    <w:left w:val="single" w:sz="4" w:space="0" w:color="000000"/>
                    <w:bottom w:val="single" w:sz="4" w:space="0" w:color="000000"/>
                    <w:right w:val="single" w:sz="4" w:space="0" w:color="000000"/>
                  </w:tcBorders>
                  <w:vAlign w:val="center"/>
                </w:tcPr>
                <w:p w14:paraId="3F091960" w14:textId="77777777" w:rsidR="003A22BC" w:rsidRDefault="00957FF2">
                  <w:pPr>
                    <w:rPr>
                      <w:color w:val="000000"/>
                      <w:lang/>
                    </w:rPr>
                  </w:pPr>
                  <w:r>
                    <w:rPr>
                      <w:color w:val="000000"/>
                      <w:lang/>
                    </w:rPr>
                    <w:t xml:space="preserve">Sharing similarity to RaxB involved in proteolysis associated with the T1SS </w:t>
                  </w:r>
                  <w:bookmarkStart w:id="11" w:name="Mendeley_Bookmark_k5XXfxyI7i"/>
                  <w:bookmarkStart w:id="12" w:name="Mendeley_Bookmark_1u2oZOiq0n"/>
                  <w:r>
                    <w:rPr>
                      <w:color w:val="000000"/>
                      <w:lang/>
                    </w:rPr>
                    <w:t>(Da Silva et al., 2004)</w:t>
                  </w:r>
                  <w:bookmarkEnd w:id="11"/>
                  <w:bookmarkEnd w:id="12"/>
                </w:p>
              </w:tc>
            </w:tr>
            <w:tr w:rsidR="003A22BC" w14:paraId="5BA506BB" w14:textId="77777777">
              <w:trPr>
                <w:trHeight w:val="900"/>
              </w:trPr>
              <w:tc>
                <w:tcPr>
                  <w:tcW w:w="2667" w:type="dxa"/>
                  <w:tcBorders>
                    <w:left w:val="single" w:sz="4" w:space="0" w:color="000000"/>
                    <w:bottom w:val="single" w:sz="4" w:space="0" w:color="000000"/>
                    <w:right w:val="single" w:sz="4" w:space="0" w:color="000000"/>
                  </w:tcBorders>
                  <w:vAlign w:val="center"/>
                </w:tcPr>
                <w:p w14:paraId="5CFBBABA" w14:textId="77777777" w:rsidR="003A22BC" w:rsidRDefault="00957FF2">
                  <w:pPr>
                    <w:rPr>
                      <w:color w:val="000000"/>
                      <w:lang/>
                    </w:rPr>
                  </w:pPr>
                  <w:r>
                    <w:rPr>
                      <w:color w:val="000000"/>
                      <w:lang/>
                    </w:rPr>
                    <w:t>LysR-type transcriptional regulator</w:t>
                  </w:r>
                </w:p>
              </w:tc>
              <w:tc>
                <w:tcPr>
                  <w:tcW w:w="2608" w:type="dxa"/>
                  <w:tcBorders>
                    <w:left w:val="single" w:sz="4" w:space="0" w:color="000000"/>
                    <w:bottom w:val="single" w:sz="4" w:space="0" w:color="000000"/>
                    <w:right w:val="single" w:sz="4" w:space="0" w:color="000000"/>
                  </w:tcBorders>
                  <w:vAlign w:val="center"/>
                </w:tcPr>
                <w:p w14:paraId="403758AC" w14:textId="77777777" w:rsidR="003A22BC" w:rsidRDefault="00957FF2">
                  <w:pPr>
                    <w:rPr>
                      <w:color w:val="000000"/>
                      <w:lang/>
                    </w:rPr>
                  </w:pPr>
                  <w:r>
                    <w:rPr>
                      <w:color w:val="000000"/>
                      <w:lang/>
                    </w:rPr>
                    <w:t>fig|1185660.4.peg.909</w:t>
                  </w:r>
                </w:p>
              </w:tc>
              <w:tc>
                <w:tcPr>
                  <w:tcW w:w="1583" w:type="dxa"/>
                  <w:tcBorders>
                    <w:left w:val="single" w:sz="4" w:space="0" w:color="000000"/>
                    <w:bottom w:val="single" w:sz="4" w:space="0" w:color="000000"/>
                    <w:right w:val="single" w:sz="4" w:space="0" w:color="000000"/>
                  </w:tcBorders>
                  <w:vAlign w:val="center"/>
                </w:tcPr>
                <w:p w14:paraId="265195ED" w14:textId="77777777" w:rsidR="003A22BC" w:rsidRDefault="00957FF2">
                  <w:pPr>
                    <w:jc w:val="center"/>
                    <w:rPr>
                      <w:color w:val="000000"/>
                      <w:lang/>
                    </w:rPr>
                  </w:pPr>
                  <w:r>
                    <w:rPr>
                      <w:color w:val="000000"/>
                      <w:lang/>
                    </w:rPr>
                    <w:t>22</w:t>
                  </w:r>
                </w:p>
              </w:tc>
              <w:tc>
                <w:tcPr>
                  <w:tcW w:w="1417" w:type="dxa"/>
                  <w:tcBorders>
                    <w:left w:val="single" w:sz="4" w:space="0" w:color="000000"/>
                    <w:bottom w:val="single" w:sz="4" w:space="0" w:color="000000"/>
                    <w:right w:val="single" w:sz="4" w:space="0" w:color="000000"/>
                  </w:tcBorders>
                  <w:vAlign w:val="center"/>
                </w:tcPr>
                <w:p w14:paraId="22F17DF7" w14:textId="77777777" w:rsidR="003A22BC" w:rsidRDefault="00957FF2">
                  <w:pPr>
                    <w:jc w:val="center"/>
                    <w:rPr>
                      <w:color w:val="000000"/>
                      <w:lang/>
                    </w:rPr>
                  </w:pPr>
                  <w:r>
                    <w:rPr>
                      <w:color w:val="000000"/>
                      <w:lang/>
                    </w:rPr>
                    <w:t>4</w:t>
                  </w:r>
                </w:p>
              </w:tc>
              <w:tc>
                <w:tcPr>
                  <w:tcW w:w="4599" w:type="dxa"/>
                  <w:tcBorders>
                    <w:left w:val="single" w:sz="4" w:space="0" w:color="000000"/>
                    <w:bottom w:val="single" w:sz="4" w:space="0" w:color="000000"/>
                    <w:right w:val="single" w:sz="4" w:space="0" w:color="000000"/>
                  </w:tcBorders>
                  <w:vAlign w:val="center"/>
                </w:tcPr>
                <w:p w14:paraId="257A308B" w14:textId="77777777" w:rsidR="003A22BC" w:rsidRDefault="00957FF2">
                  <w:pPr>
                    <w:rPr>
                      <w:lang/>
                    </w:rPr>
                  </w:pPr>
                  <w:r>
                    <w:rPr>
                      <w:color w:val="000000"/>
                      <w:lang/>
                    </w:rPr>
                    <w:t xml:space="preserve">Phenolic compound catabolism, biofilm and </w:t>
                  </w:r>
                  <w:r>
                    <w:rPr>
                      <w:i/>
                      <w:color w:val="000000"/>
                      <w:sz w:val="22"/>
                      <w:lang/>
                    </w:rPr>
                    <w:t>N</w:t>
                  </w:r>
                  <w:r>
                    <w:rPr>
                      <w:color w:val="000000"/>
                      <w:lang/>
                    </w:rPr>
                    <w:t xml:space="preserve">-acyl homoserine lactone production, resistance against antibiotics, ROS and low pH environments </w:t>
                  </w:r>
                  <w:bookmarkStart w:id="13" w:name="Mendeley_Bookmark_M1u5df3hdr"/>
                  <w:r>
                    <w:rPr>
                      <w:color w:val="000000"/>
                      <w:lang/>
                    </w:rPr>
                    <w:t xml:space="preserve">(Bernier, Nguyen, &amp; Sokol, 2008; Parke, 1996; Qian et al., 2013; Srinivasan, Mondal, Venkataramaiah, </w:t>
                  </w:r>
                  <w:r>
                    <w:rPr>
                      <w:color w:val="000000"/>
                      <w:lang/>
                    </w:rPr>
                    <w:t>Chauhan, &amp; Rajamohan, 2013)</w:t>
                  </w:r>
                  <w:bookmarkEnd w:id="13"/>
                </w:p>
              </w:tc>
            </w:tr>
            <w:tr w:rsidR="003A22BC" w14:paraId="1FBE6DFE" w14:textId="77777777">
              <w:trPr>
                <w:trHeight w:val="900"/>
              </w:trPr>
              <w:tc>
                <w:tcPr>
                  <w:tcW w:w="2667" w:type="dxa"/>
                  <w:tcBorders>
                    <w:left w:val="single" w:sz="4" w:space="0" w:color="000000"/>
                    <w:bottom w:val="single" w:sz="4" w:space="0" w:color="000000"/>
                    <w:right w:val="single" w:sz="4" w:space="0" w:color="000000"/>
                  </w:tcBorders>
                  <w:vAlign w:val="center"/>
                </w:tcPr>
                <w:p w14:paraId="650023A6" w14:textId="77777777" w:rsidR="003A22BC" w:rsidRDefault="00957FF2">
                  <w:pPr>
                    <w:rPr>
                      <w:color w:val="000000"/>
                      <w:lang/>
                    </w:rPr>
                  </w:pPr>
                  <w:r>
                    <w:rPr>
                      <w:color w:val="000000"/>
                      <w:lang/>
                    </w:rPr>
                    <w:t>TetR-type transcriptional regulator</w:t>
                  </w:r>
                </w:p>
              </w:tc>
              <w:tc>
                <w:tcPr>
                  <w:tcW w:w="2608" w:type="dxa"/>
                  <w:tcBorders>
                    <w:left w:val="single" w:sz="4" w:space="0" w:color="000000"/>
                    <w:bottom w:val="single" w:sz="4" w:space="0" w:color="000000"/>
                    <w:right w:val="single" w:sz="4" w:space="0" w:color="000000"/>
                  </w:tcBorders>
                  <w:vAlign w:val="center"/>
                </w:tcPr>
                <w:p w14:paraId="516490D6" w14:textId="77777777" w:rsidR="003A22BC" w:rsidRDefault="00957FF2">
                  <w:pPr>
                    <w:rPr>
                      <w:color w:val="000000"/>
                      <w:lang/>
                    </w:rPr>
                  </w:pPr>
                  <w:r>
                    <w:rPr>
                      <w:color w:val="000000"/>
                      <w:lang/>
                    </w:rPr>
                    <w:t>fig|1185660.4.peg.1195</w:t>
                  </w:r>
                </w:p>
              </w:tc>
              <w:tc>
                <w:tcPr>
                  <w:tcW w:w="1583" w:type="dxa"/>
                  <w:tcBorders>
                    <w:left w:val="single" w:sz="4" w:space="0" w:color="000000"/>
                    <w:bottom w:val="single" w:sz="4" w:space="0" w:color="000000"/>
                    <w:right w:val="single" w:sz="4" w:space="0" w:color="000000"/>
                  </w:tcBorders>
                  <w:vAlign w:val="center"/>
                </w:tcPr>
                <w:p w14:paraId="1A155369" w14:textId="77777777" w:rsidR="003A22BC" w:rsidRDefault="00957FF2">
                  <w:pPr>
                    <w:jc w:val="center"/>
                    <w:rPr>
                      <w:color w:val="000000"/>
                      <w:lang/>
                    </w:rPr>
                  </w:pPr>
                  <w:r>
                    <w:rPr>
                      <w:color w:val="000000"/>
                      <w:lang/>
                    </w:rPr>
                    <w:t>29</w:t>
                  </w:r>
                </w:p>
              </w:tc>
              <w:tc>
                <w:tcPr>
                  <w:tcW w:w="1417" w:type="dxa"/>
                  <w:tcBorders>
                    <w:left w:val="single" w:sz="4" w:space="0" w:color="000000"/>
                    <w:bottom w:val="single" w:sz="4" w:space="0" w:color="000000"/>
                    <w:right w:val="single" w:sz="4" w:space="0" w:color="000000"/>
                  </w:tcBorders>
                  <w:vAlign w:val="center"/>
                </w:tcPr>
                <w:p w14:paraId="3F2DABAD" w14:textId="77777777" w:rsidR="003A22BC" w:rsidRDefault="00957FF2">
                  <w:pPr>
                    <w:jc w:val="center"/>
                    <w:rPr>
                      <w:color w:val="000000"/>
                      <w:lang/>
                    </w:rPr>
                  </w:pPr>
                  <w:r>
                    <w:rPr>
                      <w:color w:val="000000"/>
                      <w:lang/>
                    </w:rPr>
                    <w:t>5</w:t>
                  </w:r>
                </w:p>
              </w:tc>
              <w:tc>
                <w:tcPr>
                  <w:tcW w:w="4599" w:type="dxa"/>
                  <w:tcBorders>
                    <w:left w:val="single" w:sz="4" w:space="0" w:color="000000"/>
                    <w:bottom w:val="single" w:sz="4" w:space="0" w:color="000000"/>
                    <w:right w:val="single" w:sz="4" w:space="0" w:color="000000"/>
                  </w:tcBorders>
                  <w:vAlign w:val="center"/>
                </w:tcPr>
                <w:p w14:paraId="561FDF18" w14:textId="77777777" w:rsidR="003A22BC" w:rsidRDefault="00957FF2">
                  <w:pPr>
                    <w:rPr>
                      <w:color w:val="000000"/>
                      <w:lang/>
                    </w:rPr>
                  </w:pPr>
                  <w:r>
                    <w:rPr>
                      <w:color w:val="000000"/>
                      <w:lang/>
                    </w:rPr>
                    <w:t xml:space="preserve">Antibiotic and osmotic stress resistance, regulation of quorum sensing, efflux pumps, and biofilm formation </w:t>
                  </w:r>
                  <w:bookmarkStart w:id="14" w:name="Mendeley_Bookmark_LUtIKqww49"/>
                  <w:bookmarkStart w:id="15" w:name="Mendeley_Bookmark_2TuumYoIaQ"/>
                  <w:r>
                    <w:rPr>
                      <w:color w:val="000000"/>
                      <w:lang/>
                    </w:rPr>
                    <w:t xml:space="preserve">(Aramaki, Yagi, &amp; </w:t>
                  </w:r>
                  <w:r>
                    <w:rPr>
                      <w:color w:val="000000"/>
                      <w:lang/>
                    </w:rPr>
                    <w:lastRenderedPageBreak/>
                    <w:t>Suzuki, 1995; Jeng et al., 2008; Pomp</w:t>
                  </w:r>
                  <w:r>
                    <w:rPr>
                      <w:color w:val="000000"/>
                      <w:lang/>
                    </w:rPr>
                    <w:t>eani et al., 2008; Ramos et al., 2005</w:t>
                  </w:r>
                  <w:bookmarkStart w:id="16" w:name="MendeleyTempCursorBookmark"/>
                  <w:bookmarkEnd w:id="16"/>
                  <w:r>
                    <w:rPr>
                      <w:color w:val="000000"/>
                      <w:lang/>
                    </w:rPr>
                    <w:t>)</w:t>
                  </w:r>
                  <w:bookmarkEnd w:id="14"/>
                  <w:bookmarkEnd w:id="15"/>
                </w:p>
              </w:tc>
            </w:tr>
            <w:tr w:rsidR="003A22BC" w14:paraId="7D0BE3AF" w14:textId="77777777">
              <w:trPr>
                <w:trHeight w:val="900"/>
              </w:trPr>
              <w:tc>
                <w:tcPr>
                  <w:tcW w:w="2667" w:type="dxa"/>
                  <w:tcBorders>
                    <w:left w:val="single" w:sz="4" w:space="0" w:color="000000"/>
                    <w:bottom w:val="single" w:sz="4" w:space="0" w:color="000000"/>
                    <w:right w:val="single" w:sz="4" w:space="0" w:color="000000"/>
                  </w:tcBorders>
                  <w:vAlign w:val="center"/>
                </w:tcPr>
                <w:p w14:paraId="678E6DAE" w14:textId="77777777" w:rsidR="003A22BC" w:rsidRDefault="00957FF2">
                  <w:pPr>
                    <w:rPr>
                      <w:color w:val="000000"/>
                      <w:lang/>
                    </w:rPr>
                  </w:pPr>
                  <w:r>
                    <w:rPr>
                      <w:color w:val="000000"/>
                      <w:lang/>
                    </w:rPr>
                    <w:lastRenderedPageBreak/>
                    <w:t>Hsp90</w:t>
                  </w:r>
                </w:p>
              </w:tc>
              <w:tc>
                <w:tcPr>
                  <w:tcW w:w="2608" w:type="dxa"/>
                  <w:tcBorders>
                    <w:left w:val="single" w:sz="4" w:space="0" w:color="000000"/>
                    <w:bottom w:val="single" w:sz="4" w:space="0" w:color="000000"/>
                    <w:right w:val="single" w:sz="4" w:space="0" w:color="000000"/>
                  </w:tcBorders>
                  <w:vAlign w:val="center"/>
                </w:tcPr>
                <w:p w14:paraId="5E12A631" w14:textId="77777777" w:rsidR="003A22BC" w:rsidRDefault="00957FF2">
                  <w:pPr>
                    <w:rPr>
                      <w:color w:val="000000"/>
                      <w:lang/>
                    </w:rPr>
                  </w:pPr>
                  <w:r>
                    <w:rPr>
                      <w:color w:val="000000"/>
                      <w:lang/>
                    </w:rPr>
                    <w:t>fig|1185660.4.peg.2960</w:t>
                  </w:r>
                </w:p>
              </w:tc>
              <w:tc>
                <w:tcPr>
                  <w:tcW w:w="1583" w:type="dxa"/>
                  <w:tcBorders>
                    <w:left w:val="single" w:sz="4" w:space="0" w:color="000000"/>
                    <w:bottom w:val="single" w:sz="4" w:space="0" w:color="000000"/>
                    <w:right w:val="single" w:sz="4" w:space="0" w:color="000000"/>
                  </w:tcBorders>
                  <w:vAlign w:val="center"/>
                </w:tcPr>
                <w:p w14:paraId="0C7E9AEB" w14:textId="77777777" w:rsidR="003A22BC" w:rsidRDefault="00957FF2">
                  <w:pPr>
                    <w:jc w:val="center"/>
                    <w:rPr>
                      <w:color w:val="000000"/>
                      <w:lang/>
                    </w:rPr>
                  </w:pPr>
                  <w:r>
                    <w:rPr>
                      <w:color w:val="000000"/>
                      <w:lang/>
                    </w:rPr>
                    <w:t>6</w:t>
                  </w:r>
                </w:p>
              </w:tc>
              <w:tc>
                <w:tcPr>
                  <w:tcW w:w="1417" w:type="dxa"/>
                  <w:tcBorders>
                    <w:left w:val="single" w:sz="4" w:space="0" w:color="000000"/>
                    <w:bottom w:val="single" w:sz="4" w:space="0" w:color="000000"/>
                    <w:right w:val="single" w:sz="4" w:space="0" w:color="000000"/>
                  </w:tcBorders>
                  <w:vAlign w:val="center"/>
                </w:tcPr>
                <w:p w14:paraId="7009D92C" w14:textId="77777777" w:rsidR="003A22BC" w:rsidRDefault="00957FF2">
                  <w:pPr>
                    <w:jc w:val="center"/>
                    <w:rPr>
                      <w:color w:val="000000"/>
                      <w:lang/>
                    </w:rPr>
                  </w:pPr>
                  <w:r>
                    <w:rPr>
                      <w:color w:val="000000"/>
                      <w:lang/>
                    </w:rPr>
                    <w:t>2</w:t>
                  </w:r>
                </w:p>
              </w:tc>
              <w:tc>
                <w:tcPr>
                  <w:tcW w:w="4599" w:type="dxa"/>
                  <w:tcBorders>
                    <w:left w:val="single" w:sz="4" w:space="0" w:color="000000"/>
                    <w:bottom w:val="single" w:sz="4" w:space="0" w:color="000000"/>
                    <w:right w:val="single" w:sz="4" w:space="0" w:color="000000"/>
                  </w:tcBorders>
                  <w:vAlign w:val="center"/>
                </w:tcPr>
                <w:p w14:paraId="44DD68D7" w14:textId="77777777" w:rsidR="003A22BC" w:rsidRDefault="00957FF2">
                  <w:pPr>
                    <w:rPr>
                      <w:color w:val="000000"/>
                      <w:lang/>
                    </w:rPr>
                  </w:pPr>
                  <w:r>
                    <w:rPr>
                      <w:color w:val="000000"/>
                      <w:lang/>
                    </w:rPr>
                    <w:t>Assembly, folding, delivery, and degradation of proteins during stressful conditions (Narberhaus 2002, Nakamoto and Vigh 2007)</w:t>
                  </w:r>
                </w:p>
              </w:tc>
            </w:tr>
            <w:tr w:rsidR="003A22BC" w14:paraId="165384F6" w14:textId="77777777">
              <w:trPr>
                <w:trHeight w:val="900"/>
              </w:trPr>
              <w:tc>
                <w:tcPr>
                  <w:tcW w:w="2667" w:type="dxa"/>
                  <w:tcBorders>
                    <w:left w:val="single" w:sz="4" w:space="0" w:color="000000"/>
                    <w:bottom w:val="single" w:sz="4" w:space="0" w:color="000000"/>
                    <w:right w:val="single" w:sz="4" w:space="0" w:color="000000"/>
                  </w:tcBorders>
                  <w:vAlign w:val="center"/>
                </w:tcPr>
                <w:p w14:paraId="4C2A99C6" w14:textId="77777777" w:rsidR="003A22BC" w:rsidRDefault="00957FF2">
                  <w:pPr>
                    <w:rPr>
                      <w:lang/>
                    </w:rPr>
                  </w:pPr>
                  <w:r>
                    <w:rPr>
                      <w:lang/>
                    </w:rPr>
                    <w:t>PhoB two-comp. system regulatory protein</w:t>
                  </w:r>
                </w:p>
              </w:tc>
              <w:tc>
                <w:tcPr>
                  <w:tcW w:w="2608" w:type="dxa"/>
                  <w:tcBorders>
                    <w:left w:val="single" w:sz="4" w:space="0" w:color="000000"/>
                    <w:bottom w:val="single" w:sz="4" w:space="0" w:color="000000"/>
                    <w:right w:val="single" w:sz="4" w:space="0" w:color="000000"/>
                  </w:tcBorders>
                  <w:vAlign w:val="center"/>
                </w:tcPr>
                <w:p w14:paraId="195A1BAC" w14:textId="77777777" w:rsidR="003A22BC" w:rsidRDefault="00957FF2">
                  <w:pPr>
                    <w:rPr>
                      <w:lang/>
                    </w:rPr>
                  </w:pPr>
                  <w:r>
                    <w:rPr>
                      <w:lang/>
                    </w:rPr>
                    <w:t>fig|1185660.4.</w:t>
                  </w:r>
                  <w:r>
                    <w:rPr>
                      <w:lang/>
                    </w:rPr>
                    <w:t>peg.880</w:t>
                  </w:r>
                </w:p>
              </w:tc>
              <w:tc>
                <w:tcPr>
                  <w:tcW w:w="1583" w:type="dxa"/>
                  <w:tcBorders>
                    <w:left w:val="single" w:sz="4" w:space="0" w:color="000000"/>
                    <w:bottom w:val="single" w:sz="4" w:space="0" w:color="000000"/>
                    <w:right w:val="single" w:sz="4" w:space="0" w:color="000000"/>
                  </w:tcBorders>
                  <w:vAlign w:val="center"/>
                </w:tcPr>
                <w:p w14:paraId="30E447B0" w14:textId="77777777" w:rsidR="003A22BC" w:rsidRDefault="00957FF2">
                  <w:pPr>
                    <w:jc w:val="center"/>
                    <w:rPr>
                      <w:lang/>
                    </w:rPr>
                  </w:pPr>
                  <w:r>
                    <w:rPr>
                      <w:lang/>
                    </w:rPr>
                    <w:t>18</w:t>
                  </w:r>
                </w:p>
              </w:tc>
              <w:tc>
                <w:tcPr>
                  <w:tcW w:w="1417" w:type="dxa"/>
                  <w:tcBorders>
                    <w:left w:val="single" w:sz="4" w:space="0" w:color="000000"/>
                    <w:bottom w:val="single" w:sz="4" w:space="0" w:color="000000"/>
                    <w:right w:val="single" w:sz="4" w:space="0" w:color="000000"/>
                  </w:tcBorders>
                  <w:vAlign w:val="center"/>
                </w:tcPr>
                <w:p w14:paraId="409EF93D" w14:textId="77777777" w:rsidR="003A22BC" w:rsidRDefault="00957FF2">
                  <w:pPr>
                    <w:jc w:val="center"/>
                    <w:rPr>
                      <w:lang/>
                    </w:rPr>
                  </w:pPr>
                  <w:r>
                    <w:rPr>
                      <w:lang/>
                    </w:rPr>
                    <w:t>28</w:t>
                  </w:r>
                </w:p>
              </w:tc>
              <w:tc>
                <w:tcPr>
                  <w:tcW w:w="4599" w:type="dxa"/>
                  <w:tcBorders>
                    <w:left w:val="single" w:sz="4" w:space="0" w:color="000000"/>
                    <w:bottom w:val="single" w:sz="4" w:space="0" w:color="000000"/>
                    <w:right w:val="single" w:sz="4" w:space="0" w:color="000000"/>
                  </w:tcBorders>
                  <w:vAlign w:val="center"/>
                </w:tcPr>
                <w:p w14:paraId="2DCC6BE2" w14:textId="77777777" w:rsidR="003A22BC" w:rsidRDefault="00957FF2">
                  <w:pPr>
                    <w:rPr>
                      <w:lang/>
                    </w:rPr>
                  </w:pPr>
                  <w:r>
                    <w:rPr>
                      <w:lang/>
                    </w:rPr>
                    <w:t xml:space="preserve">Senses inorganic phosphate to regulate T3SS &amp; T6SS in </w:t>
                  </w:r>
                  <w:r>
                    <w:rPr>
                      <w:i/>
                      <w:iCs/>
                      <w:lang/>
                    </w:rPr>
                    <w:t xml:space="preserve">E. tarda </w:t>
                  </w:r>
                  <w:bookmarkStart w:id="17" w:name="Mendeley_Bookmark_rFjLXGLgHy"/>
                  <w:bookmarkStart w:id="18" w:name="Mendeley_Bookmark_rp6vjW3sAf"/>
                  <w:r>
                    <w:rPr>
                      <w:lang/>
                    </w:rPr>
                    <w:t>(King et al., 2015)</w:t>
                  </w:r>
                  <w:bookmarkStart w:id="19" w:name="__Fieldmark__3336_3187395758"/>
                  <w:bookmarkEnd w:id="17"/>
                  <w:bookmarkEnd w:id="18"/>
                  <w:r>
                    <w:rPr>
                      <w:lang/>
                    </w:rPr>
                    <w:t xml:space="preserve"> </w:t>
                  </w:r>
                  <w:bookmarkEnd w:id="19"/>
                  <w:r>
                    <w:rPr>
                      <w:lang/>
                    </w:rPr>
                    <w:t xml:space="preserve">and virulence genes in </w:t>
                  </w:r>
                  <w:r>
                    <w:rPr>
                      <w:i/>
                      <w:iCs/>
                      <w:lang/>
                    </w:rPr>
                    <w:t xml:space="preserve">V. cholerae </w:t>
                  </w:r>
                  <w:bookmarkStart w:id="20" w:name="Mendeley_Bookmark_T8o7jgIYWo"/>
                  <w:bookmarkStart w:id="21" w:name="Mendeley_Bookmark_f8YALcXGwI"/>
                  <w:r>
                    <w:rPr>
                      <w:lang/>
                    </w:rPr>
                    <w:t>(King et al., 2015)</w:t>
                  </w:r>
                  <w:bookmarkStart w:id="22" w:name="__Fieldmark__3344_3187395758"/>
                  <w:bookmarkEnd w:id="20"/>
                  <w:bookmarkEnd w:id="21"/>
                  <w:r>
                    <w:rPr>
                      <w:lang/>
                    </w:rPr>
                    <w:t>.</w:t>
                  </w:r>
                  <w:bookmarkEnd w:id="22"/>
                </w:p>
              </w:tc>
            </w:tr>
            <w:tr w:rsidR="003A22BC" w14:paraId="586170B6" w14:textId="77777777">
              <w:trPr>
                <w:trHeight w:val="900"/>
              </w:trPr>
              <w:tc>
                <w:tcPr>
                  <w:tcW w:w="2667" w:type="dxa"/>
                  <w:tcBorders>
                    <w:top w:val="single" w:sz="4" w:space="0" w:color="000000"/>
                    <w:left w:val="single" w:sz="4" w:space="0" w:color="000000"/>
                    <w:bottom w:val="single" w:sz="4" w:space="0" w:color="000000"/>
                    <w:right w:val="single" w:sz="4" w:space="0" w:color="000000"/>
                  </w:tcBorders>
                  <w:vAlign w:val="center"/>
                </w:tcPr>
                <w:p w14:paraId="1D208C43" w14:textId="77777777" w:rsidR="003A22BC" w:rsidRDefault="00957FF2">
                  <w:pPr>
                    <w:rPr>
                      <w:lang/>
                    </w:rPr>
                  </w:pPr>
                  <w:r>
                    <w:rPr>
                      <w:lang/>
                    </w:rPr>
                    <w:t>Putative signal protein with HD-GYP domain</w:t>
                  </w:r>
                </w:p>
              </w:tc>
              <w:tc>
                <w:tcPr>
                  <w:tcW w:w="2608" w:type="dxa"/>
                  <w:tcBorders>
                    <w:top w:val="single" w:sz="4" w:space="0" w:color="000000"/>
                    <w:left w:val="single" w:sz="4" w:space="0" w:color="000000"/>
                    <w:bottom w:val="single" w:sz="4" w:space="0" w:color="000000"/>
                    <w:right w:val="single" w:sz="4" w:space="0" w:color="000000"/>
                  </w:tcBorders>
                  <w:vAlign w:val="center"/>
                </w:tcPr>
                <w:p w14:paraId="04B1B757" w14:textId="77777777" w:rsidR="003A22BC" w:rsidRDefault="00957FF2">
                  <w:pPr>
                    <w:rPr>
                      <w:lang/>
                    </w:rPr>
                  </w:pPr>
                  <w:r>
                    <w:rPr>
                      <w:lang/>
                    </w:rPr>
                    <w:t>fig|1185660.4.peg.531</w:t>
                  </w:r>
                </w:p>
              </w:tc>
              <w:tc>
                <w:tcPr>
                  <w:tcW w:w="1583" w:type="dxa"/>
                  <w:tcBorders>
                    <w:top w:val="single" w:sz="4" w:space="0" w:color="000000"/>
                    <w:left w:val="single" w:sz="4" w:space="0" w:color="000000"/>
                    <w:bottom w:val="single" w:sz="4" w:space="0" w:color="000000"/>
                    <w:right w:val="single" w:sz="4" w:space="0" w:color="000000"/>
                  </w:tcBorders>
                  <w:vAlign w:val="center"/>
                </w:tcPr>
                <w:p w14:paraId="30D345A5" w14:textId="77777777" w:rsidR="003A22BC" w:rsidRDefault="00957FF2">
                  <w:pPr>
                    <w:jc w:val="center"/>
                    <w:rPr>
                      <w:lang/>
                    </w:rPr>
                  </w:pPr>
                  <w:r>
                    <w:rPr>
                      <w:lang/>
                    </w:rPr>
                    <w:t>4</w:t>
                  </w:r>
                </w:p>
              </w:tc>
              <w:tc>
                <w:tcPr>
                  <w:tcW w:w="1417" w:type="dxa"/>
                  <w:tcBorders>
                    <w:top w:val="single" w:sz="4" w:space="0" w:color="000000"/>
                    <w:left w:val="single" w:sz="4" w:space="0" w:color="000000"/>
                    <w:bottom w:val="single" w:sz="4" w:space="0" w:color="000000"/>
                    <w:right w:val="single" w:sz="4" w:space="0" w:color="000000"/>
                  </w:tcBorders>
                  <w:vAlign w:val="center"/>
                </w:tcPr>
                <w:p w14:paraId="342397E5" w14:textId="77777777" w:rsidR="003A22BC" w:rsidRDefault="00957FF2">
                  <w:pPr>
                    <w:jc w:val="center"/>
                    <w:rPr>
                      <w:lang/>
                    </w:rPr>
                  </w:pPr>
                  <w:r>
                    <w:rPr>
                      <w:lang/>
                    </w:rPr>
                    <w:t>4</w:t>
                  </w:r>
                </w:p>
              </w:tc>
              <w:tc>
                <w:tcPr>
                  <w:tcW w:w="4599" w:type="dxa"/>
                  <w:tcBorders>
                    <w:top w:val="single" w:sz="4" w:space="0" w:color="000000"/>
                    <w:left w:val="single" w:sz="4" w:space="0" w:color="000000"/>
                    <w:bottom w:val="single" w:sz="4" w:space="0" w:color="000000"/>
                    <w:right w:val="single" w:sz="4" w:space="0" w:color="000000"/>
                  </w:tcBorders>
                  <w:vAlign w:val="center"/>
                </w:tcPr>
                <w:p w14:paraId="5486F492" w14:textId="77777777" w:rsidR="003A22BC" w:rsidRDefault="00957FF2">
                  <w:pPr>
                    <w:rPr>
                      <w:lang/>
                    </w:rPr>
                  </w:pPr>
                  <w:r>
                    <w:rPr>
                      <w:lang/>
                    </w:rPr>
                    <w:t xml:space="preserve">Possible indirect regulation of genes through second messengers; virulence; stress response </w:t>
                  </w:r>
                  <w:bookmarkStart w:id="23" w:name="Mendeley_Bookmark_IU7Rtyk2K3"/>
                  <w:bookmarkStart w:id="24" w:name="Mendeley_Bookmark_rd8trXTyoH"/>
                  <w:r>
                    <w:rPr>
                      <w:lang/>
                    </w:rPr>
                    <w:t>(Pratt, Ismail, &amp; Camilli, 2010)</w:t>
                  </w:r>
                  <w:bookmarkStart w:id="25" w:name="__Fieldmark__3358_3187395758"/>
                  <w:bookmarkEnd w:id="23"/>
                  <w:bookmarkEnd w:id="24"/>
                  <w:r>
                    <w:rPr>
                      <w:lang/>
                    </w:rPr>
                    <w:t>.</w:t>
                  </w:r>
                  <w:bookmarkEnd w:id="25"/>
                </w:p>
              </w:tc>
            </w:tr>
            <w:tr w:rsidR="003A22BC" w14:paraId="6E9EA0D9" w14:textId="77777777">
              <w:trPr>
                <w:trHeight w:val="640"/>
              </w:trPr>
              <w:tc>
                <w:tcPr>
                  <w:tcW w:w="2667" w:type="dxa"/>
                  <w:tcBorders>
                    <w:top w:val="single" w:sz="4" w:space="0" w:color="000000"/>
                    <w:left w:val="single" w:sz="4" w:space="0" w:color="000000"/>
                    <w:bottom w:val="single" w:sz="4" w:space="0" w:color="000000"/>
                    <w:right w:val="single" w:sz="4" w:space="0" w:color="000000"/>
                  </w:tcBorders>
                  <w:vAlign w:val="center"/>
                </w:tcPr>
                <w:p w14:paraId="2D2DD0A2" w14:textId="77777777" w:rsidR="003A22BC" w:rsidRDefault="00957FF2">
                  <w:pPr>
                    <w:rPr>
                      <w:lang/>
                    </w:rPr>
                  </w:pPr>
                  <w:r>
                    <w:rPr>
                      <w:lang/>
                    </w:rPr>
                    <w:t>Methyl-accepting chemotaxis protein</w:t>
                  </w:r>
                </w:p>
              </w:tc>
              <w:tc>
                <w:tcPr>
                  <w:tcW w:w="2608" w:type="dxa"/>
                  <w:tcBorders>
                    <w:top w:val="single" w:sz="4" w:space="0" w:color="000000"/>
                    <w:left w:val="single" w:sz="4" w:space="0" w:color="000000"/>
                    <w:bottom w:val="single" w:sz="4" w:space="0" w:color="000000"/>
                    <w:right w:val="single" w:sz="4" w:space="0" w:color="000000"/>
                  </w:tcBorders>
                  <w:vAlign w:val="center"/>
                </w:tcPr>
                <w:p w14:paraId="51A99A83" w14:textId="77777777" w:rsidR="003A22BC" w:rsidRDefault="00957FF2">
                  <w:pPr>
                    <w:rPr>
                      <w:lang/>
                    </w:rPr>
                  </w:pPr>
                  <w:r>
                    <w:rPr>
                      <w:lang/>
                    </w:rPr>
                    <w:t>fig|1185660.4.peg.3088</w:t>
                  </w:r>
                </w:p>
              </w:tc>
              <w:tc>
                <w:tcPr>
                  <w:tcW w:w="1583" w:type="dxa"/>
                  <w:tcBorders>
                    <w:top w:val="single" w:sz="4" w:space="0" w:color="000000"/>
                    <w:left w:val="single" w:sz="4" w:space="0" w:color="000000"/>
                    <w:bottom w:val="single" w:sz="4" w:space="0" w:color="000000"/>
                    <w:right w:val="single" w:sz="4" w:space="0" w:color="000000"/>
                  </w:tcBorders>
                  <w:vAlign w:val="center"/>
                </w:tcPr>
                <w:p w14:paraId="72996E40" w14:textId="77777777" w:rsidR="003A22BC" w:rsidRDefault="00957FF2">
                  <w:pPr>
                    <w:jc w:val="center"/>
                    <w:rPr>
                      <w:lang/>
                    </w:rPr>
                  </w:pPr>
                  <w:r>
                    <w:rPr>
                      <w:lang/>
                    </w:rPr>
                    <w:t>15</w:t>
                  </w:r>
                </w:p>
              </w:tc>
              <w:tc>
                <w:tcPr>
                  <w:tcW w:w="1417" w:type="dxa"/>
                  <w:tcBorders>
                    <w:top w:val="single" w:sz="4" w:space="0" w:color="000000"/>
                    <w:left w:val="single" w:sz="4" w:space="0" w:color="000000"/>
                    <w:bottom w:val="single" w:sz="4" w:space="0" w:color="000000"/>
                    <w:right w:val="single" w:sz="4" w:space="0" w:color="000000"/>
                  </w:tcBorders>
                  <w:vAlign w:val="center"/>
                </w:tcPr>
                <w:p w14:paraId="03278537" w14:textId="77777777" w:rsidR="003A22BC" w:rsidRDefault="00957FF2">
                  <w:pPr>
                    <w:jc w:val="center"/>
                    <w:rPr>
                      <w:lang/>
                    </w:rPr>
                  </w:pPr>
                  <w:r>
                    <w:rPr>
                      <w:lang/>
                    </w:rPr>
                    <w:t>9</w:t>
                  </w:r>
                </w:p>
              </w:tc>
              <w:tc>
                <w:tcPr>
                  <w:tcW w:w="4599" w:type="dxa"/>
                  <w:tcBorders>
                    <w:top w:val="single" w:sz="4" w:space="0" w:color="000000"/>
                    <w:left w:val="single" w:sz="4" w:space="0" w:color="000000"/>
                    <w:bottom w:val="single" w:sz="4" w:space="0" w:color="000000"/>
                    <w:right w:val="single" w:sz="4" w:space="0" w:color="000000"/>
                  </w:tcBorders>
                  <w:vAlign w:val="center"/>
                </w:tcPr>
                <w:p w14:paraId="1E2E3B1E" w14:textId="77777777" w:rsidR="003A22BC" w:rsidRDefault="00957FF2">
                  <w:pPr>
                    <w:rPr>
                      <w:lang/>
                    </w:rPr>
                  </w:pPr>
                  <w:r>
                    <w:rPr>
                      <w:lang/>
                    </w:rPr>
                    <w:t xml:space="preserve">Senses chemical attractants; colonization </w:t>
                  </w:r>
                  <w:bookmarkStart w:id="26" w:name="Mendeley_Bookmark_9rRVxos93g"/>
                  <w:r>
                    <w:rPr>
                      <w:lang/>
                    </w:rPr>
                    <w:t>(Chakraborty, Sivaraman, Leung, &amp; Mok, 2011)</w:t>
                  </w:r>
                  <w:bookmarkStart w:id="27" w:name="__Fieldmark__3372_3187395758"/>
                  <w:bookmarkEnd w:id="26"/>
                  <w:r>
                    <w:rPr>
                      <w:lang/>
                    </w:rPr>
                    <w:t>.</w:t>
                  </w:r>
                  <w:bookmarkEnd w:id="27"/>
                </w:p>
              </w:tc>
            </w:tr>
            <w:tr w:rsidR="003A22BC" w14:paraId="35A1748E" w14:textId="77777777">
              <w:trPr>
                <w:trHeight w:val="900"/>
              </w:trPr>
              <w:tc>
                <w:tcPr>
                  <w:tcW w:w="2667" w:type="dxa"/>
                  <w:tcBorders>
                    <w:top w:val="single" w:sz="4" w:space="0" w:color="000000"/>
                    <w:left w:val="single" w:sz="4" w:space="0" w:color="000000"/>
                    <w:bottom w:val="single" w:sz="4" w:space="0" w:color="000000"/>
                    <w:right w:val="single" w:sz="4" w:space="0" w:color="000000"/>
                  </w:tcBorders>
                  <w:vAlign w:val="center"/>
                </w:tcPr>
                <w:p w14:paraId="568DA974" w14:textId="77777777" w:rsidR="003A22BC" w:rsidRDefault="00957FF2">
                  <w:pPr>
                    <w:rPr>
                      <w:lang/>
                    </w:rPr>
                  </w:pPr>
                  <w:r>
                    <w:rPr>
                      <w:lang/>
                    </w:rPr>
                    <w:t>RNA pol. sigma factor for flagellar operon FliA</w:t>
                  </w:r>
                </w:p>
              </w:tc>
              <w:tc>
                <w:tcPr>
                  <w:tcW w:w="2608" w:type="dxa"/>
                  <w:tcBorders>
                    <w:top w:val="single" w:sz="4" w:space="0" w:color="000000"/>
                    <w:left w:val="single" w:sz="4" w:space="0" w:color="000000"/>
                    <w:bottom w:val="single" w:sz="4" w:space="0" w:color="000000"/>
                    <w:right w:val="single" w:sz="4" w:space="0" w:color="000000"/>
                  </w:tcBorders>
                  <w:vAlign w:val="center"/>
                </w:tcPr>
                <w:p w14:paraId="13AAB477" w14:textId="77777777" w:rsidR="003A22BC" w:rsidRDefault="00957FF2">
                  <w:pPr>
                    <w:rPr>
                      <w:lang/>
                    </w:rPr>
                  </w:pPr>
                  <w:r>
                    <w:rPr>
                      <w:lang/>
                    </w:rPr>
                    <w:t>fig|1185660.4.peg.4580</w:t>
                  </w:r>
                </w:p>
              </w:tc>
              <w:tc>
                <w:tcPr>
                  <w:tcW w:w="1583" w:type="dxa"/>
                  <w:tcBorders>
                    <w:top w:val="single" w:sz="4" w:space="0" w:color="000000"/>
                    <w:left w:val="single" w:sz="4" w:space="0" w:color="000000"/>
                    <w:bottom w:val="single" w:sz="4" w:space="0" w:color="000000"/>
                    <w:right w:val="single" w:sz="4" w:space="0" w:color="000000"/>
                  </w:tcBorders>
                  <w:vAlign w:val="center"/>
                </w:tcPr>
                <w:p w14:paraId="16D9ED3C" w14:textId="77777777" w:rsidR="003A22BC" w:rsidRDefault="00957FF2">
                  <w:pPr>
                    <w:jc w:val="center"/>
                    <w:rPr>
                      <w:lang/>
                    </w:rPr>
                  </w:pPr>
                  <w:r>
                    <w:rPr>
                      <w:lang/>
                    </w:rPr>
                    <w:t>81</w:t>
                  </w:r>
                </w:p>
              </w:tc>
              <w:tc>
                <w:tcPr>
                  <w:tcW w:w="1417" w:type="dxa"/>
                  <w:tcBorders>
                    <w:top w:val="single" w:sz="4" w:space="0" w:color="000000"/>
                    <w:left w:val="single" w:sz="4" w:space="0" w:color="000000"/>
                    <w:bottom w:val="single" w:sz="4" w:space="0" w:color="000000"/>
                    <w:right w:val="single" w:sz="4" w:space="0" w:color="000000"/>
                  </w:tcBorders>
                  <w:vAlign w:val="center"/>
                </w:tcPr>
                <w:p w14:paraId="416ECC85" w14:textId="77777777" w:rsidR="003A22BC" w:rsidRDefault="00957FF2">
                  <w:pPr>
                    <w:jc w:val="center"/>
                    <w:rPr>
                      <w:lang/>
                    </w:rPr>
                  </w:pPr>
                  <w:r>
                    <w:rPr>
                      <w:lang/>
                    </w:rPr>
                    <w:t>54</w:t>
                  </w:r>
                </w:p>
              </w:tc>
              <w:tc>
                <w:tcPr>
                  <w:tcW w:w="4599" w:type="dxa"/>
                  <w:tcBorders>
                    <w:top w:val="single" w:sz="4" w:space="0" w:color="000000"/>
                    <w:left w:val="single" w:sz="4" w:space="0" w:color="000000"/>
                    <w:bottom w:val="single" w:sz="4" w:space="0" w:color="000000"/>
                    <w:right w:val="single" w:sz="4" w:space="0" w:color="000000"/>
                  </w:tcBorders>
                  <w:vAlign w:val="center"/>
                </w:tcPr>
                <w:p w14:paraId="52A8ED39" w14:textId="77777777" w:rsidR="003A22BC" w:rsidRDefault="00957FF2">
                  <w:pPr>
                    <w:rPr>
                      <w:lang/>
                    </w:rPr>
                  </w:pPr>
                  <w:r>
                    <w:rPr>
                      <w:lang/>
                    </w:rPr>
                    <w:t xml:space="preserve">Flagellar biosynthesis, virulence, biofilms, adherence, pectate lyases </w:t>
                  </w:r>
                  <w:bookmarkStart w:id="28" w:name="Mendeley_Bookmark_ZdZum6PANC"/>
                  <w:bookmarkStart w:id="29" w:name="Mendeley_Bookmark_JzNPLuvWgk"/>
                  <w:r>
                    <w:rPr>
                      <w:lang/>
                    </w:rPr>
                    <w:t>(Fuchs et al., 2010</w:t>
                  </w:r>
                  <w:r>
                    <w:rPr>
                      <w:lang/>
                    </w:rPr>
                    <w:t>; Wilson et al., 2007)</w:t>
                  </w:r>
                  <w:bookmarkStart w:id="30" w:name="__Fieldmark__3386_3187395758"/>
                  <w:bookmarkEnd w:id="28"/>
                  <w:bookmarkEnd w:id="29"/>
                  <w:r>
                    <w:rPr>
                      <w:lang/>
                    </w:rPr>
                    <w:t>.</w:t>
                  </w:r>
                  <w:bookmarkEnd w:id="30"/>
                </w:p>
              </w:tc>
            </w:tr>
            <w:tr w:rsidR="003A22BC" w14:paraId="369BF862" w14:textId="77777777">
              <w:trPr>
                <w:trHeight w:val="640"/>
              </w:trPr>
              <w:tc>
                <w:tcPr>
                  <w:tcW w:w="2667" w:type="dxa"/>
                  <w:tcBorders>
                    <w:top w:val="single" w:sz="4" w:space="0" w:color="000000"/>
                    <w:left w:val="single" w:sz="4" w:space="0" w:color="000000"/>
                    <w:bottom w:val="single" w:sz="4" w:space="0" w:color="000000"/>
                    <w:right w:val="single" w:sz="4" w:space="0" w:color="000000"/>
                  </w:tcBorders>
                  <w:vAlign w:val="center"/>
                </w:tcPr>
                <w:p w14:paraId="0E01450E" w14:textId="77777777" w:rsidR="003A22BC" w:rsidRDefault="00957FF2">
                  <w:pPr>
                    <w:rPr>
                      <w:lang/>
                    </w:rPr>
                  </w:pPr>
                  <w:r>
                    <w:rPr>
                      <w:lang/>
                    </w:rPr>
                    <w:t>Putative regulatory protein of a two-comp. system</w:t>
                  </w:r>
                </w:p>
              </w:tc>
              <w:tc>
                <w:tcPr>
                  <w:tcW w:w="2608" w:type="dxa"/>
                  <w:tcBorders>
                    <w:top w:val="single" w:sz="4" w:space="0" w:color="000000"/>
                    <w:left w:val="single" w:sz="4" w:space="0" w:color="000000"/>
                    <w:bottom w:val="single" w:sz="4" w:space="0" w:color="000000"/>
                    <w:right w:val="single" w:sz="4" w:space="0" w:color="000000"/>
                  </w:tcBorders>
                  <w:vAlign w:val="center"/>
                </w:tcPr>
                <w:p w14:paraId="61C2D8EA" w14:textId="77777777" w:rsidR="003A22BC" w:rsidRDefault="00957FF2">
                  <w:pPr>
                    <w:rPr>
                      <w:lang/>
                    </w:rPr>
                  </w:pPr>
                  <w:r>
                    <w:rPr>
                      <w:lang/>
                    </w:rPr>
                    <w:t>fig|1185660.4.peg.3529</w:t>
                  </w:r>
                </w:p>
              </w:tc>
              <w:tc>
                <w:tcPr>
                  <w:tcW w:w="1583" w:type="dxa"/>
                  <w:tcBorders>
                    <w:top w:val="single" w:sz="4" w:space="0" w:color="000000"/>
                    <w:left w:val="single" w:sz="4" w:space="0" w:color="000000"/>
                    <w:bottom w:val="single" w:sz="4" w:space="0" w:color="000000"/>
                    <w:right w:val="single" w:sz="4" w:space="0" w:color="000000"/>
                  </w:tcBorders>
                  <w:vAlign w:val="center"/>
                </w:tcPr>
                <w:p w14:paraId="0B087702" w14:textId="77777777" w:rsidR="003A22BC" w:rsidRDefault="00957FF2">
                  <w:pPr>
                    <w:jc w:val="center"/>
                    <w:rPr>
                      <w:lang/>
                    </w:rPr>
                  </w:pPr>
                  <w:r>
                    <w:rPr>
                      <w:lang/>
                    </w:rPr>
                    <w:t>11</w:t>
                  </w:r>
                </w:p>
              </w:tc>
              <w:tc>
                <w:tcPr>
                  <w:tcW w:w="1417" w:type="dxa"/>
                  <w:tcBorders>
                    <w:top w:val="single" w:sz="4" w:space="0" w:color="000000"/>
                    <w:left w:val="single" w:sz="4" w:space="0" w:color="000000"/>
                    <w:bottom w:val="single" w:sz="4" w:space="0" w:color="000000"/>
                    <w:right w:val="single" w:sz="4" w:space="0" w:color="000000"/>
                  </w:tcBorders>
                  <w:vAlign w:val="center"/>
                </w:tcPr>
                <w:p w14:paraId="5ECA2DB7" w14:textId="77777777" w:rsidR="003A22BC" w:rsidRDefault="00957FF2">
                  <w:pPr>
                    <w:jc w:val="center"/>
                    <w:rPr>
                      <w:lang/>
                    </w:rPr>
                  </w:pPr>
                  <w:r>
                    <w:rPr>
                      <w:lang/>
                    </w:rPr>
                    <w:t>5</w:t>
                  </w:r>
                </w:p>
              </w:tc>
              <w:tc>
                <w:tcPr>
                  <w:tcW w:w="4599" w:type="dxa"/>
                  <w:tcBorders>
                    <w:top w:val="single" w:sz="4" w:space="0" w:color="000000"/>
                    <w:left w:val="single" w:sz="4" w:space="0" w:color="000000"/>
                    <w:bottom w:val="single" w:sz="4" w:space="0" w:color="000000"/>
                    <w:right w:val="single" w:sz="4" w:space="0" w:color="000000"/>
                  </w:tcBorders>
                  <w:vAlign w:val="center"/>
                </w:tcPr>
                <w:p w14:paraId="0D48A2D8" w14:textId="77777777" w:rsidR="003A22BC" w:rsidRDefault="00957FF2">
                  <w:pPr>
                    <w:rPr>
                      <w:lang/>
                    </w:rPr>
                  </w:pPr>
                  <w:r>
                    <w:rPr>
                      <w:lang/>
                    </w:rPr>
                    <w:t xml:space="preserve">Chemotaxis, adhesion, invasion, flagellar rotation </w:t>
                  </w:r>
                  <w:bookmarkStart w:id="31" w:name="Mendeley_Bookmark_Ob7futRicy"/>
                  <w:bookmarkStart w:id="32" w:name="Mendeley_Bookmark_OH1qt9yAhV"/>
                  <w:r>
                    <w:rPr>
                      <w:lang/>
                    </w:rPr>
                    <w:t>(Z. Li et al., 2014)</w:t>
                  </w:r>
                  <w:bookmarkStart w:id="33" w:name="__Fieldmark__3400_3187395758"/>
                  <w:bookmarkEnd w:id="31"/>
                  <w:bookmarkEnd w:id="32"/>
                  <w:r>
                    <w:rPr>
                      <w:lang/>
                    </w:rPr>
                    <w:t>.</w:t>
                  </w:r>
                  <w:bookmarkEnd w:id="33"/>
                </w:p>
              </w:tc>
            </w:tr>
            <w:tr w:rsidR="003A22BC" w14:paraId="18A921BC" w14:textId="77777777">
              <w:trPr>
                <w:trHeight w:val="640"/>
              </w:trPr>
              <w:tc>
                <w:tcPr>
                  <w:tcW w:w="12874" w:type="dxa"/>
                  <w:gridSpan w:val="5"/>
                  <w:tcBorders>
                    <w:top w:val="single" w:sz="4" w:space="0" w:color="000000"/>
                    <w:left w:val="single" w:sz="4" w:space="0" w:color="000000"/>
                    <w:bottom w:val="single" w:sz="4" w:space="0" w:color="000000"/>
                    <w:right w:val="single" w:sz="4" w:space="0" w:color="000000"/>
                  </w:tcBorders>
                  <w:vAlign w:val="center"/>
                </w:tcPr>
                <w:p w14:paraId="18949F1F" w14:textId="77777777" w:rsidR="003A22BC" w:rsidRDefault="00957FF2">
                  <w:pPr>
                    <w:rPr>
                      <w:lang/>
                    </w:rPr>
                  </w:pPr>
                  <w:r>
                    <w:rPr>
                      <w:b/>
                      <w:lang/>
                    </w:rPr>
                    <w:t>Table S11.</w:t>
                  </w:r>
                  <w:r>
                    <w:rPr>
                      <w:lang/>
                    </w:rPr>
                    <w:t xml:space="preserve"> Upregulated genes validated through qRT-PCR. The relative expression ratio was calculated using </w:t>
                  </w:r>
                  <w:r>
                    <w:rPr>
                      <w:i/>
                      <w:lang/>
                    </w:rPr>
                    <w:t>gyrB</w:t>
                  </w:r>
                  <w:r>
                    <w:rPr>
                      <w:lang/>
                    </w:rPr>
                    <w:t xml:space="preserve"> as an endogenous control in both biological replicates; the number indicates how many times more the unknown gene is being expressed with respect to the e</w:t>
                  </w:r>
                  <w:r>
                    <w:rPr>
                      <w:lang/>
                    </w:rPr>
                    <w:t>ndogenous control. Significance values were calculated using a permutations test.</w:t>
                  </w:r>
                </w:p>
              </w:tc>
            </w:tr>
          </w:tbl>
          <w:p w14:paraId="2B7FE8FD" w14:textId="77777777" w:rsidR="003A22BC" w:rsidRDefault="003A22BC">
            <w:pPr>
              <w:jc w:val="both"/>
              <w:rPr>
                <w:lang/>
              </w:rPr>
            </w:pPr>
          </w:p>
        </w:tc>
      </w:tr>
    </w:tbl>
    <w:p w14:paraId="2FC67E84" w14:textId="77777777" w:rsidR="003A22BC" w:rsidRDefault="003A22BC">
      <w:pPr>
        <w:jc w:val="both"/>
        <w:rPr>
          <w:lang/>
        </w:rPr>
      </w:pPr>
    </w:p>
    <w:sectPr w:rsidR="003A22BC">
      <w:pgSz w:w="15840" w:h="12240" w:orient="landscape"/>
      <w:pgMar w:top="1134" w:right="1134" w:bottom="1134" w:left="1134"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2"/>
    <w:family w:val="auto"/>
    <w:pitch w:val="default"/>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charset w:val="01"/>
    <w:family w:val="roman"/>
    <w:pitch w:val="variable"/>
  </w:font>
  <w:font w:name="Liberation Sans">
    <w:altName w:val="Arial"/>
    <w:charset w:val="01"/>
    <w:family w:val="swiss"/>
    <w:pitch w:val="variable"/>
  </w:font>
  <w:font w:name="Noto Sans CJK SC">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C26558"/>
    <w:multiLevelType w:val="multilevel"/>
    <w:tmpl w:val="4F00204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693E3723"/>
    <w:multiLevelType w:val="multilevel"/>
    <w:tmpl w:val="10FCF07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9"/>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2BC"/>
    <w:rsid w:val="003A22BC"/>
    <w:rsid w:val="00957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DC760"/>
  <w15:docId w15:val="{DCE5CA4B-AA10-4C20-A92B-A376DF98E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oto Serif CJK SC" w:hAnsi="Liberation Serif" w:cs="Lohit Devanagari"/>
        <w:kern w:val="2"/>
        <w:sz w:val="24"/>
        <w:szCs w:val="24"/>
        <w:lang w:val="es-CO"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Pr>
      <w:rFonts w:ascii="OpenSymbol" w:eastAsia="OpenSymbol" w:hAnsi="OpenSymbol" w:cs="OpenSymbol"/>
    </w:rPr>
  </w:style>
  <w:style w:type="character" w:styleId="Hyperlink">
    <w:name w:val="Hyperlink"/>
    <w:basedOn w:val="DefaultParagraphFont"/>
    <w:rPr>
      <w:color w:val="0000FF"/>
      <w:u w:val="single"/>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TableContents">
    <w:name w:val="Table Contents"/>
    <w:basedOn w:val="Normal"/>
    <w:qFormat/>
    <w:pPr>
      <w:suppressLineNumbers/>
    </w:pPr>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github.com/davidoctaviobotero/Xpm_metabolic_model/blob/master/Maps/Xpm-Xanthan_biosynthesis_map.json"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github.com/davidoctaviobotero/Xpm_metabolic_model/blob/master/Maps/Xpm-Aminoacid_map.json"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github.com/davidoctaviobotero/Xpm_metabolic_model/blob/master/Maps/Xpm_Central_metabolism_map.json" TargetMode="External"/><Relationship Id="rId11" Type="http://schemas.openxmlformats.org/officeDocument/2006/relationships/hyperlink" Target="https://github.com/davidoctaviobotero/Xpm_metabolic_model/blob/master/Models/Xam_rpfCGH_CSM.mat" TargetMode="External"/><Relationship Id="rId5" Type="http://schemas.openxmlformats.org/officeDocument/2006/relationships/hyperlink" Target="https://github.com/davidoctaviobotero/Xpm_metabolic_model" TargetMode="External"/><Relationship Id="rId15" Type="http://schemas.openxmlformats.org/officeDocument/2006/relationships/image" Target="media/image4.tif"/><Relationship Id="rId10" Type="http://schemas.openxmlformats.org/officeDocument/2006/relationships/hyperlink" Target="https://github.com/davidoctaviobotero/Xpm_metabolic_model/blob/master/Models/Xam_void_CSM.ma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github.com/davidoctaviobotero/Xpm_metabolic_model/blob/master/Models/Xam_Biomass%26Xanthan(completed_mar15)_model.json"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1172</Words>
  <Characters>6683</Characters>
  <Application>Microsoft Office Word</Application>
  <DocSecurity>0</DocSecurity>
  <Lines>55</Lines>
  <Paragraphs>15</Paragraphs>
  <ScaleCrop>false</ScaleCrop>
  <Company/>
  <LinksUpToDate>false</LinksUpToDate>
  <CharactersWithSpaces>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dc:description/>
  <cp:lastModifiedBy>Frontiers Media SA</cp:lastModifiedBy>
  <cp:revision>2</cp:revision>
  <dcterms:created xsi:type="dcterms:W3CDTF">2020-08-05T08:24:00Z</dcterms:created>
  <dcterms:modified xsi:type="dcterms:W3CDTF">2020-08-05T08:24:00Z</dcterms:modified>
  <dc:language>es-CO</dc:language>
</cp:coreProperties>
</file>