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B76DBE" w:rsidRDefault="00654E8F" w:rsidP="0001436A">
      <w:pPr>
        <w:pStyle w:val="SupplementaryMaterial"/>
        <w:rPr>
          <w:b w:val="0"/>
        </w:rPr>
      </w:pPr>
      <w:r w:rsidRPr="00B76DBE">
        <w:t>Supplementary Material</w:t>
      </w:r>
    </w:p>
    <w:p w14:paraId="320DE626" w14:textId="6C74BD5B" w:rsidR="00FA1636" w:rsidRPr="00B76DBE" w:rsidRDefault="00FA1636" w:rsidP="00FA1636">
      <w:pPr>
        <w:spacing w:before="240" w:line="276" w:lineRule="auto"/>
      </w:pPr>
    </w:p>
    <w:p w14:paraId="542BAC3F" w14:textId="704D63A5" w:rsidR="00FA1636" w:rsidRPr="00B76DBE" w:rsidRDefault="00A55B55" w:rsidP="00FA1636">
      <w:pPr>
        <w:spacing w:before="240" w:after="480"/>
        <w:jc w:val="center"/>
        <w:rPr>
          <w:rFonts w:cs="Times New Roman"/>
          <w:b/>
          <w:sz w:val="32"/>
          <w:szCs w:val="32"/>
        </w:rPr>
      </w:pPr>
      <w:r w:rsidRPr="00B76DBE">
        <w:rPr>
          <w:rFonts w:cs="Times New Roman"/>
          <w:b/>
          <w:i/>
          <w:sz w:val="32"/>
          <w:szCs w:val="32"/>
        </w:rPr>
        <w:t>Staphylococcus aureus</w:t>
      </w:r>
      <w:r w:rsidRPr="00B76DBE">
        <w:rPr>
          <w:rFonts w:cs="Times New Roman"/>
          <w:b/>
          <w:sz w:val="32"/>
          <w:szCs w:val="32"/>
        </w:rPr>
        <w:t xml:space="preserve"> alpha-toxin limits type 1 while fostering type 3 immune responses</w:t>
      </w:r>
    </w:p>
    <w:p w14:paraId="2A7BDA5C" w14:textId="7DA69C1E" w:rsidR="00FA1636" w:rsidRPr="00B76DBE" w:rsidRDefault="00FC17F5" w:rsidP="00FA1636">
      <w:pPr>
        <w:spacing w:before="240"/>
        <w:jc w:val="both"/>
        <w:rPr>
          <w:rFonts w:cs="Times New Roman"/>
          <w:b/>
          <w:bCs/>
          <w:szCs w:val="24"/>
        </w:rPr>
      </w:pPr>
      <w:r w:rsidRPr="00B76DBE">
        <w:rPr>
          <w:rFonts w:cs="Times New Roman"/>
          <w:b/>
          <w:szCs w:val="24"/>
        </w:rPr>
        <w:t xml:space="preserve">Agnes Bonifacius, Oliver Goldmann, Stefan </w:t>
      </w:r>
      <w:proofErr w:type="spellStart"/>
      <w:r w:rsidRPr="00B76DBE">
        <w:rPr>
          <w:rFonts w:cs="Times New Roman"/>
          <w:b/>
          <w:szCs w:val="24"/>
        </w:rPr>
        <w:t>Floess</w:t>
      </w:r>
      <w:proofErr w:type="spellEnd"/>
      <w:r w:rsidRPr="00B76DBE">
        <w:rPr>
          <w:rFonts w:cs="Times New Roman"/>
          <w:b/>
          <w:szCs w:val="24"/>
        </w:rPr>
        <w:t xml:space="preserve">, Silva </w:t>
      </w:r>
      <w:proofErr w:type="spellStart"/>
      <w:r w:rsidRPr="00B76DBE">
        <w:rPr>
          <w:rFonts w:cs="Times New Roman"/>
          <w:b/>
          <w:szCs w:val="24"/>
        </w:rPr>
        <w:t>Holtfreter</w:t>
      </w:r>
      <w:proofErr w:type="spellEnd"/>
      <w:r w:rsidRPr="00B76DBE">
        <w:rPr>
          <w:rFonts w:cs="Times New Roman"/>
          <w:b/>
          <w:szCs w:val="24"/>
        </w:rPr>
        <w:t xml:space="preserve">, </w:t>
      </w:r>
      <w:r w:rsidR="00107A17" w:rsidRPr="00B76DBE">
        <w:rPr>
          <w:rFonts w:cs="Times New Roman"/>
          <w:b/>
          <w:szCs w:val="24"/>
        </w:rPr>
        <w:t xml:space="preserve">Philippe A. Robert, </w:t>
      </w:r>
      <w:r w:rsidRPr="00B76DBE">
        <w:rPr>
          <w:rFonts w:cs="Times New Roman"/>
          <w:b/>
          <w:szCs w:val="24"/>
        </w:rPr>
        <w:t xml:space="preserve">Maria </w:t>
      </w:r>
      <w:proofErr w:type="spellStart"/>
      <w:r w:rsidRPr="00B76DBE">
        <w:rPr>
          <w:rFonts w:cs="Times New Roman"/>
          <w:b/>
          <w:szCs w:val="24"/>
        </w:rPr>
        <w:t>Nordengr</w:t>
      </w:r>
      <w:r w:rsidR="004C30F8" w:rsidRPr="00B76DBE">
        <w:rPr>
          <w:rFonts w:cs="Times New Roman"/>
          <w:b/>
          <w:szCs w:val="24"/>
        </w:rPr>
        <w:t>ü</w:t>
      </w:r>
      <w:r w:rsidRPr="00B76DBE">
        <w:rPr>
          <w:rFonts w:cs="Times New Roman"/>
          <w:b/>
          <w:szCs w:val="24"/>
        </w:rPr>
        <w:t>n</w:t>
      </w:r>
      <w:proofErr w:type="spellEnd"/>
      <w:r w:rsidRPr="00B76DBE">
        <w:rPr>
          <w:rFonts w:cs="Times New Roman"/>
          <w:b/>
          <w:szCs w:val="24"/>
        </w:rPr>
        <w:t xml:space="preserve">, Friederike Kruse, Matthias Lochner, Christine S. Falk, Ingo Schmitz, Barbara </w:t>
      </w:r>
      <w:r w:rsidR="004C30F8" w:rsidRPr="00B76DBE">
        <w:rPr>
          <w:rFonts w:cs="Times New Roman"/>
          <w:b/>
          <w:szCs w:val="24"/>
        </w:rPr>
        <w:t xml:space="preserve">M. </w:t>
      </w:r>
      <w:proofErr w:type="spellStart"/>
      <w:r w:rsidRPr="00B76DBE">
        <w:rPr>
          <w:rFonts w:cs="Times New Roman"/>
          <w:b/>
          <w:szCs w:val="24"/>
        </w:rPr>
        <w:t>Br</w:t>
      </w:r>
      <w:r w:rsidR="004C30F8" w:rsidRPr="00B76DBE">
        <w:rPr>
          <w:rFonts w:cs="Times New Roman"/>
          <w:b/>
          <w:szCs w:val="24"/>
        </w:rPr>
        <w:t>ö</w:t>
      </w:r>
      <w:r w:rsidRPr="00B76DBE">
        <w:rPr>
          <w:rFonts w:cs="Times New Roman"/>
          <w:b/>
          <w:szCs w:val="24"/>
        </w:rPr>
        <w:t>ker</w:t>
      </w:r>
      <w:proofErr w:type="spellEnd"/>
      <w:r w:rsidRPr="00B76DBE">
        <w:rPr>
          <w:rFonts w:cs="Times New Roman"/>
          <w:b/>
          <w:szCs w:val="24"/>
        </w:rPr>
        <w:t xml:space="preserve">, Eva Medina, and Jochen </w:t>
      </w:r>
      <w:proofErr w:type="spellStart"/>
      <w:r w:rsidRPr="00B76DBE">
        <w:rPr>
          <w:rFonts w:cs="Times New Roman"/>
          <w:b/>
          <w:szCs w:val="24"/>
        </w:rPr>
        <w:t>Huehn</w:t>
      </w:r>
      <w:proofErr w:type="spellEnd"/>
    </w:p>
    <w:p w14:paraId="33EB2D28" w14:textId="63D30905" w:rsidR="00FA1636" w:rsidRPr="00B76DBE" w:rsidRDefault="00FA1636">
      <w:pPr>
        <w:spacing w:before="0" w:after="200" w:line="276" w:lineRule="auto"/>
        <w:rPr>
          <w:rFonts w:eastAsia="Cambria" w:cs="Times New Roman"/>
          <w:b/>
          <w:szCs w:val="24"/>
        </w:rPr>
      </w:pPr>
      <w:r w:rsidRPr="00B76DBE">
        <w:br w:type="page"/>
      </w:r>
    </w:p>
    <w:p w14:paraId="304A1EFC" w14:textId="02008235" w:rsidR="00B96937" w:rsidRPr="00B76DBE" w:rsidRDefault="00B96937" w:rsidP="00B96937">
      <w:pPr>
        <w:pStyle w:val="berschrift2"/>
        <w:numPr>
          <w:ilvl w:val="0"/>
          <w:numId w:val="0"/>
        </w:numPr>
        <w:spacing w:after="480"/>
        <w:ind w:left="567" w:hanging="567"/>
      </w:pPr>
      <w:r w:rsidRPr="00B76DBE">
        <w:lastRenderedPageBreak/>
        <w:t>Supplementary Tables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962"/>
      </w:tblGrid>
      <w:tr w:rsidR="00B76DBE" w:rsidRPr="00B76DBE" w14:paraId="56A02F94" w14:textId="77777777" w:rsidTr="00754704">
        <w:tc>
          <w:tcPr>
            <w:tcW w:w="9962" w:type="dxa"/>
          </w:tcPr>
          <w:p w14:paraId="26936F88" w14:textId="74D09371" w:rsidR="00B96937" w:rsidRPr="00B76DBE" w:rsidRDefault="00B96937" w:rsidP="00754704">
            <w:pPr>
              <w:spacing w:after="0"/>
              <w:rPr>
                <w:b/>
                <w:noProof/>
              </w:rPr>
            </w:pPr>
            <w:r w:rsidRPr="00B76DBE">
              <w:rPr>
                <w:b/>
                <w:noProof/>
              </w:rPr>
              <w:t>Supplementary Table</w:t>
            </w:r>
            <w:r w:rsidR="00B916A0" w:rsidRPr="00B76DBE">
              <w:rPr>
                <w:b/>
                <w:noProof/>
              </w:rPr>
              <w:t xml:space="preserve"> </w:t>
            </w:r>
            <w:r w:rsidRPr="00B76DBE">
              <w:rPr>
                <w:b/>
                <w:noProof/>
              </w:rPr>
              <w:t>1</w:t>
            </w:r>
            <w:r w:rsidR="009366C0" w:rsidRPr="00B76DBE">
              <w:rPr>
                <w:b/>
                <w:noProof/>
              </w:rPr>
              <w:t>: Staining panels used in this study.</w:t>
            </w:r>
          </w:p>
          <w:tbl>
            <w:tblPr>
              <w:tblW w:w="8745" w:type="dxa"/>
              <w:tblInd w:w="93" w:type="dxa"/>
              <w:tblLook w:val="04A0" w:firstRow="1" w:lastRow="0" w:firstColumn="1" w:lastColumn="0" w:noHBand="0" w:noVBand="1"/>
            </w:tblPr>
            <w:tblGrid>
              <w:gridCol w:w="2085"/>
              <w:gridCol w:w="1194"/>
              <w:gridCol w:w="1109"/>
              <w:gridCol w:w="1744"/>
              <w:gridCol w:w="2613"/>
            </w:tblGrid>
            <w:tr w:rsidR="00B76DBE" w:rsidRPr="00B76DBE" w14:paraId="1EC0F04E" w14:textId="77777777" w:rsidTr="00754704">
              <w:trPr>
                <w:trHeight w:val="216"/>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6D07" w14:textId="77777777" w:rsidR="000A77DC" w:rsidRPr="00B76DBE" w:rsidRDefault="000A77DC" w:rsidP="000A77DC">
                  <w:pPr>
                    <w:spacing w:before="0" w:after="0"/>
                    <w:rPr>
                      <w:rFonts w:eastAsia="Times New Roman" w:cs="Times New Roman"/>
                      <w:b/>
                      <w:bCs/>
                      <w:sz w:val="22"/>
                    </w:rPr>
                  </w:pPr>
                  <w:r w:rsidRPr="00B76DBE">
                    <w:rPr>
                      <w:rFonts w:eastAsia="Times New Roman" w:cs="Times New Roman"/>
                      <w:b/>
                      <w:bCs/>
                      <w:sz w:val="22"/>
                    </w:rPr>
                    <w:t>Panel</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0E57B0A" w14:textId="77777777" w:rsidR="000A77DC" w:rsidRPr="00B76DBE" w:rsidRDefault="000A77DC" w:rsidP="000A77DC">
                  <w:pPr>
                    <w:spacing w:before="0" w:after="0"/>
                    <w:rPr>
                      <w:rFonts w:eastAsia="Times New Roman" w:cs="Times New Roman"/>
                      <w:b/>
                      <w:bCs/>
                      <w:sz w:val="22"/>
                    </w:rPr>
                  </w:pPr>
                  <w:r w:rsidRPr="00B76DBE">
                    <w:rPr>
                      <w:rFonts w:eastAsia="Times New Roman" w:cs="Times New Roman"/>
                      <w:b/>
                      <w:bCs/>
                      <w:sz w:val="22"/>
                    </w:rPr>
                    <w:t>Specificity</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1EADEBC7" w14:textId="77777777" w:rsidR="000A77DC" w:rsidRPr="00B76DBE" w:rsidRDefault="000A77DC" w:rsidP="000A77DC">
                  <w:pPr>
                    <w:spacing w:before="0" w:after="0"/>
                    <w:rPr>
                      <w:rFonts w:eastAsia="Times New Roman" w:cs="Times New Roman"/>
                      <w:b/>
                      <w:bCs/>
                      <w:sz w:val="22"/>
                    </w:rPr>
                  </w:pPr>
                  <w:r w:rsidRPr="00B76DBE">
                    <w:rPr>
                      <w:rFonts w:eastAsia="Times New Roman" w:cs="Times New Roman"/>
                      <w:b/>
                      <w:bCs/>
                      <w:sz w:val="22"/>
                    </w:rPr>
                    <w:t>Clone</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14:paraId="113AED2A" w14:textId="77777777" w:rsidR="000A77DC" w:rsidRPr="00B76DBE" w:rsidRDefault="000A77DC" w:rsidP="000A77DC">
                  <w:pPr>
                    <w:spacing w:before="0" w:after="0"/>
                    <w:rPr>
                      <w:rFonts w:eastAsia="Times New Roman" w:cs="Times New Roman"/>
                      <w:b/>
                      <w:bCs/>
                      <w:sz w:val="22"/>
                    </w:rPr>
                  </w:pPr>
                  <w:proofErr w:type="spellStart"/>
                  <w:r w:rsidRPr="00B76DBE">
                    <w:rPr>
                      <w:rFonts w:eastAsia="Times New Roman" w:cs="Times New Roman"/>
                      <w:b/>
                      <w:bCs/>
                      <w:sz w:val="22"/>
                    </w:rPr>
                    <w:t>Fluorochrome</w:t>
                  </w:r>
                  <w:proofErr w:type="spellEnd"/>
                </w:p>
              </w:tc>
              <w:tc>
                <w:tcPr>
                  <w:tcW w:w="2613" w:type="dxa"/>
                  <w:tcBorders>
                    <w:top w:val="single" w:sz="4" w:space="0" w:color="auto"/>
                    <w:left w:val="nil"/>
                    <w:bottom w:val="single" w:sz="4" w:space="0" w:color="auto"/>
                    <w:right w:val="single" w:sz="4" w:space="0" w:color="auto"/>
                  </w:tcBorders>
                  <w:shd w:val="clear" w:color="auto" w:fill="auto"/>
                  <w:noWrap/>
                  <w:vAlign w:val="center"/>
                  <w:hideMark/>
                </w:tcPr>
                <w:p w14:paraId="1CA91CC2" w14:textId="77777777" w:rsidR="000A77DC" w:rsidRPr="00B76DBE" w:rsidRDefault="000A77DC" w:rsidP="000A77DC">
                  <w:pPr>
                    <w:spacing w:before="0" w:after="0"/>
                    <w:rPr>
                      <w:rFonts w:eastAsia="Times New Roman" w:cs="Times New Roman"/>
                      <w:b/>
                      <w:bCs/>
                      <w:sz w:val="22"/>
                    </w:rPr>
                  </w:pPr>
                  <w:r w:rsidRPr="00B76DBE">
                    <w:rPr>
                      <w:rFonts w:eastAsia="Times New Roman" w:cs="Times New Roman"/>
                      <w:b/>
                      <w:bCs/>
                      <w:sz w:val="22"/>
                    </w:rPr>
                    <w:t>Manufacturer</w:t>
                  </w:r>
                </w:p>
              </w:tc>
            </w:tr>
            <w:tr w:rsidR="00B76DBE" w:rsidRPr="00B76DBE" w14:paraId="0BB64D7C" w14:textId="77777777" w:rsidTr="00754704">
              <w:trPr>
                <w:trHeight w:val="216"/>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6ACFB22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Sorting of</w:t>
                  </w:r>
                </w:p>
                <w:p w14:paraId="3CF28FDC"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naïve CD4</w:t>
                  </w:r>
                  <w:r w:rsidRPr="00B76DBE">
                    <w:rPr>
                      <w:rFonts w:eastAsia="Times New Roman" w:cs="Times New Roman"/>
                      <w:sz w:val="22"/>
                      <w:vertAlign w:val="superscript"/>
                    </w:rPr>
                    <w:t>+</w:t>
                  </w:r>
                  <w:r w:rsidRPr="00B76DBE">
                    <w:rPr>
                      <w:rFonts w:eastAsia="Times New Roman" w:cs="Times New Roman"/>
                      <w:sz w:val="22"/>
                    </w:rPr>
                    <w:t xml:space="preserve"> T cells</w:t>
                  </w:r>
                </w:p>
              </w:tc>
              <w:tc>
                <w:tcPr>
                  <w:tcW w:w="1194" w:type="dxa"/>
                  <w:tcBorders>
                    <w:top w:val="nil"/>
                    <w:left w:val="nil"/>
                    <w:bottom w:val="single" w:sz="4" w:space="0" w:color="auto"/>
                    <w:right w:val="single" w:sz="4" w:space="0" w:color="auto"/>
                  </w:tcBorders>
                  <w:shd w:val="clear" w:color="auto" w:fill="auto"/>
                  <w:noWrap/>
                  <w:vAlign w:val="center"/>
                  <w:hideMark/>
                </w:tcPr>
                <w:p w14:paraId="4085B0F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hCD2</w:t>
                  </w:r>
                </w:p>
              </w:tc>
              <w:tc>
                <w:tcPr>
                  <w:tcW w:w="1109" w:type="dxa"/>
                  <w:tcBorders>
                    <w:top w:val="nil"/>
                    <w:left w:val="nil"/>
                    <w:bottom w:val="single" w:sz="4" w:space="0" w:color="auto"/>
                    <w:right w:val="single" w:sz="4" w:space="0" w:color="auto"/>
                  </w:tcBorders>
                  <w:shd w:val="clear" w:color="auto" w:fill="auto"/>
                  <w:noWrap/>
                  <w:vAlign w:val="center"/>
                  <w:hideMark/>
                </w:tcPr>
                <w:p w14:paraId="63E360A7"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RPA-2.10</w:t>
                  </w:r>
                </w:p>
              </w:tc>
              <w:tc>
                <w:tcPr>
                  <w:tcW w:w="1744" w:type="dxa"/>
                  <w:tcBorders>
                    <w:top w:val="nil"/>
                    <w:left w:val="nil"/>
                    <w:bottom w:val="single" w:sz="4" w:space="0" w:color="auto"/>
                    <w:right w:val="single" w:sz="4" w:space="0" w:color="auto"/>
                  </w:tcBorders>
                  <w:shd w:val="clear" w:color="auto" w:fill="auto"/>
                  <w:noWrap/>
                  <w:vAlign w:val="center"/>
                  <w:hideMark/>
                </w:tcPr>
                <w:p w14:paraId="24FFCDD9"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0488B5E2"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1C669E67"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6BC7523B"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58AA8683"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CD4</w:t>
                  </w:r>
                </w:p>
              </w:tc>
              <w:tc>
                <w:tcPr>
                  <w:tcW w:w="1109" w:type="dxa"/>
                  <w:tcBorders>
                    <w:top w:val="nil"/>
                    <w:left w:val="nil"/>
                    <w:bottom w:val="single" w:sz="4" w:space="0" w:color="auto"/>
                    <w:right w:val="single" w:sz="4" w:space="0" w:color="auto"/>
                  </w:tcBorders>
                  <w:shd w:val="clear" w:color="auto" w:fill="auto"/>
                  <w:noWrap/>
                  <w:vAlign w:val="center"/>
                  <w:hideMark/>
                </w:tcPr>
                <w:p w14:paraId="20F72AC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RM4-5</w:t>
                  </w:r>
                </w:p>
              </w:tc>
              <w:tc>
                <w:tcPr>
                  <w:tcW w:w="1744" w:type="dxa"/>
                  <w:tcBorders>
                    <w:top w:val="nil"/>
                    <w:left w:val="nil"/>
                    <w:bottom w:val="single" w:sz="4" w:space="0" w:color="auto"/>
                    <w:right w:val="single" w:sz="4" w:space="0" w:color="auto"/>
                  </w:tcBorders>
                  <w:shd w:val="clear" w:color="auto" w:fill="auto"/>
                  <w:noWrap/>
                  <w:vAlign w:val="center"/>
                  <w:hideMark/>
                </w:tcPr>
                <w:p w14:paraId="4530F04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PE/Cy7</w:t>
                  </w:r>
                </w:p>
              </w:tc>
              <w:tc>
                <w:tcPr>
                  <w:tcW w:w="2613" w:type="dxa"/>
                  <w:tcBorders>
                    <w:top w:val="nil"/>
                    <w:left w:val="nil"/>
                    <w:bottom w:val="single" w:sz="4" w:space="0" w:color="auto"/>
                    <w:right w:val="single" w:sz="4" w:space="0" w:color="auto"/>
                  </w:tcBorders>
                  <w:shd w:val="clear" w:color="auto" w:fill="auto"/>
                  <w:noWrap/>
                  <w:vAlign w:val="center"/>
                  <w:hideMark/>
                </w:tcPr>
                <w:p w14:paraId="017FBC47"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5E866315"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27D78826"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128ED7A9"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CD8a</w:t>
                  </w:r>
                </w:p>
              </w:tc>
              <w:tc>
                <w:tcPr>
                  <w:tcW w:w="1109" w:type="dxa"/>
                  <w:tcBorders>
                    <w:top w:val="nil"/>
                    <w:left w:val="nil"/>
                    <w:bottom w:val="single" w:sz="4" w:space="0" w:color="auto"/>
                    <w:right w:val="single" w:sz="4" w:space="0" w:color="auto"/>
                  </w:tcBorders>
                  <w:shd w:val="clear" w:color="auto" w:fill="auto"/>
                  <w:noWrap/>
                  <w:vAlign w:val="center"/>
                  <w:hideMark/>
                </w:tcPr>
                <w:p w14:paraId="0CF432E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53-6.7</w:t>
                  </w:r>
                </w:p>
              </w:tc>
              <w:tc>
                <w:tcPr>
                  <w:tcW w:w="1744" w:type="dxa"/>
                  <w:tcBorders>
                    <w:top w:val="nil"/>
                    <w:left w:val="nil"/>
                    <w:bottom w:val="single" w:sz="4" w:space="0" w:color="auto"/>
                    <w:right w:val="single" w:sz="4" w:space="0" w:color="auto"/>
                  </w:tcBorders>
                  <w:shd w:val="clear" w:color="auto" w:fill="auto"/>
                  <w:noWrap/>
                  <w:vAlign w:val="center"/>
                  <w:hideMark/>
                </w:tcPr>
                <w:p w14:paraId="0F522C4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5E78E217"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71E55B43"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6494132A"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1FB019BC"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CD11c</w:t>
                  </w:r>
                </w:p>
              </w:tc>
              <w:tc>
                <w:tcPr>
                  <w:tcW w:w="1109" w:type="dxa"/>
                  <w:tcBorders>
                    <w:top w:val="nil"/>
                    <w:left w:val="nil"/>
                    <w:bottom w:val="single" w:sz="4" w:space="0" w:color="auto"/>
                    <w:right w:val="single" w:sz="4" w:space="0" w:color="auto"/>
                  </w:tcBorders>
                  <w:shd w:val="clear" w:color="auto" w:fill="auto"/>
                  <w:noWrap/>
                  <w:vAlign w:val="center"/>
                  <w:hideMark/>
                </w:tcPr>
                <w:p w14:paraId="41D81537"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N418</w:t>
                  </w:r>
                </w:p>
              </w:tc>
              <w:tc>
                <w:tcPr>
                  <w:tcW w:w="1744" w:type="dxa"/>
                  <w:tcBorders>
                    <w:top w:val="nil"/>
                    <w:left w:val="nil"/>
                    <w:bottom w:val="single" w:sz="4" w:space="0" w:color="auto"/>
                    <w:right w:val="single" w:sz="4" w:space="0" w:color="auto"/>
                  </w:tcBorders>
                  <w:shd w:val="clear" w:color="auto" w:fill="auto"/>
                  <w:noWrap/>
                  <w:vAlign w:val="center"/>
                  <w:hideMark/>
                </w:tcPr>
                <w:p w14:paraId="19B2C99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7AED04FD"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32B45D7C"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06EB1533"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039902BF"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CD45R</w:t>
                  </w:r>
                </w:p>
              </w:tc>
              <w:tc>
                <w:tcPr>
                  <w:tcW w:w="1109" w:type="dxa"/>
                  <w:tcBorders>
                    <w:top w:val="nil"/>
                    <w:left w:val="nil"/>
                    <w:bottom w:val="single" w:sz="4" w:space="0" w:color="auto"/>
                    <w:right w:val="single" w:sz="4" w:space="0" w:color="auto"/>
                  </w:tcBorders>
                  <w:shd w:val="clear" w:color="auto" w:fill="auto"/>
                  <w:noWrap/>
                  <w:vAlign w:val="center"/>
                  <w:hideMark/>
                </w:tcPr>
                <w:p w14:paraId="200B1C3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RA3-6B2</w:t>
                  </w:r>
                </w:p>
              </w:tc>
              <w:tc>
                <w:tcPr>
                  <w:tcW w:w="1744" w:type="dxa"/>
                  <w:tcBorders>
                    <w:top w:val="nil"/>
                    <w:left w:val="nil"/>
                    <w:bottom w:val="single" w:sz="4" w:space="0" w:color="auto"/>
                    <w:right w:val="single" w:sz="4" w:space="0" w:color="auto"/>
                  </w:tcBorders>
                  <w:shd w:val="clear" w:color="auto" w:fill="auto"/>
                  <w:noWrap/>
                  <w:vAlign w:val="center"/>
                  <w:hideMark/>
                </w:tcPr>
                <w:p w14:paraId="65469171"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5F469AFA"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5EF565D3"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4C7330C4"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7A22BD6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CD62L</w:t>
                  </w:r>
                </w:p>
              </w:tc>
              <w:tc>
                <w:tcPr>
                  <w:tcW w:w="1109" w:type="dxa"/>
                  <w:tcBorders>
                    <w:top w:val="nil"/>
                    <w:left w:val="nil"/>
                    <w:bottom w:val="single" w:sz="4" w:space="0" w:color="auto"/>
                    <w:right w:val="single" w:sz="4" w:space="0" w:color="auto"/>
                  </w:tcBorders>
                  <w:shd w:val="clear" w:color="auto" w:fill="auto"/>
                  <w:noWrap/>
                  <w:vAlign w:val="center"/>
                  <w:hideMark/>
                </w:tcPr>
                <w:p w14:paraId="21C9B97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MEL-14</w:t>
                  </w:r>
                </w:p>
              </w:tc>
              <w:tc>
                <w:tcPr>
                  <w:tcW w:w="1744" w:type="dxa"/>
                  <w:tcBorders>
                    <w:top w:val="nil"/>
                    <w:left w:val="nil"/>
                    <w:bottom w:val="single" w:sz="4" w:space="0" w:color="auto"/>
                    <w:right w:val="single" w:sz="4" w:space="0" w:color="auto"/>
                  </w:tcBorders>
                  <w:shd w:val="clear" w:color="auto" w:fill="auto"/>
                  <w:noWrap/>
                  <w:vAlign w:val="center"/>
                  <w:hideMark/>
                </w:tcPr>
                <w:p w14:paraId="52DDE7EC"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BV605</w:t>
                  </w:r>
                </w:p>
              </w:tc>
              <w:tc>
                <w:tcPr>
                  <w:tcW w:w="2613" w:type="dxa"/>
                  <w:tcBorders>
                    <w:top w:val="nil"/>
                    <w:left w:val="nil"/>
                    <w:bottom w:val="single" w:sz="4" w:space="0" w:color="auto"/>
                    <w:right w:val="single" w:sz="4" w:space="0" w:color="auto"/>
                  </w:tcBorders>
                  <w:shd w:val="clear" w:color="auto" w:fill="auto"/>
                  <w:noWrap/>
                  <w:vAlign w:val="center"/>
                  <w:hideMark/>
                </w:tcPr>
                <w:p w14:paraId="261717B6"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6E206E9D"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07503F26"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2C935312"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F4/80</w:t>
                  </w:r>
                </w:p>
              </w:tc>
              <w:tc>
                <w:tcPr>
                  <w:tcW w:w="1109" w:type="dxa"/>
                  <w:tcBorders>
                    <w:top w:val="nil"/>
                    <w:left w:val="nil"/>
                    <w:bottom w:val="single" w:sz="4" w:space="0" w:color="auto"/>
                    <w:right w:val="single" w:sz="4" w:space="0" w:color="auto"/>
                  </w:tcBorders>
                  <w:shd w:val="clear" w:color="auto" w:fill="auto"/>
                  <w:noWrap/>
                  <w:vAlign w:val="center"/>
                  <w:hideMark/>
                </w:tcPr>
                <w:p w14:paraId="2AE6B13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BM8</w:t>
                  </w:r>
                </w:p>
              </w:tc>
              <w:tc>
                <w:tcPr>
                  <w:tcW w:w="1744" w:type="dxa"/>
                  <w:tcBorders>
                    <w:top w:val="nil"/>
                    <w:left w:val="nil"/>
                    <w:bottom w:val="single" w:sz="4" w:space="0" w:color="auto"/>
                    <w:right w:val="single" w:sz="4" w:space="0" w:color="auto"/>
                  </w:tcBorders>
                  <w:shd w:val="clear" w:color="auto" w:fill="auto"/>
                  <w:noWrap/>
                  <w:vAlign w:val="center"/>
                  <w:hideMark/>
                </w:tcPr>
                <w:p w14:paraId="6F2905A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13CB0235"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5E8D6E96" w14:textId="77777777" w:rsidTr="00754704">
              <w:trPr>
                <w:trHeight w:val="216"/>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6D406230" w14:textId="77777777" w:rsidR="000A77DC" w:rsidRPr="00B76DBE" w:rsidRDefault="000A77DC" w:rsidP="000A77DC">
                  <w:pPr>
                    <w:spacing w:before="0" w:after="0"/>
                    <w:rPr>
                      <w:rFonts w:eastAsia="Times New Roman" w:cs="Times New Roman"/>
                      <w:sz w:val="22"/>
                    </w:rPr>
                  </w:pPr>
                  <w:r w:rsidRPr="00B76DBE">
                    <w:rPr>
                      <w:rFonts w:eastAsia="Times New Roman" w:cs="Times New Roman"/>
                      <w:i/>
                      <w:sz w:val="22"/>
                    </w:rPr>
                    <w:t>in vitro</w:t>
                  </w:r>
                </w:p>
                <w:p w14:paraId="5A03ADA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Th1 differentiation</w:t>
                  </w:r>
                </w:p>
              </w:tc>
              <w:tc>
                <w:tcPr>
                  <w:tcW w:w="4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2A580E"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LiveDead</w:t>
                  </w:r>
                  <w:proofErr w:type="spellEnd"/>
                  <w:r w:rsidRPr="00B76DBE">
                    <w:rPr>
                      <w:rFonts w:eastAsia="Times New Roman" w:cs="Times New Roman"/>
                      <w:sz w:val="22"/>
                    </w:rPr>
                    <w:t xml:space="preserve"> Fixable Blue</w:t>
                  </w:r>
                </w:p>
              </w:tc>
              <w:tc>
                <w:tcPr>
                  <w:tcW w:w="2613" w:type="dxa"/>
                  <w:tcBorders>
                    <w:top w:val="nil"/>
                    <w:left w:val="nil"/>
                    <w:bottom w:val="single" w:sz="4" w:space="0" w:color="auto"/>
                    <w:right w:val="single" w:sz="4" w:space="0" w:color="auto"/>
                  </w:tcBorders>
                  <w:shd w:val="clear" w:color="auto" w:fill="auto"/>
                  <w:noWrap/>
                  <w:vAlign w:val="center"/>
                  <w:hideMark/>
                </w:tcPr>
                <w:p w14:paraId="2580F03F" w14:textId="77777777" w:rsidR="000A77DC" w:rsidRPr="00B76DBE" w:rsidRDefault="000A77DC" w:rsidP="000A77DC">
                  <w:pPr>
                    <w:spacing w:before="0" w:after="0"/>
                    <w:rPr>
                      <w:rFonts w:eastAsia="Times New Roman" w:cs="Times New Roman"/>
                      <w:bCs/>
                      <w:sz w:val="22"/>
                    </w:rPr>
                  </w:pPr>
                  <w:proofErr w:type="spellStart"/>
                  <w:r w:rsidRPr="00B76DBE">
                    <w:rPr>
                      <w:rFonts w:eastAsia="Times New Roman" w:cs="Times New Roman"/>
                      <w:bCs/>
                      <w:sz w:val="22"/>
                    </w:rPr>
                    <w:t>Thermo</w:t>
                  </w:r>
                  <w:proofErr w:type="spellEnd"/>
                  <w:r w:rsidRPr="00B76DBE">
                    <w:rPr>
                      <w:rFonts w:eastAsia="Times New Roman" w:cs="Times New Roman"/>
                      <w:bCs/>
                      <w:sz w:val="22"/>
                    </w:rPr>
                    <w:t xml:space="preserve"> Fisher Scientific</w:t>
                  </w:r>
                </w:p>
              </w:tc>
            </w:tr>
            <w:tr w:rsidR="00B76DBE" w:rsidRPr="00B76DBE" w14:paraId="6471255A"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72D85831"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70BC389F"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CD4</w:t>
                  </w:r>
                </w:p>
              </w:tc>
              <w:tc>
                <w:tcPr>
                  <w:tcW w:w="1109" w:type="dxa"/>
                  <w:tcBorders>
                    <w:top w:val="nil"/>
                    <w:left w:val="nil"/>
                    <w:bottom w:val="single" w:sz="4" w:space="0" w:color="auto"/>
                    <w:right w:val="single" w:sz="4" w:space="0" w:color="auto"/>
                  </w:tcBorders>
                  <w:shd w:val="clear" w:color="auto" w:fill="auto"/>
                  <w:noWrap/>
                  <w:vAlign w:val="center"/>
                  <w:hideMark/>
                </w:tcPr>
                <w:p w14:paraId="7FD5307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RM4-5</w:t>
                  </w:r>
                </w:p>
              </w:tc>
              <w:tc>
                <w:tcPr>
                  <w:tcW w:w="1744" w:type="dxa"/>
                  <w:tcBorders>
                    <w:top w:val="nil"/>
                    <w:left w:val="nil"/>
                    <w:bottom w:val="single" w:sz="4" w:space="0" w:color="auto"/>
                    <w:right w:val="single" w:sz="4" w:space="0" w:color="auto"/>
                  </w:tcBorders>
                  <w:shd w:val="clear" w:color="auto" w:fill="auto"/>
                  <w:noWrap/>
                  <w:vAlign w:val="center"/>
                  <w:hideMark/>
                </w:tcPr>
                <w:p w14:paraId="30B0ECB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PE/Cy7</w:t>
                  </w:r>
                </w:p>
              </w:tc>
              <w:tc>
                <w:tcPr>
                  <w:tcW w:w="2613" w:type="dxa"/>
                  <w:tcBorders>
                    <w:top w:val="nil"/>
                    <w:left w:val="nil"/>
                    <w:bottom w:val="single" w:sz="4" w:space="0" w:color="auto"/>
                    <w:right w:val="single" w:sz="4" w:space="0" w:color="auto"/>
                  </w:tcBorders>
                  <w:shd w:val="clear" w:color="auto" w:fill="auto"/>
                  <w:noWrap/>
                  <w:vAlign w:val="center"/>
                  <w:hideMark/>
                </w:tcPr>
                <w:p w14:paraId="0E761E32"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521CF387"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63B2C895"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5CC5E2A1"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T-bet</w:t>
                  </w:r>
                </w:p>
              </w:tc>
              <w:tc>
                <w:tcPr>
                  <w:tcW w:w="1109" w:type="dxa"/>
                  <w:tcBorders>
                    <w:top w:val="nil"/>
                    <w:left w:val="nil"/>
                    <w:bottom w:val="single" w:sz="4" w:space="0" w:color="auto"/>
                    <w:right w:val="single" w:sz="4" w:space="0" w:color="auto"/>
                  </w:tcBorders>
                  <w:shd w:val="clear" w:color="auto" w:fill="auto"/>
                  <w:noWrap/>
                  <w:vAlign w:val="center"/>
                  <w:hideMark/>
                </w:tcPr>
                <w:p w14:paraId="2E9426E9"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4B10</w:t>
                  </w:r>
                </w:p>
              </w:tc>
              <w:tc>
                <w:tcPr>
                  <w:tcW w:w="1744" w:type="dxa"/>
                  <w:tcBorders>
                    <w:top w:val="nil"/>
                    <w:left w:val="nil"/>
                    <w:bottom w:val="single" w:sz="4" w:space="0" w:color="auto"/>
                    <w:right w:val="single" w:sz="4" w:space="0" w:color="auto"/>
                  </w:tcBorders>
                  <w:shd w:val="clear" w:color="auto" w:fill="auto"/>
                  <w:noWrap/>
                  <w:vAlign w:val="center"/>
                  <w:hideMark/>
                </w:tcPr>
                <w:p w14:paraId="04A58C1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w:t>
                  </w:r>
                </w:p>
              </w:tc>
              <w:tc>
                <w:tcPr>
                  <w:tcW w:w="2613" w:type="dxa"/>
                  <w:tcBorders>
                    <w:top w:val="nil"/>
                    <w:left w:val="nil"/>
                    <w:bottom w:val="single" w:sz="4" w:space="0" w:color="auto"/>
                    <w:right w:val="single" w:sz="4" w:space="0" w:color="auto"/>
                  </w:tcBorders>
                  <w:shd w:val="clear" w:color="auto" w:fill="auto"/>
                  <w:noWrap/>
                  <w:vAlign w:val="center"/>
                  <w:hideMark/>
                </w:tcPr>
                <w:p w14:paraId="5DFD1BB6"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eBioscience</w:t>
                  </w:r>
                  <w:proofErr w:type="spellEnd"/>
                </w:p>
              </w:tc>
            </w:tr>
            <w:tr w:rsidR="00B76DBE" w:rsidRPr="00B76DBE" w14:paraId="68083797"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3BB756CA"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03894792"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IFNγ</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14:paraId="448B6AC1"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XMG1.2</w:t>
                  </w:r>
                </w:p>
              </w:tc>
              <w:tc>
                <w:tcPr>
                  <w:tcW w:w="1744" w:type="dxa"/>
                  <w:tcBorders>
                    <w:top w:val="nil"/>
                    <w:left w:val="nil"/>
                    <w:bottom w:val="single" w:sz="4" w:space="0" w:color="auto"/>
                    <w:right w:val="single" w:sz="4" w:space="0" w:color="auto"/>
                  </w:tcBorders>
                  <w:shd w:val="clear" w:color="auto" w:fill="auto"/>
                  <w:noWrap/>
                  <w:vAlign w:val="center"/>
                  <w:hideMark/>
                </w:tcPr>
                <w:p w14:paraId="338B493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FITC</w:t>
                  </w:r>
                </w:p>
              </w:tc>
              <w:tc>
                <w:tcPr>
                  <w:tcW w:w="2613" w:type="dxa"/>
                  <w:tcBorders>
                    <w:top w:val="nil"/>
                    <w:left w:val="nil"/>
                    <w:bottom w:val="single" w:sz="4" w:space="0" w:color="auto"/>
                    <w:right w:val="single" w:sz="4" w:space="0" w:color="auto"/>
                  </w:tcBorders>
                  <w:shd w:val="clear" w:color="auto" w:fill="auto"/>
                  <w:noWrap/>
                  <w:vAlign w:val="center"/>
                  <w:hideMark/>
                </w:tcPr>
                <w:p w14:paraId="01850B1E"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1237CB24" w14:textId="77777777" w:rsidTr="00754704">
              <w:trPr>
                <w:trHeight w:val="216"/>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1E4996D1" w14:textId="77777777" w:rsidR="000A77DC" w:rsidRPr="00B76DBE" w:rsidRDefault="000A77DC" w:rsidP="000A77DC">
                  <w:pPr>
                    <w:spacing w:before="0" w:after="0"/>
                    <w:rPr>
                      <w:rFonts w:eastAsia="Times New Roman" w:cs="Times New Roman"/>
                      <w:i/>
                      <w:sz w:val="22"/>
                    </w:rPr>
                  </w:pPr>
                  <w:r w:rsidRPr="00B76DBE">
                    <w:rPr>
                      <w:rFonts w:eastAsia="Times New Roman" w:cs="Times New Roman"/>
                      <w:i/>
                      <w:sz w:val="22"/>
                    </w:rPr>
                    <w:t>in vitro</w:t>
                  </w:r>
                </w:p>
                <w:p w14:paraId="082B91A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Th17 differentiation</w:t>
                  </w:r>
                </w:p>
              </w:tc>
              <w:tc>
                <w:tcPr>
                  <w:tcW w:w="4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7EFF86"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LiveDead</w:t>
                  </w:r>
                  <w:proofErr w:type="spellEnd"/>
                  <w:r w:rsidRPr="00B76DBE">
                    <w:rPr>
                      <w:rFonts w:eastAsia="Times New Roman" w:cs="Times New Roman"/>
                      <w:sz w:val="22"/>
                    </w:rPr>
                    <w:t xml:space="preserve"> Fixable Blue</w:t>
                  </w:r>
                </w:p>
              </w:tc>
              <w:tc>
                <w:tcPr>
                  <w:tcW w:w="2613" w:type="dxa"/>
                  <w:tcBorders>
                    <w:top w:val="nil"/>
                    <w:left w:val="nil"/>
                    <w:bottom w:val="single" w:sz="4" w:space="0" w:color="auto"/>
                    <w:right w:val="single" w:sz="4" w:space="0" w:color="auto"/>
                  </w:tcBorders>
                  <w:shd w:val="clear" w:color="auto" w:fill="auto"/>
                  <w:noWrap/>
                  <w:vAlign w:val="center"/>
                  <w:hideMark/>
                </w:tcPr>
                <w:p w14:paraId="451D5AF9" w14:textId="77777777" w:rsidR="000A77DC" w:rsidRPr="00B76DBE" w:rsidRDefault="000A77DC" w:rsidP="000A77DC">
                  <w:pPr>
                    <w:spacing w:before="0" w:after="0"/>
                    <w:rPr>
                      <w:rFonts w:eastAsia="Times New Roman" w:cs="Times New Roman"/>
                      <w:bCs/>
                      <w:sz w:val="22"/>
                    </w:rPr>
                  </w:pPr>
                  <w:proofErr w:type="spellStart"/>
                  <w:r w:rsidRPr="00B76DBE">
                    <w:rPr>
                      <w:rFonts w:eastAsia="Times New Roman" w:cs="Times New Roman"/>
                      <w:bCs/>
                      <w:sz w:val="22"/>
                    </w:rPr>
                    <w:t>Thermo</w:t>
                  </w:r>
                  <w:proofErr w:type="spellEnd"/>
                  <w:r w:rsidRPr="00B76DBE">
                    <w:rPr>
                      <w:rFonts w:eastAsia="Times New Roman" w:cs="Times New Roman"/>
                      <w:bCs/>
                      <w:sz w:val="22"/>
                    </w:rPr>
                    <w:t xml:space="preserve"> Fisher Scientific</w:t>
                  </w:r>
                </w:p>
              </w:tc>
            </w:tr>
            <w:tr w:rsidR="00B76DBE" w:rsidRPr="00B76DBE" w14:paraId="5F69E68D"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0178DEE7"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150BE79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CD4</w:t>
                  </w:r>
                </w:p>
              </w:tc>
              <w:tc>
                <w:tcPr>
                  <w:tcW w:w="1109" w:type="dxa"/>
                  <w:tcBorders>
                    <w:top w:val="nil"/>
                    <w:left w:val="nil"/>
                    <w:bottom w:val="single" w:sz="4" w:space="0" w:color="auto"/>
                    <w:right w:val="single" w:sz="4" w:space="0" w:color="auto"/>
                  </w:tcBorders>
                  <w:shd w:val="clear" w:color="auto" w:fill="auto"/>
                  <w:noWrap/>
                  <w:vAlign w:val="center"/>
                  <w:hideMark/>
                </w:tcPr>
                <w:p w14:paraId="04C02AA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RM4-5</w:t>
                  </w:r>
                </w:p>
              </w:tc>
              <w:tc>
                <w:tcPr>
                  <w:tcW w:w="1744" w:type="dxa"/>
                  <w:tcBorders>
                    <w:top w:val="nil"/>
                    <w:left w:val="nil"/>
                    <w:bottom w:val="single" w:sz="4" w:space="0" w:color="auto"/>
                    <w:right w:val="single" w:sz="4" w:space="0" w:color="auto"/>
                  </w:tcBorders>
                  <w:shd w:val="clear" w:color="auto" w:fill="auto"/>
                  <w:noWrap/>
                  <w:vAlign w:val="center"/>
                  <w:hideMark/>
                </w:tcPr>
                <w:p w14:paraId="5B3120BF"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PE/Cy7</w:t>
                  </w:r>
                </w:p>
              </w:tc>
              <w:tc>
                <w:tcPr>
                  <w:tcW w:w="2613" w:type="dxa"/>
                  <w:tcBorders>
                    <w:top w:val="nil"/>
                    <w:left w:val="nil"/>
                    <w:bottom w:val="single" w:sz="4" w:space="0" w:color="auto"/>
                    <w:right w:val="single" w:sz="4" w:space="0" w:color="auto"/>
                  </w:tcBorders>
                  <w:shd w:val="clear" w:color="auto" w:fill="auto"/>
                  <w:noWrap/>
                  <w:vAlign w:val="center"/>
                  <w:hideMark/>
                </w:tcPr>
                <w:p w14:paraId="06C219F1"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7B4A2FC0"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7CBE8B4E"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34F3389B"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RORγt</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14:paraId="71CF6327"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AFKJS-9</w:t>
                  </w:r>
                </w:p>
              </w:tc>
              <w:tc>
                <w:tcPr>
                  <w:tcW w:w="1744" w:type="dxa"/>
                  <w:tcBorders>
                    <w:top w:val="nil"/>
                    <w:left w:val="nil"/>
                    <w:bottom w:val="single" w:sz="4" w:space="0" w:color="auto"/>
                    <w:right w:val="single" w:sz="4" w:space="0" w:color="auto"/>
                  </w:tcBorders>
                  <w:shd w:val="clear" w:color="auto" w:fill="auto"/>
                  <w:noWrap/>
                  <w:vAlign w:val="center"/>
                  <w:hideMark/>
                </w:tcPr>
                <w:p w14:paraId="3C1BCEFF"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w:t>
                  </w:r>
                </w:p>
              </w:tc>
              <w:tc>
                <w:tcPr>
                  <w:tcW w:w="2613" w:type="dxa"/>
                  <w:tcBorders>
                    <w:top w:val="nil"/>
                    <w:left w:val="nil"/>
                    <w:bottom w:val="single" w:sz="4" w:space="0" w:color="auto"/>
                    <w:right w:val="single" w:sz="4" w:space="0" w:color="auto"/>
                  </w:tcBorders>
                  <w:shd w:val="clear" w:color="auto" w:fill="auto"/>
                  <w:noWrap/>
                  <w:vAlign w:val="center"/>
                  <w:hideMark/>
                </w:tcPr>
                <w:p w14:paraId="11E0E1FC"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eBioscience</w:t>
                  </w:r>
                  <w:proofErr w:type="spellEnd"/>
                </w:p>
              </w:tc>
            </w:tr>
            <w:tr w:rsidR="00B76DBE" w:rsidRPr="00B76DBE" w14:paraId="6E770B65"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6816C339"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4C4C3FE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IL-17A</w:t>
                  </w:r>
                </w:p>
              </w:tc>
              <w:tc>
                <w:tcPr>
                  <w:tcW w:w="1109" w:type="dxa"/>
                  <w:tcBorders>
                    <w:top w:val="nil"/>
                    <w:left w:val="nil"/>
                    <w:bottom w:val="single" w:sz="4" w:space="0" w:color="auto"/>
                    <w:right w:val="single" w:sz="4" w:space="0" w:color="auto"/>
                  </w:tcBorders>
                  <w:shd w:val="clear" w:color="auto" w:fill="auto"/>
                  <w:noWrap/>
                  <w:vAlign w:val="center"/>
                  <w:hideMark/>
                </w:tcPr>
                <w:p w14:paraId="243BF40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TC11-18H10.1</w:t>
                  </w:r>
                </w:p>
              </w:tc>
              <w:tc>
                <w:tcPr>
                  <w:tcW w:w="1744" w:type="dxa"/>
                  <w:tcBorders>
                    <w:top w:val="nil"/>
                    <w:left w:val="nil"/>
                    <w:bottom w:val="single" w:sz="4" w:space="0" w:color="auto"/>
                    <w:right w:val="single" w:sz="4" w:space="0" w:color="auto"/>
                  </w:tcBorders>
                  <w:shd w:val="clear" w:color="auto" w:fill="auto"/>
                  <w:noWrap/>
                  <w:vAlign w:val="center"/>
                  <w:hideMark/>
                </w:tcPr>
                <w:p w14:paraId="2B0DA77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45DDF118"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31BC9966" w14:textId="77777777" w:rsidTr="00754704">
              <w:trPr>
                <w:trHeight w:val="216"/>
              </w:trPr>
              <w:tc>
                <w:tcPr>
                  <w:tcW w:w="2085" w:type="dxa"/>
                  <w:tcBorders>
                    <w:top w:val="nil"/>
                    <w:left w:val="single" w:sz="4" w:space="0" w:color="auto"/>
                    <w:bottom w:val="single" w:sz="4" w:space="0" w:color="000000"/>
                    <w:right w:val="single" w:sz="4" w:space="0" w:color="auto"/>
                  </w:tcBorders>
                  <w:shd w:val="clear" w:color="auto" w:fill="auto"/>
                  <w:vAlign w:val="center"/>
                </w:tcPr>
                <w:p w14:paraId="67FD0E2F"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 xml:space="preserve">Sorting of </w:t>
                  </w:r>
                  <w:proofErr w:type="spellStart"/>
                  <w:r w:rsidRPr="00B76DBE">
                    <w:rPr>
                      <w:rFonts w:eastAsia="Times New Roman" w:cs="Times New Roman"/>
                      <w:sz w:val="22"/>
                    </w:rPr>
                    <w:t>Tconv</w:t>
                  </w:r>
                  <w:proofErr w:type="spellEnd"/>
                </w:p>
              </w:tc>
              <w:tc>
                <w:tcPr>
                  <w:tcW w:w="1194" w:type="dxa"/>
                  <w:tcBorders>
                    <w:top w:val="single" w:sz="4" w:space="0" w:color="auto"/>
                    <w:left w:val="nil"/>
                    <w:bottom w:val="single" w:sz="4" w:space="0" w:color="auto"/>
                    <w:right w:val="single" w:sz="4" w:space="0" w:color="auto"/>
                  </w:tcBorders>
                  <w:shd w:val="clear" w:color="auto" w:fill="auto"/>
                  <w:noWrap/>
                  <w:vAlign w:val="center"/>
                </w:tcPr>
                <w:p w14:paraId="721621E0"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hCD2</w:t>
                  </w:r>
                </w:p>
              </w:tc>
              <w:tc>
                <w:tcPr>
                  <w:tcW w:w="1109" w:type="dxa"/>
                  <w:tcBorders>
                    <w:top w:val="single" w:sz="4" w:space="0" w:color="auto"/>
                    <w:left w:val="nil"/>
                    <w:bottom w:val="single" w:sz="4" w:space="0" w:color="auto"/>
                    <w:right w:val="single" w:sz="4" w:space="0" w:color="auto"/>
                  </w:tcBorders>
                  <w:shd w:val="clear" w:color="auto" w:fill="auto"/>
                  <w:vAlign w:val="center"/>
                </w:tcPr>
                <w:p w14:paraId="561E716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RPA-2.10</w:t>
                  </w:r>
                </w:p>
              </w:tc>
              <w:tc>
                <w:tcPr>
                  <w:tcW w:w="1744" w:type="dxa"/>
                  <w:tcBorders>
                    <w:top w:val="single" w:sz="4" w:space="0" w:color="auto"/>
                    <w:left w:val="nil"/>
                    <w:bottom w:val="single" w:sz="4" w:space="0" w:color="auto"/>
                    <w:right w:val="single" w:sz="4" w:space="0" w:color="auto"/>
                  </w:tcBorders>
                  <w:shd w:val="clear" w:color="auto" w:fill="auto"/>
                  <w:vAlign w:val="center"/>
                </w:tcPr>
                <w:p w14:paraId="68F267E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tcPr>
                <w:p w14:paraId="36889B5A" w14:textId="77777777" w:rsidR="000A77DC" w:rsidRPr="00B76DBE" w:rsidRDefault="000A77DC" w:rsidP="000A77DC">
                  <w:pPr>
                    <w:spacing w:before="0" w:after="0"/>
                    <w:rPr>
                      <w:rFonts w:eastAsia="Times New Roman" w:cs="Times New Roman"/>
                      <w:bCs/>
                      <w:sz w:val="22"/>
                    </w:rPr>
                  </w:pPr>
                  <w:proofErr w:type="spellStart"/>
                  <w:r w:rsidRPr="00B76DBE">
                    <w:rPr>
                      <w:rFonts w:eastAsia="Times New Roman" w:cs="Times New Roman"/>
                      <w:bCs/>
                      <w:sz w:val="22"/>
                    </w:rPr>
                    <w:t>BioLegend</w:t>
                  </w:r>
                  <w:proofErr w:type="spellEnd"/>
                </w:p>
              </w:tc>
            </w:tr>
            <w:tr w:rsidR="00B76DBE" w:rsidRPr="00B76DBE" w14:paraId="3DC948C5" w14:textId="77777777" w:rsidTr="00754704">
              <w:trPr>
                <w:trHeight w:val="216"/>
              </w:trPr>
              <w:tc>
                <w:tcPr>
                  <w:tcW w:w="2085" w:type="dxa"/>
                  <w:vMerge w:val="restart"/>
                  <w:tcBorders>
                    <w:top w:val="nil"/>
                    <w:left w:val="single" w:sz="4" w:space="0" w:color="auto"/>
                    <w:right w:val="single" w:sz="4" w:space="0" w:color="auto"/>
                  </w:tcBorders>
                  <w:shd w:val="clear" w:color="auto" w:fill="auto"/>
                  <w:vAlign w:val="center"/>
                </w:tcPr>
                <w:p w14:paraId="2B559F6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ADAM10 kinetic</w:t>
                  </w:r>
                </w:p>
              </w:tc>
              <w:tc>
                <w:tcPr>
                  <w:tcW w:w="4047" w:type="dxa"/>
                  <w:gridSpan w:val="3"/>
                  <w:tcBorders>
                    <w:top w:val="single" w:sz="4" w:space="0" w:color="auto"/>
                    <w:left w:val="nil"/>
                    <w:bottom w:val="single" w:sz="4" w:space="0" w:color="auto"/>
                    <w:right w:val="single" w:sz="4" w:space="0" w:color="auto"/>
                  </w:tcBorders>
                  <w:shd w:val="clear" w:color="auto" w:fill="auto"/>
                  <w:noWrap/>
                  <w:vAlign w:val="center"/>
                </w:tcPr>
                <w:p w14:paraId="0ED0A828"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LiveDead</w:t>
                  </w:r>
                  <w:proofErr w:type="spellEnd"/>
                  <w:r w:rsidRPr="00B76DBE">
                    <w:rPr>
                      <w:rFonts w:eastAsia="Times New Roman" w:cs="Times New Roman"/>
                      <w:sz w:val="22"/>
                    </w:rPr>
                    <w:t xml:space="preserve"> Fixable Blue</w:t>
                  </w:r>
                </w:p>
              </w:tc>
              <w:tc>
                <w:tcPr>
                  <w:tcW w:w="2613" w:type="dxa"/>
                  <w:tcBorders>
                    <w:top w:val="nil"/>
                    <w:left w:val="nil"/>
                    <w:bottom w:val="single" w:sz="4" w:space="0" w:color="auto"/>
                    <w:right w:val="single" w:sz="4" w:space="0" w:color="auto"/>
                  </w:tcBorders>
                  <w:shd w:val="clear" w:color="auto" w:fill="auto"/>
                  <w:noWrap/>
                  <w:vAlign w:val="center"/>
                </w:tcPr>
                <w:p w14:paraId="75CFBE6D" w14:textId="77777777" w:rsidR="000A77DC" w:rsidRPr="00B76DBE" w:rsidRDefault="000A77DC" w:rsidP="000A77DC">
                  <w:pPr>
                    <w:spacing w:before="0" w:after="0"/>
                    <w:rPr>
                      <w:rFonts w:eastAsia="Times New Roman" w:cs="Times New Roman"/>
                      <w:bCs/>
                      <w:sz w:val="22"/>
                    </w:rPr>
                  </w:pPr>
                  <w:proofErr w:type="spellStart"/>
                  <w:r w:rsidRPr="00B76DBE">
                    <w:rPr>
                      <w:rFonts w:eastAsia="Times New Roman" w:cs="Times New Roman"/>
                      <w:bCs/>
                      <w:sz w:val="22"/>
                    </w:rPr>
                    <w:t>Thermo</w:t>
                  </w:r>
                  <w:proofErr w:type="spellEnd"/>
                  <w:r w:rsidRPr="00B76DBE">
                    <w:rPr>
                      <w:rFonts w:eastAsia="Times New Roman" w:cs="Times New Roman"/>
                      <w:bCs/>
                      <w:sz w:val="22"/>
                    </w:rPr>
                    <w:t xml:space="preserve"> Fisher Scientific</w:t>
                  </w:r>
                </w:p>
              </w:tc>
            </w:tr>
            <w:tr w:rsidR="00B76DBE" w:rsidRPr="00B76DBE" w14:paraId="06642AF1" w14:textId="77777777" w:rsidTr="00754704">
              <w:trPr>
                <w:trHeight w:val="216"/>
              </w:trPr>
              <w:tc>
                <w:tcPr>
                  <w:tcW w:w="2085" w:type="dxa"/>
                  <w:vMerge/>
                  <w:tcBorders>
                    <w:left w:val="single" w:sz="4" w:space="0" w:color="auto"/>
                    <w:bottom w:val="single" w:sz="4" w:space="0" w:color="000000"/>
                    <w:right w:val="single" w:sz="4" w:space="0" w:color="auto"/>
                  </w:tcBorders>
                  <w:shd w:val="clear" w:color="auto" w:fill="auto"/>
                  <w:vAlign w:val="center"/>
                </w:tcPr>
                <w:p w14:paraId="6DF97A11" w14:textId="77777777" w:rsidR="000A77DC" w:rsidRPr="00B76DBE" w:rsidRDefault="000A77DC" w:rsidP="000A77DC">
                  <w:pPr>
                    <w:spacing w:before="0" w:after="0"/>
                    <w:rPr>
                      <w:rFonts w:eastAsia="Times New Roman" w:cs="Times New Roman"/>
                      <w:sz w:val="22"/>
                    </w:rPr>
                  </w:pPr>
                </w:p>
              </w:tc>
              <w:tc>
                <w:tcPr>
                  <w:tcW w:w="1194" w:type="dxa"/>
                  <w:tcBorders>
                    <w:top w:val="single" w:sz="4" w:space="0" w:color="auto"/>
                    <w:left w:val="nil"/>
                    <w:bottom w:val="single" w:sz="4" w:space="0" w:color="auto"/>
                    <w:right w:val="single" w:sz="4" w:space="0" w:color="auto"/>
                  </w:tcBorders>
                  <w:shd w:val="clear" w:color="auto" w:fill="auto"/>
                  <w:noWrap/>
                  <w:vAlign w:val="center"/>
                </w:tcPr>
                <w:p w14:paraId="16CCC97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ADAM10</w:t>
                  </w:r>
                </w:p>
              </w:tc>
              <w:tc>
                <w:tcPr>
                  <w:tcW w:w="1109" w:type="dxa"/>
                  <w:tcBorders>
                    <w:top w:val="single" w:sz="4" w:space="0" w:color="auto"/>
                    <w:left w:val="nil"/>
                    <w:bottom w:val="single" w:sz="4" w:space="0" w:color="auto"/>
                    <w:right w:val="single" w:sz="4" w:space="0" w:color="auto"/>
                  </w:tcBorders>
                  <w:shd w:val="clear" w:color="auto" w:fill="auto"/>
                  <w:vAlign w:val="center"/>
                </w:tcPr>
                <w:p w14:paraId="495A04F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139712</w:t>
                  </w:r>
                </w:p>
              </w:tc>
              <w:tc>
                <w:tcPr>
                  <w:tcW w:w="1744" w:type="dxa"/>
                  <w:tcBorders>
                    <w:top w:val="single" w:sz="4" w:space="0" w:color="auto"/>
                    <w:left w:val="nil"/>
                    <w:bottom w:val="single" w:sz="4" w:space="0" w:color="auto"/>
                    <w:right w:val="single" w:sz="4" w:space="0" w:color="auto"/>
                  </w:tcBorders>
                  <w:shd w:val="clear" w:color="auto" w:fill="auto"/>
                  <w:vAlign w:val="center"/>
                </w:tcPr>
                <w:p w14:paraId="1D7E5C8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w:t>
                  </w:r>
                </w:p>
              </w:tc>
              <w:tc>
                <w:tcPr>
                  <w:tcW w:w="2613" w:type="dxa"/>
                  <w:tcBorders>
                    <w:top w:val="nil"/>
                    <w:left w:val="nil"/>
                    <w:bottom w:val="single" w:sz="4" w:space="0" w:color="auto"/>
                    <w:right w:val="single" w:sz="4" w:space="0" w:color="auto"/>
                  </w:tcBorders>
                  <w:shd w:val="clear" w:color="auto" w:fill="auto"/>
                  <w:noWrap/>
                  <w:vAlign w:val="center"/>
                </w:tcPr>
                <w:p w14:paraId="13B0F2ED" w14:textId="77777777" w:rsidR="000A77DC" w:rsidRPr="00B76DBE" w:rsidRDefault="000A77DC" w:rsidP="000A77DC">
                  <w:pPr>
                    <w:spacing w:before="0" w:after="0"/>
                    <w:rPr>
                      <w:rFonts w:eastAsia="Times New Roman" w:cs="Times New Roman"/>
                      <w:bCs/>
                      <w:sz w:val="22"/>
                    </w:rPr>
                  </w:pPr>
                  <w:r w:rsidRPr="00B76DBE">
                    <w:rPr>
                      <w:rFonts w:eastAsia="Times New Roman" w:cs="Times New Roman"/>
                      <w:bCs/>
                      <w:sz w:val="22"/>
                    </w:rPr>
                    <w:t>R&amp;D Systems</w:t>
                  </w:r>
                </w:p>
              </w:tc>
            </w:tr>
            <w:tr w:rsidR="00B76DBE" w:rsidRPr="00B76DBE" w14:paraId="4F8FA966" w14:textId="77777777" w:rsidTr="00754704">
              <w:trPr>
                <w:trHeight w:val="216"/>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4BD025E8" w14:textId="77777777" w:rsidR="000A77DC" w:rsidRPr="00B76DBE" w:rsidRDefault="000A77DC" w:rsidP="000A77DC">
                  <w:pPr>
                    <w:spacing w:before="0" w:after="0"/>
                    <w:rPr>
                      <w:rFonts w:eastAsia="Times New Roman" w:cs="Times New Roman"/>
                      <w:i/>
                      <w:sz w:val="22"/>
                    </w:rPr>
                  </w:pPr>
                  <w:r w:rsidRPr="00B76DBE">
                    <w:rPr>
                      <w:rFonts w:eastAsia="Times New Roman" w:cs="Times New Roman"/>
                      <w:i/>
                      <w:sz w:val="22"/>
                    </w:rPr>
                    <w:t>in vivo</w:t>
                  </w:r>
                </w:p>
                <w:p w14:paraId="0B4B24A1"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CD4</w:t>
                  </w:r>
                  <w:r w:rsidRPr="00B76DBE">
                    <w:rPr>
                      <w:rFonts w:eastAsia="Times New Roman" w:cs="Times New Roman"/>
                      <w:sz w:val="22"/>
                      <w:vertAlign w:val="superscript"/>
                    </w:rPr>
                    <w:t>+</w:t>
                  </w:r>
                  <w:r w:rsidRPr="00B76DBE">
                    <w:rPr>
                      <w:rFonts w:eastAsia="Times New Roman" w:cs="Times New Roman"/>
                      <w:sz w:val="22"/>
                    </w:rPr>
                    <w:t xml:space="preserve"> and </w:t>
                  </w:r>
                  <w:proofErr w:type="spellStart"/>
                  <w:r w:rsidRPr="00B76DBE">
                    <w:rPr>
                      <w:rFonts w:eastAsia="Times New Roman" w:cs="Times New Roman"/>
                      <w:sz w:val="22"/>
                    </w:rPr>
                    <w:t>γδ</w:t>
                  </w:r>
                  <w:proofErr w:type="spellEnd"/>
                  <w:r w:rsidRPr="00B76DBE">
                    <w:rPr>
                      <w:rFonts w:eastAsia="Times New Roman" w:cs="Times New Roman"/>
                      <w:sz w:val="22"/>
                    </w:rPr>
                    <w:t xml:space="preserve"> T cells</w:t>
                  </w:r>
                </w:p>
              </w:tc>
              <w:tc>
                <w:tcPr>
                  <w:tcW w:w="4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C8E4D1"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LiveDead</w:t>
                  </w:r>
                  <w:proofErr w:type="spellEnd"/>
                  <w:r w:rsidRPr="00B76DBE">
                    <w:rPr>
                      <w:rFonts w:eastAsia="Times New Roman" w:cs="Times New Roman"/>
                      <w:sz w:val="22"/>
                    </w:rPr>
                    <w:t xml:space="preserve"> Fixable Blue</w:t>
                  </w:r>
                </w:p>
              </w:tc>
              <w:tc>
                <w:tcPr>
                  <w:tcW w:w="2613" w:type="dxa"/>
                  <w:tcBorders>
                    <w:top w:val="nil"/>
                    <w:left w:val="nil"/>
                    <w:bottom w:val="single" w:sz="4" w:space="0" w:color="auto"/>
                    <w:right w:val="single" w:sz="4" w:space="0" w:color="auto"/>
                  </w:tcBorders>
                  <w:shd w:val="clear" w:color="auto" w:fill="auto"/>
                  <w:noWrap/>
                  <w:vAlign w:val="center"/>
                  <w:hideMark/>
                </w:tcPr>
                <w:p w14:paraId="21FF05D6" w14:textId="77777777" w:rsidR="000A77DC" w:rsidRPr="00B76DBE" w:rsidRDefault="000A77DC" w:rsidP="000A77DC">
                  <w:pPr>
                    <w:spacing w:before="0" w:after="0"/>
                    <w:rPr>
                      <w:rFonts w:eastAsia="Times New Roman" w:cs="Times New Roman"/>
                      <w:bCs/>
                      <w:sz w:val="22"/>
                    </w:rPr>
                  </w:pPr>
                  <w:proofErr w:type="spellStart"/>
                  <w:r w:rsidRPr="00B76DBE">
                    <w:rPr>
                      <w:rFonts w:eastAsia="Times New Roman" w:cs="Times New Roman"/>
                      <w:bCs/>
                      <w:sz w:val="22"/>
                    </w:rPr>
                    <w:t>Thermo</w:t>
                  </w:r>
                  <w:proofErr w:type="spellEnd"/>
                  <w:r w:rsidRPr="00B76DBE">
                    <w:rPr>
                      <w:rFonts w:eastAsia="Times New Roman" w:cs="Times New Roman"/>
                      <w:bCs/>
                      <w:sz w:val="22"/>
                    </w:rPr>
                    <w:t xml:space="preserve"> Fisher Scientific</w:t>
                  </w:r>
                </w:p>
              </w:tc>
            </w:tr>
            <w:tr w:rsidR="00B76DBE" w:rsidRPr="00B76DBE" w14:paraId="5ABE5B41"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56292E8"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41AABAD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CD3</w:t>
                  </w:r>
                </w:p>
              </w:tc>
              <w:tc>
                <w:tcPr>
                  <w:tcW w:w="1109" w:type="dxa"/>
                  <w:tcBorders>
                    <w:top w:val="nil"/>
                    <w:left w:val="nil"/>
                    <w:bottom w:val="single" w:sz="4" w:space="0" w:color="auto"/>
                    <w:right w:val="single" w:sz="4" w:space="0" w:color="auto"/>
                  </w:tcBorders>
                  <w:shd w:val="clear" w:color="auto" w:fill="auto"/>
                  <w:noWrap/>
                  <w:vAlign w:val="center"/>
                  <w:hideMark/>
                </w:tcPr>
                <w:p w14:paraId="4DCF1E9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17A2</w:t>
                  </w:r>
                </w:p>
              </w:tc>
              <w:tc>
                <w:tcPr>
                  <w:tcW w:w="1744" w:type="dxa"/>
                  <w:tcBorders>
                    <w:top w:val="nil"/>
                    <w:left w:val="nil"/>
                    <w:bottom w:val="single" w:sz="4" w:space="0" w:color="auto"/>
                    <w:right w:val="single" w:sz="4" w:space="0" w:color="auto"/>
                  </w:tcBorders>
                  <w:shd w:val="clear" w:color="auto" w:fill="auto"/>
                  <w:noWrap/>
                  <w:vAlign w:val="center"/>
                  <w:hideMark/>
                </w:tcPr>
                <w:p w14:paraId="1DD5D8E2"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BV510</w:t>
                  </w:r>
                </w:p>
              </w:tc>
              <w:tc>
                <w:tcPr>
                  <w:tcW w:w="2613" w:type="dxa"/>
                  <w:tcBorders>
                    <w:top w:val="nil"/>
                    <w:left w:val="nil"/>
                    <w:bottom w:val="single" w:sz="4" w:space="0" w:color="auto"/>
                    <w:right w:val="single" w:sz="4" w:space="0" w:color="auto"/>
                  </w:tcBorders>
                  <w:shd w:val="clear" w:color="auto" w:fill="auto"/>
                  <w:noWrap/>
                  <w:vAlign w:val="center"/>
                  <w:hideMark/>
                </w:tcPr>
                <w:p w14:paraId="2FEE0EE6"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69516BDE"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3BFB450"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7C7549E2"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CD4</w:t>
                  </w:r>
                </w:p>
              </w:tc>
              <w:tc>
                <w:tcPr>
                  <w:tcW w:w="1109" w:type="dxa"/>
                  <w:tcBorders>
                    <w:top w:val="nil"/>
                    <w:left w:val="nil"/>
                    <w:bottom w:val="single" w:sz="4" w:space="0" w:color="auto"/>
                    <w:right w:val="single" w:sz="4" w:space="0" w:color="auto"/>
                  </w:tcBorders>
                  <w:shd w:val="clear" w:color="auto" w:fill="auto"/>
                  <w:noWrap/>
                  <w:vAlign w:val="center"/>
                  <w:hideMark/>
                </w:tcPr>
                <w:p w14:paraId="3AA067B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RM4-5</w:t>
                  </w:r>
                </w:p>
              </w:tc>
              <w:tc>
                <w:tcPr>
                  <w:tcW w:w="1744" w:type="dxa"/>
                  <w:tcBorders>
                    <w:top w:val="nil"/>
                    <w:left w:val="nil"/>
                    <w:bottom w:val="single" w:sz="4" w:space="0" w:color="auto"/>
                    <w:right w:val="single" w:sz="4" w:space="0" w:color="auto"/>
                  </w:tcBorders>
                  <w:shd w:val="clear" w:color="auto" w:fill="auto"/>
                  <w:noWrap/>
                  <w:vAlign w:val="center"/>
                  <w:hideMark/>
                </w:tcPr>
                <w:p w14:paraId="36B81187"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BV605</w:t>
                  </w:r>
                </w:p>
              </w:tc>
              <w:tc>
                <w:tcPr>
                  <w:tcW w:w="2613" w:type="dxa"/>
                  <w:tcBorders>
                    <w:top w:val="nil"/>
                    <w:left w:val="nil"/>
                    <w:bottom w:val="single" w:sz="4" w:space="0" w:color="auto"/>
                    <w:right w:val="single" w:sz="4" w:space="0" w:color="auto"/>
                  </w:tcBorders>
                  <w:shd w:val="clear" w:color="auto" w:fill="auto"/>
                  <w:noWrap/>
                  <w:vAlign w:val="center"/>
                  <w:hideMark/>
                </w:tcPr>
                <w:p w14:paraId="4E854268"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0C33C781"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73A4068D"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769C466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γδTCR</w:t>
                  </w:r>
                </w:p>
              </w:tc>
              <w:tc>
                <w:tcPr>
                  <w:tcW w:w="1109" w:type="dxa"/>
                  <w:tcBorders>
                    <w:top w:val="nil"/>
                    <w:left w:val="nil"/>
                    <w:bottom w:val="single" w:sz="4" w:space="0" w:color="auto"/>
                    <w:right w:val="single" w:sz="4" w:space="0" w:color="auto"/>
                  </w:tcBorders>
                  <w:shd w:val="clear" w:color="auto" w:fill="auto"/>
                  <w:noWrap/>
                  <w:vAlign w:val="center"/>
                  <w:hideMark/>
                </w:tcPr>
                <w:p w14:paraId="6446E9DD"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eBioGL3</w:t>
                  </w:r>
                </w:p>
              </w:tc>
              <w:tc>
                <w:tcPr>
                  <w:tcW w:w="1744" w:type="dxa"/>
                  <w:tcBorders>
                    <w:top w:val="nil"/>
                    <w:left w:val="nil"/>
                    <w:bottom w:val="single" w:sz="4" w:space="0" w:color="auto"/>
                    <w:right w:val="single" w:sz="4" w:space="0" w:color="auto"/>
                  </w:tcBorders>
                  <w:shd w:val="clear" w:color="auto" w:fill="auto"/>
                  <w:noWrap/>
                  <w:vAlign w:val="center"/>
                  <w:hideMark/>
                </w:tcPr>
                <w:p w14:paraId="0F869F8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FITC</w:t>
                  </w:r>
                </w:p>
              </w:tc>
              <w:tc>
                <w:tcPr>
                  <w:tcW w:w="2613" w:type="dxa"/>
                  <w:tcBorders>
                    <w:top w:val="nil"/>
                    <w:left w:val="nil"/>
                    <w:bottom w:val="single" w:sz="4" w:space="0" w:color="auto"/>
                    <w:right w:val="single" w:sz="4" w:space="0" w:color="auto"/>
                  </w:tcBorders>
                  <w:shd w:val="clear" w:color="auto" w:fill="auto"/>
                  <w:noWrap/>
                  <w:vAlign w:val="center"/>
                  <w:hideMark/>
                </w:tcPr>
                <w:p w14:paraId="3AA2A229"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eBioscience</w:t>
                  </w:r>
                  <w:proofErr w:type="spellEnd"/>
                </w:p>
              </w:tc>
            </w:tr>
            <w:tr w:rsidR="00B76DBE" w:rsidRPr="00B76DBE" w14:paraId="2E9022DD"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397953B7"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7E8D61A1"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RORγt</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14:paraId="10E748A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Q31-378</w:t>
                  </w:r>
                </w:p>
              </w:tc>
              <w:tc>
                <w:tcPr>
                  <w:tcW w:w="1744" w:type="dxa"/>
                  <w:tcBorders>
                    <w:top w:val="nil"/>
                    <w:left w:val="nil"/>
                    <w:bottom w:val="single" w:sz="4" w:space="0" w:color="auto"/>
                    <w:right w:val="single" w:sz="4" w:space="0" w:color="auto"/>
                  </w:tcBorders>
                  <w:shd w:val="clear" w:color="auto" w:fill="auto"/>
                  <w:noWrap/>
                  <w:vAlign w:val="center"/>
                  <w:hideMark/>
                </w:tcPr>
                <w:p w14:paraId="13DA6577"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BV421</w:t>
                  </w:r>
                </w:p>
              </w:tc>
              <w:tc>
                <w:tcPr>
                  <w:tcW w:w="2613" w:type="dxa"/>
                  <w:tcBorders>
                    <w:top w:val="nil"/>
                    <w:left w:val="nil"/>
                    <w:bottom w:val="single" w:sz="4" w:space="0" w:color="auto"/>
                    <w:right w:val="single" w:sz="4" w:space="0" w:color="auto"/>
                  </w:tcBorders>
                  <w:shd w:val="clear" w:color="auto" w:fill="auto"/>
                  <w:noWrap/>
                  <w:vAlign w:val="center"/>
                  <w:hideMark/>
                </w:tcPr>
                <w:p w14:paraId="3C734E50"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BD Biosciences</w:t>
                  </w:r>
                </w:p>
              </w:tc>
            </w:tr>
            <w:tr w:rsidR="00B76DBE" w:rsidRPr="00B76DBE" w14:paraId="578C65FA"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6A963CEB"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20ABEBE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T-bet</w:t>
                  </w:r>
                </w:p>
              </w:tc>
              <w:tc>
                <w:tcPr>
                  <w:tcW w:w="1109" w:type="dxa"/>
                  <w:tcBorders>
                    <w:top w:val="nil"/>
                    <w:left w:val="nil"/>
                    <w:bottom w:val="single" w:sz="4" w:space="0" w:color="auto"/>
                    <w:right w:val="single" w:sz="4" w:space="0" w:color="auto"/>
                  </w:tcBorders>
                  <w:shd w:val="clear" w:color="auto" w:fill="auto"/>
                  <w:noWrap/>
                  <w:vAlign w:val="center"/>
                  <w:hideMark/>
                </w:tcPr>
                <w:p w14:paraId="7E8598F0"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4B10</w:t>
                  </w:r>
                </w:p>
              </w:tc>
              <w:tc>
                <w:tcPr>
                  <w:tcW w:w="1744" w:type="dxa"/>
                  <w:tcBorders>
                    <w:top w:val="nil"/>
                    <w:left w:val="nil"/>
                    <w:bottom w:val="single" w:sz="4" w:space="0" w:color="auto"/>
                    <w:right w:val="single" w:sz="4" w:space="0" w:color="auto"/>
                  </w:tcBorders>
                  <w:shd w:val="clear" w:color="auto" w:fill="auto"/>
                  <w:noWrap/>
                  <w:vAlign w:val="center"/>
                  <w:hideMark/>
                </w:tcPr>
                <w:p w14:paraId="66492CD7"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PE/Cy7</w:t>
                  </w:r>
                </w:p>
              </w:tc>
              <w:tc>
                <w:tcPr>
                  <w:tcW w:w="2613" w:type="dxa"/>
                  <w:tcBorders>
                    <w:top w:val="nil"/>
                    <w:left w:val="nil"/>
                    <w:bottom w:val="single" w:sz="4" w:space="0" w:color="auto"/>
                    <w:right w:val="single" w:sz="4" w:space="0" w:color="auto"/>
                  </w:tcBorders>
                  <w:shd w:val="clear" w:color="auto" w:fill="auto"/>
                  <w:noWrap/>
                  <w:vAlign w:val="center"/>
                  <w:hideMark/>
                </w:tcPr>
                <w:p w14:paraId="204A2579"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268B1A1D"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40310B8D"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3494F0FF"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IFNγ</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14:paraId="50EE3922"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XMG1.2</w:t>
                  </w:r>
                </w:p>
              </w:tc>
              <w:tc>
                <w:tcPr>
                  <w:tcW w:w="1744" w:type="dxa"/>
                  <w:tcBorders>
                    <w:top w:val="nil"/>
                    <w:left w:val="nil"/>
                    <w:bottom w:val="single" w:sz="4" w:space="0" w:color="auto"/>
                    <w:right w:val="single" w:sz="4" w:space="0" w:color="auto"/>
                  </w:tcBorders>
                  <w:shd w:val="clear" w:color="auto" w:fill="auto"/>
                  <w:noWrap/>
                  <w:vAlign w:val="center"/>
                  <w:hideMark/>
                </w:tcPr>
                <w:p w14:paraId="5E12A6A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BV785</w:t>
                  </w:r>
                </w:p>
              </w:tc>
              <w:tc>
                <w:tcPr>
                  <w:tcW w:w="2613" w:type="dxa"/>
                  <w:tcBorders>
                    <w:top w:val="nil"/>
                    <w:left w:val="nil"/>
                    <w:bottom w:val="single" w:sz="4" w:space="0" w:color="auto"/>
                    <w:right w:val="single" w:sz="4" w:space="0" w:color="auto"/>
                  </w:tcBorders>
                  <w:shd w:val="clear" w:color="auto" w:fill="auto"/>
                  <w:noWrap/>
                  <w:vAlign w:val="center"/>
                  <w:hideMark/>
                </w:tcPr>
                <w:p w14:paraId="0C90B562"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3955F9A8"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41759623"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570DA11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IL-17</w:t>
                  </w:r>
                </w:p>
              </w:tc>
              <w:tc>
                <w:tcPr>
                  <w:tcW w:w="1109" w:type="dxa"/>
                  <w:tcBorders>
                    <w:top w:val="nil"/>
                    <w:left w:val="nil"/>
                    <w:bottom w:val="single" w:sz="4" w:space="0" w:color="auto"/>
                    <w:right w:val="single" w:sz="4" w:space="0" w:color="auto"/>
                  </w:tcBorders>
                  <w:shd w:val="clear" w:color="auto" w:fill="auto"/>
                  <w:noWrap/>
                  <w:vAlign w:val="center"/>
                  <w:hideMark/>
                </w:tcPr>
                <w:p w14:paraId="40EAE50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eBio17B7</w:t>
                  </w:r>
                </w:p>
              </w:tc>
              <w:tc>
                <w:tcPr>
                  <w:tcW w:w="1744" w:type="dxa"/>
                  <w:tcBorders>
                    <w:top w:val="nil"/>
                    <w:left w:val="nil"/>
                    <w:bottom w:val="single" w:sz="4" w:space="0" w:color="auto"/>
                    <w:right w:val="single" w:sz="4" w:space="0" w:color="auto"/>
                  </w:tcBorders>
                  <w:shd w:val="clear" w:color="auto" w:fill="auto"/>
                  <w:noWrap/>
                  <w:vAlign w:val="center"/>
                  <w:hideMark/>
                </w:tcPr>
                <w:p w14:paraId="0E60EAF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w:t>
                  </w:r>
                </w:p>
              </w:tc>
              <w:tc>
                <w:tcPr>
                  <w:tcW w:w="2613" w:type="dxa"/>
                  <w:tcBorders>
                    <w:top w:val="nil"/>
                    <w:left w:val="nil"/>
                    <w:bottom w:val="single" w:sz="4" w:space="0" w:color="auto"/>
                    <w:right w:val="single" w:sz="4" w:space="0" w:color="auto"/>
                  </w:tcBorders>
                  <w:shd w:val="clear" w:color="auto" w:fill="auto"/>
                  <w:noWrap/>
                  <w:vAlign w:val="center"/>
                  <w:hideMark/>
                </w:tcPr>
                <w:p w14:paraId="372248F7"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eBioscience</w:t>
                  </w:r>
                  <w:proofErr w:type="spellEnd"/>
                </w:p>
              </w:tc>
            </w:tr>
            <w:tr w:rsidR="00B76DBE" w:rsidRPr="00B76DBE" w14:paraId="01CEC70C" w14:textId="77777777" w:rsidTr="00754704">
              <w:trPr>
                <w:trHeight w:val="216"/>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32577846" w14:textId="77777777" w:rsidR="000A77DC" w:rsidRPr="00B76DBE" w:rsidRDefault="000A77DC" w:rsidP="000A77DC">
                  <w:pPr>
                    <w:spacing w:before="0" w:after="0"/>
                    <w:rPr>
                      <w:rFonts w:eastAsia="Times New Roman" w:cs="Times New Roman"/>
                      <w:sz w:val="22"/>
                    </w:rPr>
                  </w:pPr>
                  <w:r w:rsidRPr="00B76DBE">
                    <w:rPr>
                      <w:rFonts w:eastAsia="Times New Roman" w:cs="Times New Roman"/>
                      <w:i/>
                      <w:sz w:val="22"/>
                    </w:rPr>
                    <w:t>in vivo</w:t>
                  </w:r>
                </w:p>
                <w:p w14:paraId="60ADF1E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ILCs</w:t>
                  </w:r>
                </w:p>
              </w:tc>
              <w:tc>
                <w:tcPr>
                  <w:tcW w:w="4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259737"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LiveDead</w:t>
                  </w:r>
                  <w:proofErr w:type="spellEnd"/>
                  <w:r w:rsidRPr="00B76DBE">
                    <w:rPr>
                      <w:rFonts w:eastAsia="Times New Roman" w:cs="Times New Roman"/>
                      <w:sz w:val="22"/>
                    </w:rPr>
                    <w:t xml:space="preserve"> Fixable Blue</w:t>
                  </w:r>
                </w:p>
              </w:tc>
              <w:tc>
                <w:tcPr>
                  <w:tcW w:w="2613" w:type="dxa"/>
                  <w:tcBorders>
                    <w:top w:val="nil"/>
                    <w:left w:val="nil"/>
                    <w:bottom w:val="single" w:sz="4" w:space="0" w:color="auto"/>
                    <w:right w:val="single" w:sz="4" w:space="0" w:color="auto"/>
                  </w:tcBorders>
                  <w:shd w:val="clear" w:color="auto" w:fill="auto"/>
                  <w:noWrap/>
                  <w:vAlign w:val="center"/>
                  <w:hideMark/>
                </w:tcPr>
                <w:p w14:paraId="1926D53A" w14:textId="77777777" w:rsidR="000A77DC" w:rsidRPr="00B76DBE" w:rsidRDefault="000A77DC" w:rsidP="000A77DC">
                  <w:pPr>
                    <w:spacing w:before="0" w:after="0"/>
                    <w:rPr>
                      <w:rFonts w:eastAsia="Times New Roman" w:cs="Times New Roman"/>
                      <w:bCs/>
                      <w:sz w:val="22"/>
                    </w:rPr>
                  </w:pPr>
                  <w:proofErr w:type="spellStart"/>
                  <w:r w:rsidRPr="00B76DBE">
                    <w:rPr>
                      <w:rFonts w:eastAsia="Times New Roman" w:cs="Times New Roman"/>
                      <w:bCs/>
                      <w:sz w:val="22"/>
                    </w:rPr>
                    <w:t>Thermo</w:t>
                  </w:r>
                  <w:proofErr w:type="spellEnd"/>
                  <w:r w:rsidRPr="00B76DBE">
                    <w:rPr>
                      <w:rFonts w:eastAsia="Times New Roman" w:cs="Times New Roman"/>
                      <w:bCs/>
                      <w:sz w:val="22"/>
                    </w:rPr>
                    <w:t xml:space="preserve"> Fisher Scientific</w:t>
                  </w:r>
                </w:p>
              </w:tc>
            </w:tr>
            <w:tr w:rsidR="00B76DBE" w:rsidRPr="00B76DBE" w14:paraId="1D654455"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74B6DAF1"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25FA499D"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CD3</w:t>
                  </w:r>
                </w:p>
              </w:tc>
              <w:tc>
                <w:tcPr>
                  <w:tcW w:w="1109" w:type="dxa"/>
                  <w:tcBorders>
                    <w:top w:val="nil"/>
                    <w:left w:val="nil"/>
                    <w:bottom w:val="single" w:sz="4" w:space="0" w:color="auto"/>
                    <w:right w:val="single" w:sz="4" w:space="0" w:color="auto"/>
                  </w:tcBorders>
                  <w:shd w:val="clear" w:color="auto" w:fill="auto"/>
                  <w:noWrap/>
                  <w:vAlign w:val="center"/>
                  <w:hideMark/>
                </w:tcPr>
                <w:p w14:paraId="0DE6D26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17A2</w:t>
                  </w:r>
                </w:p>
              </w:tc>
              <w:tc>
                <w:tcPr>
                  <w:tcW w:w="1744" w:type="dxa"/>
                  <w:tcBorders>
                    <w:top w:val="nil"/>
                    <w:left w:val="nil"/>
                    <w:bottom w:val="single" w:sz="4" w:space="0" w:color="auto"/>
                    <w:right w:val="single" w:sz="4" w:space="0" w:color="auto"/>
                  </w:tcBorders>
                  <w:shd w:val="clear" w:color="auto" w:fill="auto"/>
                  <w:noWrap/>
                  <w:vAlign w:val="center"/>
                  <w:hideMark/>
                </w:tcPr>
                <w:p w14:paraId="6B2235A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1A71DE2E"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48D2A799"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0FB3E81"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5199BB9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CD11c</w:t>
                  </w:r>
                </w:p>
              </w:tc>
              <w:tc>
                <w:tcPr>
                  <w:tcW w:w="1109" w:type="dxa"/>
                  <w:tcBorders>
                    <w:top w:val="nil"/>
                    <w:left w:val="nil"/>
                    <w:bottom w:val="single" w:sz="4" w:space="0" w:color="auto"/>
                    <w:right w:val="single" w:sz="4" w:space="0" w:color="auto"/>
                  </w:tcBorders>
                  <w:shd w:val="clear" w:color="auto" w:fill="auto"/>
                  <w:noWrap/>
                  <w:vAlign w:val="center"/>
                  <w:hideMark/>
                </w:tcPr>
                <w:p w14:paraId="11BEA32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N418</w:t>
                  </w:r>
                </w:p>
              </w:tc>
              <w:tc>
                <w:tcPr>
                  <w:tcW w:w="1744" w:type="dxa"/>
                  <w:tcBorders>
                    <w:top w:val="nil"/>
                    <w:left w:val="nil"/>
                    <w:bottom w:val="single" w:sz="4" w:space="0" w:color="auto"/>
                    <w:right w:val="single" w:sz="4" w:space="0" w:color="auto"/>
                  </w:tcBorders>
                  <w:shd w:val="clear" w:color="auto" w:fill="auto"/>
                  <w:noWrap/>
                  <w:vAlign w:val="center"/>
                  <w:hideMark/>
                </w:tcPr>
                <w:p w14:paraId="5986602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132335C6"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4889413B"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4747B09"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13A0FC09"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CD19</w:t>
                  </w:r>
                </w:p>
              </w:tc>
              <w:tc>
                <w:tcPr>
                  <w:tcW w:w="1109" w:type="dxa"/>
                  <w:tcBorders>
                    <w:top w:val="nil"/>
                    <w:left w:val="nil"/>
                    <w:bottom w:val="single" w:sz="4" w:space="0" w:color="auto"/>
                    <w:right w:val="single" w:sz="4" w:space="0" w:color="auto"/>
                  </w:tcBorders>
                  <w:shd w:val="clear" w:color="auto" w:fill="auto"/>
                  <w:noWrap/>
                  <w:vAlign w:val="center"/>
                  <w:hideMark/>
                </w:tcPr>
                <w:p w14:paraId="21F1B119"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6D5</w:t>
                  </w:r>
                </w:p>
              </w:tc>
              <w:tc>
                <w:tcPr>
                  <w:tcW w:w="1744" w:type="dxa"/>
                  <w:tcBorders>
                    <w:top w:val="nil"/>
                    <w:left w:val="nil"/>
                    <w:bottom w:val="single" w:sz="4" w:space="0" w:color="auto"/>
                    <w:right w:val="single" w:sz="4" w:space="0" w:color="auto"/>
                  </w:tcBorders>
                  <w:shd w:val="clear" w:color="auto" w:fill="auto"/>
                  <w:noWrap/>
                  <w:vAlign w:val="center"/>
                  <w:hideMark/>
                </w:tcPr>
                <w:p w14:paraId="5023DF07"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0B2FEC4F"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3CD3BC61"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498468E"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70D7926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CD127</w:t>
                  </w:r>
                </w:p>
              </w:tc>
              <w:tc>
                <w:tcPr>
                  <w:tcW w:w="1109" w:type="dxa"/>
                  <w:tcBorders>
                    <w:top w:val="nil"/>
                    <w:left w:val="nil"/>
                    <w:bottom w:val="single" w:sz="4" w:space="0" w:color="auto"/>
                    <w:right w:val="single" w:sz="4" w:space="0" w:color="auto"/>
                  </w:tcBorders>
                  <w:shd w:val="clear" w:color="auto" w:fill="auto"/>
                  <w:noWrap/>
                  <w:vAlign w:val="center"/>
                  <w:hideMark/>
                </w:tcPr>
                <w:p w14:paraId="19191519"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A7R34</w:t>
                  </w:r>
                </w:p>
              </w:tc>
              <w:tc>
                <w:tcPr>
                  <w:tcW w:w="1744" w:type="dxa"/>
                  <w:tcBorders>
                    <w:top w:val="nil"/>
                    <w:left w:val="nil"/>
                    <w:bottom w:val="single" w:sz="4" w:space="0" w:color="auto"/>
                    <w:right w:val="single" w:sz="4" w:space="0" w:color="auto"/>
                  </w:tcBorders>
                  <w:shd w:val="clear" w:color="auto" w:fill="auto"/>
                  <w:noWrap/>
                  <w:vAlign w:val="center"/>
                  <w:hideMark/>
                </w:tcPr>
                <w:p w14:paraId="724B2E3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w:t>
                  </w:r>
                </w:p>
              </w:tc>
              <w:tc>
                <w:tcPr>
                  <w:tcW w:w="2613" w:type="dxa"/>
                  <w:tcBorders>
                    <w:top w:val="nil"/>
                    <w:left w:val="nil"/>
                    <w:bottom w:val="single" w:sz="4" w:space="0" w:color="auto"/>
                    <w:right w:val="single" w:sz="4" w:space="0" w:color="auto"/>
                  </w:tcBorders>
                  <w:shd w:val="clear" w:color="auto" w:fill="auto"/>
                  <w:noWrap/>
                  <w:vAlign w:val="center"/>
                  <w:hideMark/>
                </w:tcPr>
                <w:p w14:paraId="49397895"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1CD2C9B2"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21EE9D52"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5A16229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Gr1</w:t>
                  </w:r>
                </w:p>
              </w:tc>
              <w:tc>
                <w:tcPr>
                  <w:tcW w:w="1109" w:type="dxa"/>
                  <w:tcBorders>
                    <w:top w:val="nil"/>
                    <w:left w:val="nil"/>
                    <w:bottom w:val="single" w:sz="4" w:space="0" w:color="auto"/>
                    <w:right w:val="single" w:sz="4" w:space="0" w:color="auto"/>
                  </w:tcBorders>
                  <w:shd w:val="clear" w:color="auto" w:fill="auto"/>
                  <w:noWrap/>
                  <w:vAlign w:val="center"/>
                  <w:hideMark/>
                </w:tcPr>
                <w:p w14:paraId="1E39BF7E"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RB6-8C5</w:t>
                  </w:r>
                </w:p>
              </w:tc>
              <w:tc>
                <w:tcPr>
                  <w:tcW w:w="1744" w:type="dxa"/>
                  <w:tcBorders>
                    <w:top w:val="nil"/>
                    <w:left w:val="nil"/>
                    <w:bottom w:val="single" w:sz="4" w:space="0" w:color="auto"/>
                    <w:right w:val="single" w:sz="4" w:space="0" w:color="auto"/>
                  </w:tcBorders>
                  <w:shd w:val="clear" w:color="auto" w:fill="auto"/>
                  <w:noWrap/>
                  <w:vAlign w:val="center"/>
                  <w:hideMark/>
                </w:tcPr>
                <w:p w14:paraId="287406F0"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063AE794"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6DCFD50C"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D907C97"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0B089F4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Ter119</w:t>
                  </w:r>
                </w:p>
              </w:tc>
              <w:tc>
                <w:tcPr>
                  <w:tcW w:w="1109" w:type="dxa"/>
                  <w:tcBorders>
                    <w:top w:val="nil"/>
                    <w:left w:val="nil"/>
                    <w:bottom w:val="single" w:sz="4" w:space="0" w:color="auto"/>
                    <w:right w:val="single" w:sz="4" w:space="0" w:color="auto"/>
                  </w:tcBorders>
                  <w:shd w:val="clear" w:color="auto" w:fill="auto"/>
                  <w:noWrap/>
                  <w:vAlign w:val="center"/>
                  <w:hideMark/>
                </w:tcPr>
                <w:p w14:paraId="64D301EA"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TER-119</w:t>
                  </w:r>
                </w:p>
              </w:tc>
              <w:tc>
                <w:tcPr>
                  <w:tcW w:w="1744" w:type="dxa"/>
                  <w:tcBorders>
                    <w:top w:val="nil"/>
                    <w:left w:val="nil"/>
                    <w:bottom w:val="single" w:sz="4" w:space="0" w:color="auto"/>
                    <w:right w:val="single" w:sz="4" w:space="0" w:color="auto"/>
                  </w:tcBorders>
                  <w:shd w:val="clear" w:color="auto" w:fill="auto"/>
                  <w:noWrap/>
                  <w:vAlign w:val="center"/>
                  <w:hideMark/>
                </w:tcPr>
                <w:p w14:paraId="0DFD64C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APC</w:t>
                  </w:r>
                </w:p>
              </w:tc>
              <w:tc>
                <w:tcPr>
                  <w:tcW w:w="2613" w:type="dxa"/>
                  <w:tcBorders>
                    <w:top w:val="nil"/>
                    <w:left w:val="nil"/>
                    <w:bottom w:val="single" w:sz="4" w:space="0" w:color="auto"/>
                    <w:right w:val="single" w:sz="4" w:space="0" w:color="auto"/>
                  </w:tcBorders>
                  <w:shd w:val="clear" w:color="auto" w:fill="auto"/>
                  <w:noWrap/>
                  <w:vAlign w:val="center"/>
                  <w:hideMark/>
                </w:tcPr>
                <w:p w14:paraId="4D0FAF95"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79B93898"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92D191B"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32290271"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RORγt</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14:paraId="6A4F7686"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Q31-378</w:t>
                  </w:r>
                </w:p>
              </w:tc>
              <w:tc>
                <w:tcPr>
                  <w:tcW w:w="1744" w:type="dxa"/>
                  <w:tcBorders>
                    <w:top w:val="nil"/>
                    <w:left w:val="nil"/>
                    <w:bottom w:val="single" w:sz="4" w:space="0" w:color="auto"/>
                    <w:right w:val="single" w:sz="4" w:space="0" w:color="auto"/>
                  </w:tcBorders>
                  <w:shd w:val="clear" w:color="auto" w:fill="auto"/>
                  <w:noWrap/>
                  <w:vAlign w:val="center"/>
                  <w:hideMark/>
                </w:tcPr>
                <w:p w14:paraId="0582EBD8"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BV421</w:t>
                  </w:r>
                </w:p>
              </w:tc>
              <w:tc>
                <w:tcPr>
                  <w:tcW w:w="2613" w:type="dxa"/>
                  <w:tcBorders>
                    <w:top w:val="nil"/>
                    <w:left w:val="nil"/>
                    <w:bottom w:val="single" w:sz="4" w:space="0" w:color="auto"/>
                    <w:right w:val="single" w:sz="4" w:space="0" w:color="auto"/>
                  </w:tcBorders>
                  <w:shd w:val="clear" w:color="auto" w:fill="auto"/>
                  <w:noWrap/>
                  <w:vAlign w:val="center"/>
                  <w:hideMark/>
                </w:tcPr>
                <w:p w14:paraId="0A9E65EF"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BD Biosciences</w:t>
                  </w:r>
                </w:p>
              </w:tc>
            </w:tr>
            <w:tr w:rsidR="00B76DBE" w:rsidRPr="00B76DBE" w14:paraId="4C0B824C"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51BD16F4"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5E2672AB"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T-bet</w:t>
                  </w:r>
                </w:p>
              </w:tc>
              <w:tc>
                <w:tcPr>
                  <w:tcW w:w="1109" w:type="dxa"/>
                  <w:tcBorders>
                    <w:top w:val="nil"/>
                    <w:left w:val="nil"/>
                    <w:bottom w:val="single" w:sz="4" w:space="0" w:color="auto"/>
                    <w:right w:val="single" w:sz="4" w:space="0" w:color="auto"/>
                  </w:tcBorders>
                  <w:shd w:val="clear" w:color="auto" w:fill="auto"/>
                  <w:noWrap/>
                  <w:vAlign w:val="center"/>
                  <w:hideMark/>
                </w:tcPr>
                <w:p w14:paraId="0409F6C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4B10</w:t>
                  </w:r>
                </w:p>
              </w:tc>
              <w:tc>
                <w:tcPr>
                  <w:tcW w:w="1744" w:type="dxa"/>
                  <w:tcBorders>
                    <w:top w:val="nil"/>
                    <w:left w:val="nil"/>
                    <w:bottom w:val="single" w:sz="4" w:space="0" w:color="auto"/>
                    <w:right w:val="single" w:sz="4" w:space="0" w:color="auto"/>
                  </w:tcBorders>
                  <w:shd w:val="clear" w:color="auto" w:fill="auto"/>
                  <w:noWrap/>
                  <w:vAlign w:val="center"/>
                  <w:hideMark/>
                </w:tcPr>
                <w:p w14:paraId="0D4CA595"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PE/Cy7</w:t>
                  </w:r>
                </w:p>
              </w:tc>
              <w:tc>
                <w:tcPr>
                  <w:tcW w:w="2613" w:type="dxa"/>
                  <w:tcBorders>
                    <w:top w:val="nil"/>
                    <w:left w:val="nil"/>
                    <w:bottom w:val="single" w:sz="4" w:space="0" w:color="auto"/>
                    <w:right w:val="single" w:sz="4" w:space="0" w:color="auto"/>
                  </w:tcBorders>
                  <w:shd w:val="clear" w:color="auto" w:fill="auto"/>
                  <w:noWrap/>
                  <w:vAlign w:val="center"/>
                  <w:hideMark/>
                </w:tcPr>
                <w:p w14:paraId="5078F994"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BioLegend</w:t>
                  </w:r>
                  <w:proofErr w:type="spellEnd"/>
                </w:p>
              </w:tc>
            </w:tr>
            <w:tr w:rsidR="00B76DBE" w:rsidRPr="00B76DBE" w14:paraId="3C2C7F53" w14:textId="77777777" w:rsidTr="00754704">
              <w:trPr>
                <w:trHeight w:val="216"/>
              </w:trPr>
              <w:tc>
                <w:tcPr>
                  <w:tcW w:w="2085" w:type="dxa"/>
                  <w:vMerge/>
                  <w:tcBorders>
                    <w:top w:val="nil"/>
                    <w:left w:val="single" w:sz="4" w:space="0" w:color="auto"/>
                    <w:bottom w:val="single" w:sz="4" w:space="0" w:color="000000"/>
                    <w:right w:val="single" w:sz="4" w:space="0" w:color="auto"/>
                  </w:tcBorders>
                  <w:vAlign w:val="center"/>
                  <w:hideMark/>
                </w:tcPr>
                <w:p w14:paraId="70928E26" w14:textId="77777777" w:rsidR="000A77DC" w:rsidRPr="00B76DBE" w:rsidRDefault="000A77DC" w:rsidP="000A77DC">
                  <w:pPr>
                    <w:spacing w:before="0" w:after="0"/>
                    <w:rPr>
                      <w:rFonts w:eastAsia="Times New Roman" w:cs="Times New Roman"/>
                      <w:sz w:val="22"/>
                    </w:rPr>
                  </w:pPr>
                </w:p>
              </w:tc>
              <w:tc>
                <w:tcPr>
                  <w:tcW w:w="1194" w:type="dxa"/>
                  <w:tcBorders>
                    <w:top w:val="nil"/>
                    <w:left w:val="nil"/>
                    <w:bottom w:val="single" w:sz="4" w:space="0" w:color="auto"/>
                    <w:right w:val="single" w:sz="4" w:space="0" w:color="auto"/>
                  </w:tcBorders>
                  <w:shd w:val="clear" w:color="auto" w:fill="auto"/>
                  <w:noWrap/>
                  <w:vAlign w:val="center"/>
                  <w:hideMark/>
                </w:tcPr>
                <w:p w14:paraId="41644144"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Gata3</w:t>
                  </w:r>
                </w:p>
              </w:tc>
              <w:tc>
                <w:tcPr>
                  <w:tcW w:w="1109" w:type="dxa"/>
                  <w:tcBorders>
                    <w:top w:val="nil"/>
                    <w:left w:val="nil"/>
                    <w:bottom w:val="single" w:sz="4" w:space="0" w:color="auto"/>
                    <w:right w:val="single" w:sz="4" w:space="0" w:color="auto"/>
                  </w:tcBorders>
                  <w:shd w:val="clear" w:color="auto" w:fill="auto"/>
                  <w:noWrap/>
                  <w:vAlign w:val="center"/>
                  <w:hideMark/>
                </w:tcPr>
                <w:p w14:paraId="3E28921D" w14:textId="77777777" w:rsidR="000A77DC" w:rsidRPr="00B76DBE" w:rsidRDefault="000A77DC" w:rsidP="000A77DC">
                  <w:pPr>
                    <w:spacing w:before="0" w:after="0"/>
                    <w:rPr>
                      <w:rFonts w:eastAsia="Times New Roman" w:cs="Times New Roman"/>
                      <w:sz w:val="22"/>
                    </w:rPr>
                  </w:pPr>
                  <w:r w:rsidRPr="00B76DBE">
                    <w:rPr>
                      <w:rFonts w:eastAsia="Times New Roman" w:cs="Times New Roman"/>
                      <w:sz w:val="22"/>
                    </w:rPr>
                    <w:t>TWAJ</w:t>
                  </w:r>
                </w:p>
              </w:tc>
              <w:tc>
                <w:tcPr>
                  <w:tcW w:w="1744" w:type="dxa"/>
                  <w:tcBorders>
                    <w:top w:val="nil"/>
                    <w:left w:val="nil"/>
                    <w:bottom w:val="single" w:sz="4" w:space="0" w:color="auto"/>
                    <w:right w:val="single" w:sz="4" w:space="0" w:color="auto"/>
                  </w:tcBorders>
                  <w:shd w:val="clear" w:color="auto" w:fill="auto"/>
                  <w:noWrap/>
                  <w:vAlign w:val="center"/>
                  <w:hideMark/>
                </w:tcPr>
                <w:p w14:paraId="357A3628"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PerCP</w:t>
                  </w:r>
                  <w:proofErr w:type="spellEnd"/>
                  <w:r w:rsidRPr="00B76DBE">
                    <w:rPr>
                      <w:rFonts w:eastAsia="Times New Roman" w:cs="Times New Roman"/>
                      <w:sz w:val="22"/>
                    </w:rPr>
                    <w:t>/eFluor710</w:t>
                  </w:r>
                </w:p>
              </w:tc>
              <w:tc>
                <w:tcPr>
                  <w:tcW w:w="2613" w:type="dxa"/>
                  <w:tcBorders>
                    <w:top w:val="nil"/>
                    <w:left w:val="nil"/>
                    <w:bottom w:val="single" w:sz="4" w:space="0" w:color="auto"/>
                    <w:right w:val="single" w:sz="4" w:space="0" w:color="auto"/>
                  </w:tcBorders>
                  <w:shd w:val="clear" w:color="auto" w:fill="auto"/>
                  <w:noWrap/>
                  <w:vAlign w:val="center"/>
                  <w:hideMark/>
                </w:tcPr>
                <w:p w14:paraId="2C7C6B48" w14:textId="77777777" w:rsidR="000A77DC" w:rsidRPr="00B76DBE" w:rsidRDefault="000A77DC" w:rsidP="000A77DC">
                  <w:pPr>
                    <w:spacing w:before="0" w:after="0"/>
                    <w:rPr>
                      <w:rFonts w:eastAsia="Times New Roman" w:cs="Times New Roman"/>
                      <w:sz w:val="22"/>
                    </w:rPr>
                  </w:pPr>
                  <w:proofErr w:type="spellStart"/>
                  <w:r w:rsidRPr="00B76DBE">
                    <w:rPr>
                      <w:rFonts w:eastAsia="Times New Roman" w:cs="Times New Roman"/>
                      <w:sz w:val="22"/>
                    </w:rPr>
                    <w:t>eBioscience</w:t>
                  </w:r>
                  <w:proofErr w:type="spellEnd"/>
                </w:p>
              </w:tc>
            </w:tr>
          </w:tbl>
          <w:p w14:paraId="012A80EA" w14:textId="77777777" w:rsidR="00B916A0" w:rsidRPr="00B76DBE" w:rsidRDefault="00B916A0" w:rsidP="00754704">
            <w:pPr>
              <w:spacing w:after="0"/>
              <w:rPr>
                <w:b/>
                <w:noProof/>
              </w:rPr>
            </w:pPr>
          </w:p>
        </w:tc>
      </w:tr>
    </w:tbl>
    <w:p w14:paraId="612E0B56" w14:textId="77777777" w:rsidR="00B96937" w:rsidRPr="00B76DBE" w:rsidRDefault="00B96937">
      <w:pPr>
        <w:spacing w:before="0" w:after="200" w:line="276" w:lineRule="auto"/>
        <w:rPr>
          <w:rFonts w:eastAsia="Cambria" w:cs="Times New Roman"/>
          <w:b/>
          <w:szCs w:val="24"/>
        </w:rPr>
      </w:pPr>
      <w:r w:rsidRPr="00B76DBE">
        <w:br w:type="page"/>
      </w:r>
    </w:p>
    <w:p w14:paraId="63D7C2B0" w14:textId="14A6E1B8" w:rsidR="00994A3D" w:rsidRPr="00B76DBE" w:rsidRDefault="00994A3D" w:rsidP="00422D6A">
      <w:pPr>
        <w:pStyle w:val="berschrift2"/>
        <w:numPr>
          <w:ilvl w:val="0"/>
          <w:numId w:val="0"/>
        </w:numPr>
        <w:spacing w:after="480"/>
        <w:ind w:left="567" w:hanging="567"/>
      </w:pPr>
      <w:r w:rsidRPr="00B76DBE">
        <w:lastRenderedPageBreak/>
        <w:t>Supplementary Figures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962"/>
      </w:tblGrid>
      <w:tr w:rsidR="00B76DBE" w:rsidRPr="00B76DBE" w14:paraId="2E34783E" w14:textId="77777777" w:rsidTr="00D04522">
        <w:tc>
          <w:tcPr>
            <w:tcW w:w="9962" w:type="dxa"/>
          </w:tcPr>
          <w:p w14:paraId="79DB9333" w14:textId="77777777" w:rsidR="00D04522" w:rsidRPr="00B76DBE" w:rsidRDefault="00D04522" w:rsidP="00D04522">
            <w:pPr>
              <w:spacing w:after="0"/>
              <w:rPr>
                <w:b/>
                <w:noProof/>
              </w:rPr>
            </w:pPr>
            <w:r w:rsidRPr="00B76DBE">
              <w:rPr>
                <w:b/>
                <w:noProof/>
              </w:rPr>
              <w:t>Figure S1</w:t>
            </w:r>
          </w:p>
          <w:p w14:paraId="47FF74E6" w14:textId="502A17B0" w:rsidR="0043036D" w:rsidRPr="00B76DBE" w:rsidRDefault="0043036D" w:rsidP="00D04522">
            <w:pPr>
              <w:spacing w:after="0"/>
              <w:rPr>
                <w:b/>
                <w:noProof/>
              </w:rPr>
            </w:pPr>
          </w:p>
        </w:tc>
      </w:tr>
      <w:tr w:rsidR="00B76DBE" w:rsidRPr="00B76DBE" w14:paraId="423841DB" w14:textId="77777777" w:rsidTr="00422D6A">
        <w:tc>
          <w:tcPr>
            <w:tcW w:w="9962" w:type="dxa"/>
            <w:vAlign w:val="center"/>
          </w:tcPr>
          <w:p w14:paraId="6EBF76AA" w14:textId="24127F08" w:rsidR="00FA1636" w:rsidRPr="00B76DBE" w:rsidRDefault="00633429" w:rsidP="00D04522">
            <w:pPr>
              <w:spacing w:after="0"/>
              <w:jc w:val="center"/>
            </w:pPr>
            <w:bookmarkStart w:id="0" w:name="_GoBack"/>
            <w:r>
              <w:rPr>
                <w:noProof/>
              </w:rPr>
              <w:pict w14:anchorId="74A00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in;height:391.1pt">
                  <v:imagedata r:id="rId9" o:title="200525_Figure_S1-01"/>
                </v:shape>
              </w:pict>
            </w:r>
            <w:bookmarkEnd w:id="0"/>
          </w:p>
        </w:tc>
      </w:tr>
      <w:tr w:rsidR="00B76DBE" w:rsidRPr="00B76DBE" w14:paraId="48683547" w14:textId="77777777" w:rsidTr="00422D6A">
        <w:tc>
          <w:tcPr>
            <w:tcW w:w="9962" w:type="dxa"/>
          </w:tcPr>
          <w:p w14:paraId="03435032" w14:textId="65CCF4FE" w:rsidR="003C2F5E" w:rsidRPr="00B76DBE" w:rsidRDefault="00A55B55" w:rsidP="000F43E4">
            <w:pPr>
              <w:jc w:val="both"/>
              <w:rPr>
                <w:rFonts w:cs="Times New Roman"/>
              </w:rPr>
            </w:pPr>
            <w:r w:rsidRPr="00B76DBE">
              <w:rPr>
                <w:rFonts w:cs="Times New Roman"/>
                <w:b/>
              </w:rPr>
              <w:t xml:space="preserve">Figure S1: Gating strategy and representative staining of Th1 and Th17 cells differentiated in presence or absence of alpha-toxin. </w:t>
            </w:r>
            <w:r w:rsidRPr="00B76DBE">
              <w:rPr>
                <w:rFonts w:cs="Times New Roman"/>
              </w:rPr>
              <w:t>Murine naïve CD4</w:t>
            </w:r>
            <w:r w:rsidRPr="00B76DBE">
              <w:rPr>
                <w:rFonts w:cs="Times New Roman"/>
                <w:vertAlign w:val="superscript"/>
              </w:rPr>
              <w:t>+</w:t>
            </w:r>
            <w:r w:rsidRPr="00B76DBE">
              <w:rPr>
                <w:rFonts w:cs="Times New Roman"/>
              </w:rPr>
              <w:t xml:space="preserve"> T cells were differentiated into Th1 or Th17 cells in presence of indicated concentrations of alpha-toxin. </w:t>
            </w:r>
            <w:r w:rsidR="000F43E4" w:rsidRPr="00B76DBE">
              <w:rPr>
                <w:rFonts w:cs="Times New Roman"/>
              </w:rPr>
              <w:t>T</w:t>
            </w:r>
            <w:r w:rsidRPr="00B76DBE">
              <w:rPr>
                <w:rFonts w:cs="Times New Roman"/>
              </w:rPr>
              <w:t>he cells were analyzed by flow cytometry</w:t>
            </w:r>
            <w:r w:rsidR="000F43E4" w:rsidRPr="00B76DBE">
              <w:rPr>
                <w:rFonts w:cs="Times New Roman"/>
              </w:rPr>
              <w:t xml:space="preserve"> at day</w:t>
            </w:r>
            <w:r w:rsidR="00D648F3" w:rsidRPr="00B76DBE">
              <w:rPr>
                <w:rFonts w:cs="Times New Roman"/>
              </w:rPr>
              <w:t> </w:t>
            </w:r>
            <w:r w:rsidR="000F43E4" w:rsidRPr="00B76DBE">
              <w:rPr>
                <w:rFonts w:cs="Times New Roman"/>
              </w:rPr>
              <w:t>4 of the culture if not stated otherwise</w:t>
            </w:r>
            <w:r w:rsidRPr="00B76DBE">
              <w:rPr>
                <w:rFonts w:cs="Times New Roman"/>
              </w:rPr>
              <w:t>. (</w:t>
            </w:r>
            <w:r w:rsidRPr="00B76DBE">
              <w:rPr>
                <w:rFonts w:cs="Times New Roman"/>
                <w:b/>
              </w:rPr>
              <w:t>A</w:t>
            </w:r>
            <w:r w:rsidRPr="00B76DBE">
              <w:rPr>
                <w:rFonts w:cs="Times New Roman"/>
              </w:rPr>
              <w:t>)</w:t>
            </w:r>
            <w:r w:rsidR="003C2F5E" w:rsidRPr="00B76DBE">
              <w:rPr>
                <w:rFonts w:cs="Times New Roman"/>
              </w:rPr>
              <w:t> </w:t>
            </w:r>
            <w:r w:rsidRPr="00B76DBE">
              <w:rPr>
                <w:rFonts w:cs="Times New Roman"/>
              </w:rPr>
              <w:t>The gating strategy is depicted by exemplary contour plots. (</w:t>
            </w:r>
            <w:r w:rsidRPr="00B76DBE">
              <w:rPr>
                <w:rFonts w:cs="Times New Roman"/>
                <w:b/>
              </w:rPr>
              <w:t>B</w:t>
            </w:r>
            <w:r w:rsidRPr="00B76DBE">
              <w:rPr>
                <w:rFonts w:cs="Times New Roman"/>
              </w:rPr>
              <w:t>)</w:t>
            </w:r>
            <w:r w:rsidR="003C2F5E" w:rsidRPr="00B76DBE">
              <w:rPr>
                <w:rFonts w:cs="Times New Roman"/>
              </w:rPr>
              <w:t> </w:t>
            </w:r>
            <w:r w:rsidRPr="00B76DBE">
              <w:rPr>
                <w:rFonts w:cs="Times New Roman"/>
              </w:rPr>
              <w:t>Representative histograms and contour plots of Th1-polarized cells show the proliferation marker CellTrace™ Violet (CTV), as well as T</w:t>
            </w:r>
            <w:r w:rsidRPr="00B76DBE">
              <w:rPr>
                <w:rFonts w:cs="Times New Roman"/>
              </w:rPr>
              <w:noBreakHyphen/>
              <w:t xml:space="preserve">bet and </w:t>
            </w:r>
            <w:proofErr w:type="spellStart"/>
            <w:r w:rsidRPr="00B76DBE">
              <w:rPr>
                <w:rFonts w:cs="Times New Roman"/>
              </w:rPr>
              <w:t>IFNγ</w:t>
            </w:r>
            <w:proofErr w:type="spellEnd"/>
            <w:r w:rsidRPr="00B76DBE">
              <w:rPr>
                <w:rFonts w:cs="Times New Roman"/>
              </w:rPr>
              <w:t xml:space="preserve"> expression. (</w:t>
            </w:r>
            <w:r w:rsidRPr="00B76DBE">
              <w:rPr>
                <w:rFonts w:cs="Times New Roman"/>
                <w:b/>
              </w:rPr>
              <w:t>C</w:t>
            </w:r>
            <w:r w:rsidRPr="00B76DBE">
              <w:rPr>
                <w:rFonts w:cs="Times New Roman"/>
              </w:rPr>
              <w:t>)</w:t>
            </w:r>
            <w:r w:rsidR="003C2F5E" w:rsidRPr="00B76DBE">
              <w:rPr>
                <w:rFonts w:cs="Times New Roman"/>
              </w:rPr>
              <w:t> </w:t>
            </w:r>
            <w:r w:rsidRPr="00B76DBE">
              <w:rPr>
                <w:rFonts w:cs="Times New Roman"/>
              </w:rPr>
              <w:t xml:space="preserve">Representative histograms and contour plots of Th17-polarized cells show the proliferation marker CTV, as well as </w:t>
            </w:r>
            <w:proofErr w:type="spellStart"/>
            <w:r w:rsidRPr="00B76DBE">
              <w:rPr>
                <w:rFonts w:cs="Times New Roman"/>
              </w:rPr>
              <w:t>RORγt</w:t>
            </w:r>
            <w:proofErr w:type="spellEnd"/>
            <w:r w:rsidRPr="00B76DBE">
              <w:rPr>
                <w:rFonts w:cs="Times New Roman"/>
              </w:rPr>
              <w:t>, and IL</w:t>
            </w:r>
            <w:r w:rsidRPr="00B76DBE">
              <w:rPr>
                <w:rFonts w:cs="Times New Roman"/>
              </w:rPr>
              <w:noBreakHyphen/>
              <w:t>17A expression.</w:t>
            </w:r>
            <w:r w:rsidR="00B916A0" w:rsidRPr="00B76DBE">
              <w:rPr>
                <w:rFonts w:cs="Times New Roman"/>
              </w:rPr>
              <w:t xml:space="preserve"> (</w:t>
            </w:r>
            <w:r w:rsidR="00B916A0" w:rsidRPr="00B76DBE">
              <w:rPr>
                <w:rFonts w:cs="Times New Roman"/>
                <w:b/>
              </w:rPr>
              <w:t>D</w:t>
            </w:r>
            <w:r w:rsidR="00B916A0" w:rsidRPr="00B76DBE">
              <w:rPr>
                <w:rFonts w:cs="Times New Roman"/>
              </w:rPr>
              <w:t>)</w:t>
            </w:r>
            <w:r w:rsidR="00286EC3" w:rsidRPr="00B76DBE">
              <w:rPr>
                <w:rFonts w:cs="Times New Roman"/>
              </w:rPr>
              <w:t> </w:t>
            </w:r>
            <w:r w:rsidR="000F43E4" w:rsidRPr="00B76DBE">
              <w:rPr>
                <w:rFonts w:cs="Times New Roman"/>
              </w:rPr>
              <w:t>Cell</w:t>
            </w:r>
            <w:r w:rsidR="00286EC3" w:rsidRPr="00B76DBE">
              <w:rPr>
                <w:rFonts w:cs="Times New Roman"/>
              </w:rPr>
              <w:t>s</w:t>
            </w:r>
            <w:r w:rsidR="000F43E4" w:rsidRPr="00B76DBE">
              <w:rPr>
                <w:rFonts w:cs="Times New Roman"/>
              </w:rPr>
              <w:t xml:space="preserve"> c</w:t>
            </w:r>
            <w:r w:rsidR="008D18CD" w:rsidRPr="00B76DBE">
              <w:rPr>
                <w:rFonts w:cs="Times New Roman"/>
              </w:rPr>
              <w:t xml:space="preserve">ultured </w:t>
            </w:r>
            <w:r w:rsidR="00286EC3" w:rsidRPr="00B76DBE">
              <w:rPr>
                <w:rFonts w:cs="Times New Roman"/>
              </w:rPr>
              <w:t xml:space="preserve">in 24 well plates </w:t>
            </w:r>
            <w:r w:rsidR="008D18CD" w:rsidRPr="00B76DBE">
              <w:rPr>
                <w:rFonts w:cs="Times New Roman"/>
              </w:rPr>
              <w:t xml:space="preserve">under Th1 </w:t>
            </w:r>
            <w:r w:rsidR="00A75175" w:rsidRPr="00B76DBE">
              <w:rPr>
                <w:rFonts w:cs="Times New Roman"/>
              </w:rPr>
              <w:t xml:space="preserve">(left) </w:t>
            </w:r>
            <w:r w:rsidR="008D18CD" w:rsidRPr="00B76DBE">
              <w:rPr>
                <w:rFonts w:cs="Times New Roman"/>
              </w:rPr>
              <w:t xml:space="preserve">or Th17 </w:t>
            </w:r>
            <w:r w:rsidR="00A75175" w:rsidRPr="00B76DBE">
              <w:rPr>
                <w:rFonts w:cs="Times New Roman"/>
              </w:rPr>
              <w:t xml:space="preserve">(right) </w:t>
            </w:r>
            <w:r w:rsidR="008D18CD" w:rsidRPr="00B76DBE">
              <w:rPr>
                <w:rFonts w:cs="Times New Roman"/>
              </w:rPr>
              <w:t xml:space="preserve">conditions </w:t>
            </w:r>
            <w:r w:rsidR="000F43E4" w:rsidRPr="00B76DBE">
              <w:rPr>
                <w:rFonts w:cs="Times New Roman"/>
              </w:rPr>
              <w:t xml:space="preserve">were harvested for flow cytometric analysis </w:t>
            </w:r>
            <w:r w:rsidR="008D18CD" w:rsidRPr="00B76DBE">
              <w:rPr>
                <w:rFonts w:cs="Times New Roman"/>
              </w:rPr>
              <w:t>at indicated time points.</w:t>
            </w:r>
            <w:r w:rsidR="00CE20DD" w:rsidRPr="00B76DBE">
              <w:rPr>
                <w:rFonts w:cs="Times New Roman"/>
              </w:rPr>
              <w:t xml:space="preserve"> Data are representative of three independent experiments.</w:t>
            </w:r>
          </w:p>
        </w:tc>
      </w:tr>
    </w:tbl>
    <w:p w14:paraId="46FEF39F" w14:textId="75EF0469" w:rsidR="00422D6A" w:rsidRPr="00B76DBE" w:rsidRDefault="00422D6A">
      <w:r w:rsidRPr="00B76DBE">
        <w:br w:type="page"/>
      </w:r>
    </w:p>
    <w:p w14:paraId="6D89234F" w14:textId="32C813E9" w:rsidR="00156D6E" w:rsidRPr="00B76DBE" w:rsidRDefault="00156D6E">
      <w:pPr>
        <w:rPr>
          <w:b/>
        </w:rPr>
      </w:pPr>
      <w:r w:rsidRPr="00B76DBE">
        <w:rPr>
          <w:b/>
        </w:rPr>
        <w:lastRenderedPageBreak/>
        <w:t>Figure S2</w:t>
      </w:r>
    </w:p>
    <w:p w14:paraId="7ACB1EB8" w14:textId="6D462581" w:rsidR="00156D6E" w:rsidRPr="00B76DBE" w:rsidRDefault="00156D6E"/>
    <w:p w14:paraId="3719C35E" w14:textId="1604BACA" w:rsidR="00F81D66" w:rsidRPr="00B76DBE" w:rsidRDefault="00A56019" w:rsidP="001C2F85">
      <w:pPr>
        <w:jc w:val="center"/>
      </w:pPr>
      <w:r>
        <w:rPr>
          <w:noProof/>
        </w:rPr>
        <w:pict w14:anchorId="6597ADAE">
          <v:shape id="_x0000_i1029" type="#_x0000_t75" style="width:498.1pt;height:263.85pt">
            <v:imagedata r:id="rId10" o:title="Figure_S2-01"/>
          </v:shape>
        </w:pict>
      </w:r>
    </w:p>
    <w:p w14:paraId="0C35F5DE" w14:textId="2685C426" w:rsidR="00156D6E" w:rsidRPr="00B76DBE" w:rsidRDefault="00156D6E" w:rsidP="00156D6E">
      <w:pPr>
        <w:tabs>
          <w:tab w:val="left" w:pos="4820"/>
        </w:tabs>
        <w:spacing w:before="240"/>
        <w:jc w:val="both"/>
        <w:rPr>
          <w:rFonts w:cs="Times New Roman"/>
        </w:rPr>
      </w:pPr>
      <w:r w:rsidRPr="00B76DBE">
        <w:rPr>
          <w:rFonts w:cs="Times New Roman"/>
          <w:b/>
        </w:rPr>
        <w:t xml:space="preserve">Figure S2: Impact of Plc and Lip on Th1 and Th17 cell differentiation. </w:t>
      </w:r>
      <w:r w:rsidRPr="00B76DBE">
        <w:rPr>
          <w:rFonts w:cs="Times New Roman"/>
        </w:rPr>
        <w:t>Murine naïve CD4</w:t>
      </w:r>
      <w:r w:rsidRPr="00B76DBE">
        <w:rPr>
          <w:rFonts w:cs="Times New Roman"/>
          <w:vertAlign w:val="superscript"/>
        </w:rPr>
        <w:t>+</w:t>
      </w:r>
      <w:r w:rsidRPr="00B76DBE">
        <w:rPr>
          <w:rFonts w:cs="Times New Roman"/>
        </w:rPr>
        <w:t xml:space="preserve"> T cells were differentiated into Th1 or Th17 cells in presence of indicated concentrations of Plc or Lip. On day 4 of the culture, the cells were analyzed by flow cytometry. (</w:t>
      </w:r>
      <w:r w:rsidRPr="00B76DBE">
        <w:rPr>
          <w:rFonts w:cs="Times New Roman"/>
          <w:b/>
        </w:rPr>
        <w:t>A</w:t>
      </w:r>
      <w:r w:rsidRPr="00B76DBE">
        <w:rPr>
          <w:rFonts w:cs="Times New Roman"/>
        </w:rPr>
        <w:t>) Summarizing graphs show the frequency of living cells</w:t>
      </w:r>
      <w:r w:rsidR="00AC49D2" w:rsidRPr="00B76DBE">
        <w:rPr>
          <w:rFonts w:cs="Times New Roman"/>
        </w:rPr>
        <w:t>.</w:t>
      </w:r>
      <w:r w:rsidRPr="00B76DBE">
        <w:rPr>
          <w:rFonts w:cs="Times New Roman"/>
        </w:rPr>
        <w:t xml:space="preserve"> (</w:t>
      </w:r>
      <w:r w:rsidR="00AC49D2" w:rsidRPr="00B76DBE">
        <w:rPr>
          <w:rFonts w:cs="Times New Roman"/>
          <w:b/>
        </w:rPr>
        <w:t>B</w:t>
      </w:r>
      <w:r w:rsidRPr="00B76DBE">
        <w:rPr>
          <w:rFonts w:cs="Times New Roman"/>
        </w:rPr>
        <w:t>)</w:t>
      </w:r>
      <w:r w:rsidR="00AC49D2" w:rsidRPr="00B76DBE">
        <w:rPr>
          <w:rFonts w:cs="Times New Roman"/>
        </w:rPr>
        <w:t> </w:t>
      </w:r>
      <w:r w:rsidRPr="00B76DBE">
        <w:rPr>
          <w:rFonts w:cs="Times New Roman"/>
        </w:rPr>
        <w:t xml:space="preserve">Summarizing graphs show the frequency of </w:t>
      </w:r>
      <w:proofErr w:type="spellStart"/>
      <w:r w:rsidRPr="00B76DBE">
        <w:rPr>
          <w:rFonts w:cs="Times New Roman"/>
        </w:rPr>
        <w:t>IFNγ</w:t>
      </w:r>
      <w:proofErr w:type="spellEnd"/>
      <w:r w:rsidR="00E22D39" w:rsidRPr="00B76DBE">
        <w:rPr>
          <w:rFonts w:cs="Times New Roman"/>
        </w:rPr>
        <w:t>-</w:t>
      </w:r>
      <w:r w:rsidRPr="00B76DBE">
        <w:rPr>
          <w:rFonts w:cs="Times New Roman"/>
        </w:rPr>
        <w:t xml:space="preserve"> or IL-17A-producing cells, respectively.</w:t>
      </w:r>
      <w:r w:rsidR="0012638C" w:rsidRPr="00B76DBE">
        <w:rPr>
          <w:rFonts w:cs="Times New Roman"/>
        </w:rPr>
        <w:t xml:space="preserve"> Data were pooled from 3-4 independent experiments with technical triplicates.</w:t>
      </w:r>
    </w:p>
    <w:p w14:paraId="2FDC0F7B" w14:textId="284AA08D" w:rsidR="0008776A" w:rsidRPr="00B76DBE" w:rsidRDefault="0008776A">
      <w:pPr>
        <w:spacing w:before="0" w:after="200" w:line="276" w:lineRule="auto"/>
        <w:rPr>
          <w:rFonts w:cs="Times New Roman"/>
        </w:rPr>
      </w:pPr>
      <w:r w:rsidRPr="00B76DBE">
        <w:rPr>
          <w:rFonts w:cs="Times New Roman"/>
        </w:rPr>
        <w:br w:type="page"/>
      </w:r>
    </w:p>
    <w:p w14:paraId="51FE03E8" w14:textId="6217E53E" w:rsidR="0008776A" w:rsidRPr="00B76DBE" w:rsidRDefault="0008776A" w:rsidP="00156D6E">
      <w:pPr>
        <w:tabs>
          <w:tab w:val="left" w:pos="4820"/>
        </w:tabs>
        <w:spacing w:before="240"/>
        <w:jc w:val="both"/>
        <w:rPr>
          <w:rFonts w:cs="Times New Roman"/>
          <w:b/>
        </w:rPr>
      </w:pPr>
      <w:r w:rsidRPr="00B76DBE">
        <w:rPr>
          <w:rFonts w:cs="Times New Roman"/>
          <w:b/>
        </w:rPr>
        <w:lastRenderedPageBreak/>
        <w:t>Figure S3</w:t>
      </w:r>
    </w:p>
    <w:p w14:paraId="7D3ECCDD" w14:textId="77777777" w:rsidR="00F81D66" w:rsidRPr="00B76DBE" w:rsidRDefault="00F81D66" w:rsidP="00156D6E">
      <w:pPr>
        <w:tabs>
          <w:tab w:val="left" w:pos="4820"/>
        </w:tabs>
        <w:spacing w:before="240"/>
        <w:jc w:val="both"/>
        <w:rPr>
          <w:rFonts w:cs="Times New Roman"/>
        </w:rPr>
      </w:pPr>
    </w:p>
    <w:p w14:paraId="7CAC91FC" w14:textId="077AD011" w:rsidR="0008776A" w:rsidRPr="00B76DBE" w:rsidRDefault="001C2F85" w:rsidP="00156D6E">
      <w:pPr>
        <w:tabs>
          <w:tab w:val="left" w:pos="4820"/>
        </w:tabs>
        <w:spacing w:before="240"/>
        <w:jc w:val="both"/>
        <w:rPr>
          <w:rFonts w:cs="Times New Roman"/>
        </w:rPr>
      </w:pPr>
      <w:r w:rsidRPr="00B76DBE">
        <w:rPr>
          <w:rFonts w:cs="Times New Roman"/>
          <w:noProof/>
        </w:rPr>
        <w:drawing>
          <wp:inline distT="0" distB="0" distL="0" distR="0" wp14:anchorId="0D8CDB92" wp14:editId="2332921B">
            <wp:extent cx="633222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3.ai"/>
                    <pic:cNvPicPr/>
                  </pic:nvPicPr>
                  <pic:blipFill>
                    <a:blip r:embed="rId11">
                      <a:extLst>
                        <a:ext uri="{28A0092B-C50C-407E-A947-70E740481C1C}">
                          <a14:useLocalDpi xmlns:a14="http://schemas.microsoft.com/office/drawing/2010/main" val="0"/>
                        </a:ext>
                      </a:extLst>
                    </a:blip>
                    <a:stretch>
                      <a:fillRect/>
                    </a:stretch>
                  </pic:blipFill>
                  <pic:spPr>
                    <a:xfrm>
                      <a:off x="0" y="0"/>
                      <a:ext cx="6332220" cy="3600450"/>
                    </a:xfrm>
                    <a:prstGeom prst="rect">
                      <a:avLst/>
                    </a:prstGeom>
                  </pic:spPr>
                </pic:pic>
              </a:graphicData>
            </a:graphic>
          </wp:inline>
        </w:drawing>
      </w:r>
    </w:p>
    <w:p w14:paraId="3F72863E" w14:textId="318AC281" w:rsidR="00B425B4" w:rsidRPr="00B76DBE" w:rsidRDefault="00156D6E" w:rsidP="00156D6E">
      <w:pPr>
        <w:tabs>
          <w:tab w:val="left" w:pos="4820"/>
        </w:tabs>
        <w:spacing w:before="240"/>
        <w:jc w:val="both"/>
        <w:rPr>
          <w:rFonts w:cs="Times New Roman"/>
        </w:rPr>
      </w:pPr>
      <w:r w:rsidRPr="00B76DBE">
        <w:rPr>
          <w:rFonts w:cs="Times New Roman"/>
          <w:b/>
        </w:rPr>
        <w:t xml:space="preserve">Figure S3: Impact of alpha-toxin on survival of </w:t>
      </w:r>
      <w:r w:rsidR="0008776A" w:rsidRPr="00B76DBE">
        <w:rPr>
          <w:rFonts w:cs="Times New Roman"/>
          <w:b/>
        </w:rPr>
        <w:t xml:space="preserve">already </w:t>
      </w:r>
      <w:r w:rsidRPr="00B76DBE">
        <w:rPr>
          <w:rFonts w:cs="Times New Roman"/>
          <w:b/>
        </w:rPr>
        <w:t xml:space="preserve">differentiated Th1 and Th17 cells. </w:t>
      </w:r>
      <w:r w:rsidRPr="00B76DBE">
        <w:rPr>
          <w:rFonts w:cs="Times New Roman"/>
        </w:rPr>
        <w:t>Murine naïve CD4</w:t>
      </w:r>
      <w:r w:rsidRPr="00B76DBE">
        <w:rPr>
          <w:rFonts w:cs="Times New Roman"/>
          <w:vertAlign w:val="superscript"/>
        </w:rPr>
        <w:t>+</w:t>
      </w:r>
      <w:r w:rsidRPr="00B76DBE">
        <w:rPr>
          <w:rFonts w:cs="Times New Roman"/>
        </w:rPr>
        <w:t xml:space="preserve"> T cells were differentiated into Th1 or Th17 cells. On day 3, cells were removed from </w:t>
      </w:r>
      <w:r w:rsidR="00B77953" w:rsidRPr="00B76DBE">
        <w:rPr>
          <w:rFonts w:cs="Times New Roman"/>
        </w:rPr>
        <w:t>the stimulus</w:t>
      </w:r>
      <w:r w:rsidRPr="00B76DBE">
        <w:rPr>
          <w:rFonts w:cs="Times New Roman"/>
        </w:rPr>
        <w:t xml:space="preserve"> and rested in presence of IL</w:t>
      </w:r>
      <w:r w:rsidR="00B77953" w:rsidRPr="00B76DBE">
        <w:rPr>
          <w:rFonts w:cs="Times New Roman"/>
        </w:rPr>
        <w:noBreakHyphen/>
      </w:r>
      <w:r w:rsidRPr="00B76DBE">
        <w:rPr>
          <w:rFonts w:cs="Times New Roman"/>
        </w:rPr>
        <w:t>2 or IL</w:t>
      </w:r>
      <w:r w:rsidR="00B77953" w:rsidRPr="00B76DBE">
        <w:rPr>
          <w:rFonts w:cs="Times New Roman"/>
        </w:rPr>
        <w:noBreakHyphen/>
      </w:r>
      <w:r w:rsidRPr="00B76DBE">
        <w:rPr>
          <w:rFonts w:cs="Times New Roman"/>
        </w:rPr>
        <w:t xml:space="preserve">23, respectively. On day 5, </w:t>
      </w:r>
      <w:r w:rsidR="00B425B4" w:rsidRPr="00B76DBE">
        <w:rPr>
          <w:rFonts w:cs="Times New Roman"/>
        </w:rPr>
        <w:t xml:space="preserve">cells were either kept in culture without </w:t>
      </w:r>
      <w:proofErr w:type="spellStart"/>
      <w:r w:rsidR="00B425B4" w:rsidRPr="00B76DBE">
        <w:rPr>
          <w:rFonts w:cs="Times New Roman"/>
        </w:rPr>
        <w:t>restimulation</w:t>
      </w:r>
      <w:proofErr w:type="spellEnd"/>
      <w:r w:rsidR="00B425B4" w:rsidRPr="00B76DBE">
        <w:rPr>
          <w:rFonts w:cs="Times New Roman"/>
        </w:rPr>
        <w:t xml:space="preserve"> or </w:t>
      </w:r>
      <w:proofErr w:type="spellStart"/>
      <w:r w:rsidR="00B425B4" w:rsidRPr="00B76DBE">
        <w:rPr>
          <w:rFonts w:cs="Times New Roman"/>
        </w:rPr>
        <w:t>restimulated</w:t>
      </w:r>
      <w:proofErr w:type="spellEnd"/>
      <w:r w:rsidR="00B425B4" w:rsidRPr="00B76DBE">
        <w:rPr>
          <w:rFonts w:cs="Times New Roman"/>
        </w:rPr>
        <w:t xml:space="preserve"> with anti</w:t>
      </w:r>
      <w:r w:rsidR="00B425B4" w:rsidRPr="00B76DBE">
        <w:rPr>
          <w:rFonts w:cs="Times New Roman"/>
        </w:rPr>
        <w:noBreakHyphen/>
        <w:t>CD3 and anti</w:t>
      </w:r>
      <w:r w:rsidR="00B425B4" w:rsidRPr="00B76DBE">
        <w:rPr>
          <w:rFonts w:cs="Times New Roman"/>
        </w:rPr>
        <w:noBreakHyphen/>
        <w:t>CD28. Part of the cells received alpha-toxin, and cell survival was analyzed via flow cytometry after 24 or 48 hours. Data were pooled from two independent experiments with technical triplicates.</w:t>
      </w:r>
    </w:p>
    <w:p w14:paraId="0061D8B4" w14:textId="58DCC608" w:rsidR="00374925" w:rsidRPr="00B76DBE" w:rsidRDefault="00374925">
      <w:pPr>
        <w:spacing w:before="0" w:after="200" w:line="276" w:lineRule="auto"/>
        <w:rPr>
          <w:rFonts w:cs="Times New Roman"/>
        </w:rPr>
      </w:pPr>
      <w:r w:rsidRPr="00B76DBE">
        <w:rPr>
          <w:rFonts w:cs="Times New Roman"/>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962"/>
      </w:tblGrid>
      <w:tr w:rsidR="00B76DBE" w:rsidRPr="00B76DBE" w14:paraId="0414C391" w14:textId="77777777" w:rsidTr="00D04522">
        <w:tc>
          <w:tcPr>
            <w:tcW w:w="9962" w:type="dxa"/>
          </w:tcPr>
          <w:p w14:paraId="07593361" w14:textId="44B60F35" w:rsidR="00D04522" w:rsidRPr="00B76DBE" w:rsidRDefault="00D04522" w:rsidP="00D04522">
            <w:pPr>
              <w:spacing w:after="0"/>
              <w:rPr>
                <w:b/>
                <w:noProof/>
              </w:rPr>
            </w:pPr>
            <w:r w:rsidRPr="00B76DBE">
              <w:rPr>
                <w:b/>
                <w:noProof/>
              </w:rPr>
              <w:lastRenderedPageBreak/>
              <w:t>Figure S</w:t>
            </w:r>
            <w:r w:rsidR="00374925" w:rsidRPr="00B76DBE">
              <w:rPr>
                <w:b/>
                <w:noProof/>
              </w:rPr>
              <w:t>4</w:t>
            </w:r>
          </w:p>
        </w:tc>
      </w:tr>
      <w:tr w:rsidR="00B76DBE" w:rsidRPr="00B76DBE" w14:paraId="422001AF" w14:textId="77777777" w:rsidTr="00422D6A">
        <w:tc>
          <w:tcPr>
            <w:tcW w:w="9962" w:type="dxa"/>
          </w:tcPr>
          <w:p w14:paraId="60D0B797" w14:textId="5FFC2BCB" w:rsidR="00FA1636" w:rsidRPr="00B76DBE" w:rsidRDefault="00882B83" w:rsidP="00422D6A">
            <w:pPr>
              <w:spacing w:after="0"/>
              <w:jc w:val="center"/>
            </w:pPr>
            <w:r>
              <w:rPr>
                <w:noProof/>
              </w:rPr>
              <w:pict w14:anchorId="68290554">
                <v:shape id="_x0000_i1032" type="#_x0000_t75" style="width:5in;height:567pt">
                  <v:imagedata r:id="rId12" o:title="200525_Figure_S4-01"/>
                </v:shape>
              </w:pict>
            </w:r>
          </w:p>
        </w:tc>
      </w:tr>
      <w:tr w:rsidR="00B76DBE" w:rsidRPr="00B76DBE" w14:paraId="0F210E24" w14:textId="77777777" w:rsidTr="00422D6A">
        <w:tc>
          <w:tcPr>
            <w:tcW w:w="9962" w:type="dxa"/>
          </w:tcPr>
          <w:p w14:paraId="0F336724" w14:textId="6898CDF3" w:rsidR="004228C8" w:rsidRPr="00B76DBE" w:rsidRDefault="00A55B55" w:rsidP="004228C8">
            <w:pPr>
              <w:spacing w:after="0"/>
              <w:jc w:val="both"/>
              <w:rPr>
                <w:rFonts w:cs="Times New Roman"/>
              </w:rPr>
            </w:pPr>
            <w:r w:rsidRPr="00B76DBE">
              <w:rPr>
                <w:rFonts w:cs="Times New Roman"/>
                <w:b/>
              </w:rPr>
              <w:t>Figure S</w:t>
            </w:r>
            <w:r w:rsidR="00374925" w:rsidRPr="00B76DBE">
              <w:rPr>
                <w:rFonts w:cs="Times New Roman"/>
                <w:b/>
              </w:rPr>
              <w:t>4</w:t>
            </w:r>
            <w:r w:rsidRPr="00B76DBE">
              <w:rPr>
                <w:rFonts w:cs="Times New Roman"/>
                <w:b/>
              </w:rPr>
              <w:t xml:space="preserve">: </w:t>
            </w:r>
            <w:r w:rsidR="004228C8" w:rsidRPr="00B76DBE">
              <w:rPr>
                <w:rFonts w:cs="Times New Roman"/>
                <w:b/>
              </w:rPr>
              <w:t xml:space="preserve">Disease progression during systemic </w:t>
            </w:r>
            <w:r w:rsidR="004228C8" w:rsidRPr="00B76DBE">
              <w:rPr>
                <w:rFonts w:cs="Times New Roman"/>
                <w:b/>
                <w:i/>
              </w:rPr>
              <w:t>S. aureus</w:t>
            </w:r>
            <w:r w:rsidR="004228C8" w:rsidRPr="00B76DBE">
              <w:rPr>
                <w:rFonts w:cs="Times New Roman"/>
                <w:b/>
              </w:rPr>
              <w:t xml:space="preserve"> infection and gating strategy for flow cytometric analysis. </w:t>
            </w:r>
            <w:r w:rsidR="004228C8" w:rsidRPr="00B76DBE">
              <w:rPr>
                <w:rFonts w:cs="Times New Roman"/>
              </w:rPr>
              <w:t>(Legend on next page)</w:t>
            </w:r>
          </w:p>
          <w:p w14:paraId="60ED6AA4" w14:textId="0CC884B8" w:rsidR="00F40019" w:rsidRPr="00B76DBE" w:rsidRDefault="00F40019" w:rsidP="004228C8">
            <w:pPr>
              <w:spacing w:after="0"/>
              <w:jc w:val="both"/>
              <w:rPr>
                <w:rFonts w:cs="Times New Roman"/>
                <w:b/>
              </w:rPr>
            </w:pPr>
          </w:p>
        </w:tc>
      </w:tr>
    </w:tbl>
    <w:p w14:paraId="7A727021" w14:textId="08BE47A7" w:rsidR="004228C8" w:rsidRPr="00B76DBE" w:rsidRDefault="004228C8" w:rsidP="00882B83">
      <w:pPr>
        <w:spacing w:before="0" w:after="200" w:line="276" w:lineRule="auto"/>
        <w:rPr>
          <w:rFonts w:cs="Times New Roman"/>
        </w:rPr>
      </w:pPr>
      <w:r w:rsidRPr="00B76DBE">
        <w:rPr>
          <w:rFonts w:cs="Times New Roman"/>
          <w:b/>
        </w:rPr>
        <w:br w:type="page"/>
      </w:r>
      <w:r w:rsidRPr="00B76DBE">
        <w:rPr>
          <w:rFonts w:cs="Times New Roman"/>
          <w:b/>
        </w:rPr>
        <w:lastRenderedPageBreak/>
        <w:t xml:space="preserve">Figure S4: Disease progression during systemic </w:t>
      </w:r>
      <w:r w:rsidRPr="00B76DBE">
        <w:rPr>
          <w:rFonts w:cs="Times New Roman"/>
          <w:b/>
          <w:i/>
        </w:rPr>
        <w:t>S. aureus</w:t>
      </w:r>
      <w:r w:rsidRPr="00B76DBE">
        <w:rPr>
          <w:rFonts w:cs="Times New Roman"/>
          <w:b/>
        </w:rPr>
        <w:t xml:space="preserve"> infection and gating strategy for flow cytometric analysis. </w:t>
      </w:r>
      <w:r w:rsidRPr="00B76DBE">
        <w:rPr>
          <w:rFonts w:cs="Times New Roman"/>
        </w:rPr>
        <w:t xml:space="preserve">Female C57BL/6J mice were either left uninfected or infected </w:t>
      </w:r>
      <w:proofErr w:type="spellStart"/>
      <w:r w:rsidRPr="00B76DBE">
        <w:rPr>
          <w:rFonts w:cs="Times New Roman"/>
        </w:rPr>
        <w:t>i.v.</w:t>
      </w:r>
      <w:proofErr w:type="spellEnd"/>
      <w:r w:rsidRPr="00B76DBE">
        <w:rPr>
          <w:rFonts w:cs="Times New Roman"/>
        </w:rPr>
        <w:t xml:space="preserve"> with </w:t>
      </w:r>
      <w:r w:rsidRPr="00B76DBE">
        <w:rPr>
          <w:rFonts w:cs="Times New Roman"/>
          <w:i/>
        </w:rPr>
        <w:t xml:space="preserve">S. aureus </w:t>
      </w:r>
      <w:r w:rsidRPr="00B76DBE">
        <w:rPr>
          <w:rFonts w:cs="Times New Roman"/>
        </w:rPr>
        <w:t xml:space="preserve">wildtype or </w:t>
      </w:r>
      <w:proofErr w:type="spellStart"/>
      <w:r w:rsidRPr="00B76DBE">
        <w:rPr>
          <w:rFonts w:cs="Times New Roman"/>
        </w:rPr>
        <w:t>Δhla</w:t>
      </w:r>
      <w:proofErr w:type="spellEnd"/>
      <w:r w:rsidRPr="00B76DBE">
        <w:rPr>
          <w:rFonts w:cs="Times New Roman"/>
        </w:rPr>
        <w:t xml:space="preserve">. On day 14 </w:t>
      </w:r>
      <w:proofErr w:type="spellStart"/>
      <w:r w:rsidRPr="00B76DBE">
        <w:rPr>
          <w:rFonts w:cs="Times New Roman"/>
        </w:rPr>
        <w:t>p.i</w:t>
      </w:r>
      <w:proofErr w:type="spellEnd"/>
      <w:r w:rsidRPr="00B76DBE">
        <w:rPr>
          <w:rFonts w:cs="Times New Roman"/>
        </w:rPr>
        <w:t>., animals were sacrificed and organs harvested for flow cytometric analysis. (</w:t>
      </w:r>
      <w:r w:rsidRPr="00B76DBE">
        <w:rPr>
          <w:rFonts w:cs="Times New Roman"/>
          <w:b/>
        </w:rPr>
        <w:t>A</w:t>
      </w:r>
      <w:r w:rsidRPr="00B76DBE">
        <w:rPr>
          <w:rFonts w:cs="Times New Roman"/>
        </w:rPr>
        <w:t>) Graphs show body weight (mean</w:t>
      </w:r>
      <w:r w:rsidRPr="00B76DBE">
        <w:rPr>
          <w:rFonts w:cs="Times New Roman"/>
        </w:rPr>
        <w:sym w:font="Symbol" w:char="F0B1"/>
      </w:r>
      <w:r w:rsidRPr="00B76DBE">
        <w:rPr>
          <w:rFonts w:cs="Times New Roman"/>
        </w:rPr>
        <w:t>SD), survival, and superficial tissue lesion (abscess) development during the course of infection. Data were pooled from two independent experiments and fourteen animals were included per group. For body weight and abscess development graphs, only data from surviving animals were included. (</w:t>
      </w:r>
      <w:r w:rsidRPr="00B76DBE">
        <w:rPr>
          <w:rFonts w:cs="Times New Roman"/>
          <w:b/>
        </w:rPr>
        <w:t>B</w:t>
      </w:r>
      <w:r w:rsidRPr="00B76DBE">
        <w:rPr>
          <w:rFonts w:cs="Times New Roman"/>
        </w:rPr>
        <w:t>) Exemplary contour plots from a spleen sample showing the gating strategy for the CD4</w:t>
      </w:r>
      <w:r w:rsidRPr="00B76DBE">
        <w:rPr>
          <w:rFonts w:cs="Times New Roman"/>
          <w:vertAlign w:val="superscript"/>
        </w:rPr>
        <w:t>+</w:t>
      </w:r>
      <w:r w:rsidRPr="00B76DBE">
        <w:rPr>
          <w:rFonts w:cs="Times New Roman"/>
        </w:rPr>
        <w:t xml:space="preserve"> T cell and the </w:t>
      </w:r>
      <w:proofErr w:type="spellStart"/>
      <w:r w:rsidRPr="00B76DBE">
        <w:rPr>
          <w:rFonts w:cs="Times New Roman"/>
        </w:rPr>
        <w:t>γδ</w:t>
      </w:r>
      <w:proofErr w:type="spellEnd"/>
      <w:r w:rsidRPr="00B76DBE">
        <w:rPr>
          <w:rFonts w:cs="Times New Roman"/>
        </w:rPr>
        <w:t> T cell compartment. (</w:t>
      </w:r>
      <w:r w:rsidRPr="00B76DBE">
        <w:rPr>
          <w:rFonts w:cs="Times New Roman"/>
          <w:b/>
        </w:rPr>
        <w:t>C</w:t>
      </w:r>
      <w:r w:rsidRPr="00B76DBE">
        <w:rPr>
          <w:rFonts w:cs="Times New Roman"/>
        </w:rPr>
        <w:t>) Exemplary contour plots from a spleen sample showing the gating strategy for the ILCs. (</w:t>
      </w:r>
      <w:r w:rsidRPr="00B76DBE">
        <w:rPr>
          <w:rFonts w:cs="Times New Roman"/>
          <w:b/>
        </w:rPr>
        <w:t>D</w:t>
      </w:r>
      <w:r w:rsidRPr="00B76DBE">
        <w:rPr>
          <w:rFonts w:cs="Times New Roman"/>
        </w:rPr>
        <w:t>)</w:t>
      </w:r>
      <w:r w:rsidR="006101A5" w:rsidRPr="00B76DBE">
        <w:rPr>
          <w:rFonts w:cs="Times New Roman"/>
        </w:rPr>
        <w:t> </w:t>
      </w:r>
      <w:r w:rsidRPr="00B76DBE">
        <w:rPr>
          <w:rFonts w:cs="Times New Roman"/>
        </w:rPr>
        <w:t xml:space="preserve">Total cell counts of spleens and LNs from uninfected </w:t>
      </w:r>
      <w:r w:rsidR="006101A5" w:rsidRPr="00B76DBE">
        <w:rPr>
          <w:rFonts w:cs="Times New Roman"/>
        </w:rPr>
        <w:t xml:space="preserve">animals </w:t>
      </w:r>
      <w:r w:rsidRPr="00B76DBE">
        <w:rPr>
          <w:rFonts w:cs="Times New Roman"/>
        </w:rPr>
        <w:t xml:space="preserve">or </w:t>
      </w:r>
      <w:r w:rsidR="006101A5" w:rsidRPr="00B76DBE">
        <w:rPr>
          <w:rFonts w:cs="Times New Roman"/>
        </w:rPr>
        <w:t xml:space="preserve">animals infected with </w:t>
      </w:r>
      <w:r w:rsidR="006101A5" w:rsidRPr="00B76DBE">
        <w:rPr>
          <w:rFonts w:cs="Times New Roman"/>
          <w:i/>
        </w:rPr>
        <w:t xml:space="preserve">S. aureus </w:t>
      </w:r>
      <w:r w:rsidR="006101A5" w:rsidRPr="00B76DBE">
        <w:rPr>
          <w:rFonts w:cs="Times New Roman"/>
        </w:rPr>
        <w:t xml:space="preserve">wildtype or </w:t>
      </w:r>
      <w:proofErr w:type="spellStart"/>
      <w:r w:rsidR="006101A5" w:rsidRPr="00B76DBE">
        <w:rPr>
          <w:rFonts w:cs="Times New Roman"/>
        </w:rPr>
        <w:t>Δhla</w:t>
      </w:r>
      <w:proofErr w:type="spellEnd"/>
      <w:r w:rsidR="006101A5" w:rsidRPr="00B76DBE">
        <w:rPr>
          <w:rFonts w:cs="Times New Roman"/>
        </w:rPr>
        <w:t xml:space="preserve"> </w:t>
      </w:r>
      <w:r w:rsidRPr="00B76DBE">
        <w:rPr>
          <w:rFonts w:cs="Times New Roman"/>
        </w:rPr>
        <w:t xml:space="preserve">were determined. </w:t>
      </w:r>
      <w:r w:rsidR="00FC5ED9" w:rsidRPr="00B76DBE">
        <w:rPr>
          <w:rFonts w:cs="Times New Roman"/>
        </w:rPr>
        <w:t xml:space="preserve">Data were pooled from two independent experiments and each dot represents one animal. </w:t>
      </w:r>
      <w:r w:rsidRPr="00B76DBE">
        <w:rPr>
          <w:rFonts w:cs="Times New Roman"/>
        </w:rPr>
        <w:t xml:space="preserve">For statistical analysis, </w:t>
      </w:r>
      <w:proofErr w:type="spellStart"/>
      <w:r w:rsidRPr="00B76DBE">
        <w:rPr>
          <w:rFonts w:cs="Times New Roman"/>
        </w:rPr>
        <w:t>Kruskal</w:t>
      </w:r>
      <w:proofErr w:type="spellEnd"/>
      <w:r w:rsidRPr="00B76DBE">
        <w:rPr>
          <w:rFonts w:cs="Times New Roman"/>
        </w:rPr>
        <w:t>-Wallis test, followed by Dunn’s multiple co</w:t>
      </w:r>
      <w:r w:rsidR="00EE0F29" w:rsidRPr="00B76DBE">
        <w:rPr>
          <w:rFonts w:cs="Times New Roman"/>
        </w:rPr>
        <w:t>mparison test, was applied. *** </w:t>
      </w:r>
      <w:proofErr w:type="gramStart"/>
      <w:r w:rsidRPr="00B76DBE">
        <w:rPr>
          <w:rFonts w:cs="Times New Roman"/>
        </w:rPr>
        <w:t>p</w:t>
      </w:r>
      <w:proofErr w:type="gramEnd"/>
      <w:r w:rsidR="00EE0F29" w:rsidRPr="00B76DBE">
        <w:rPr>
          <w:rFonts w:cs="Times New Roman"/>
        </w:rPr>
        <w:t> </w:t>
      </w:r>
      <w:r w:rsidRPr="00B76DBE">
        <w:rPr>
          <w:rFonts w:cs="Times New Roman"/>
        </w:rPr>
        <w:t>&lt;</w:t>
      </w:r>
      <w:r w:rsidR="00EE0F29" w:rsidRPr="00B76DBE">
        <w:rPr>
          <w:rFonts w:cs="Times New Roman"/>
        </w:rPr>
        <w:t> </w:t>
      </w:r>
      <w:r w:rsidRPr="00B76DBE">
        <w:rPr>
          <w:rFonts w:cs="Times New Roman"/>
        </w:rPr>
        <w:t>0.001.</w:t>
      </w:r>
      <w:r w:rsidRPr="00B76DBE">
        <w:rPr>
          <w:b/>
        </w:rPr>
        <w:br w:type="page"/>
      </w:r>
    </w:p>
    <w:p w14:paraId="21ABEDD5" w14:textId="3C67F017" w:rsidR="00AA1E11" w:rsidRPr="00B76DBE" w:rsidRDefault="00AA1E11">
      <w:pPr>
        <w:rPr>
          <w:b/>
        </w:rPr>
      </w:pPr>
      <w:r w:rsidRPr="00B76DBE">
        <w:rPr>
          <w:b/>
        </w:rPr>
        <w:lastRenderedPageBreak/>
        <w:t>Figure S5</w:t>
      </w:r>
    </w:p>
    <w:p w14:paraId="5BFB507C" w14:textId="6BE63E04" w:rsidR="00AA1E11" w:rsidRPr="00B76DBE" w:rsidRDefault="00AA1E11"/>
    <w:p w14:paraId="055E9C9F" w14:textId="0E3381EF" w:rsidR="005A79FD" w:rsidRPr="00B76DBE" w:rsidRDefault="008028A6">
      <w:r w:rsidRPr="00B76DBE">
        <w:rPr>
          <w:noProof/>
        </w:rPr>
        <w:drawing>
          <wp:inline distT="0" distB="0" distL="0" distR="0" wp14:anchorId="690C7873" wp14:editId="64E9F858">
            <wp:extent cx="6332132" cy="5388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5.ai"/>
                    <pic:cNvPicPr/>
                  </pic:nvPicPr>
                  <pic:blipFill rotWithShape="1">
                    <a:blip r:embed="rId13">
                      <a:extLst>
                        <a:ext uri="{28A0092B-C50C-407E-A947-70E740481C1C}">
                          <a14:useLocalDpi xmlns:a14="http://schemas.microsoft.com/office/drawing/2010/main" val="0"/>
                        </a:ext>
                      </a:extLst>
                    </a:blip>
                    <a:srcRect t="3317" b="9175"/>
                    <a:stretch/>
                  </pic:blipFill>
                  <pic:spPr bwMode="auto">
                    <a:xfrm>
                      <a:off x="0" y="0"/>
                      <a:ext cx="6332220" cy="5388923"/>
                    </a:xfrm>
                    <a:prstGeom prst="rect">
                      <a:avLst/>
                    </a:prstGeom>
                    <a:ln>
                      <a:noFill/>
                    </a:ln>
                    <a:extLst>
                      <a:ext uri="{53640926-AAD7-44D8-BBD7-CCE9431645EC}">
                        <a14:shadowObscured xmlns:a14="http://schemas.microsoft.com/office/drawing/2010/main"/>
                      </a:ext>
                    </a:extLst>
                  </pic:spPr>
                </pic:pic>
              </a:graphicData>
            </a:graphic>
          </wp:inline>
        </w:drawing>
      </w:r>
    </w:p>
    <w:p w14:paraId="57311250" w14:textId="57AC5940" w:rsidR="00AA1E11" w:rsidRPr="00B76DBE" w:rsidRDefault="00AA1E11" w:rsidP="00AA1E11">
      <w:pPr>
        <w:spacing w:before="0" w:after="200"/>
        <w:jc w:val="both"/>
        <w:rPr>
          <w:rFonts w:cs="Times New Roman"/>
        </w:rPr>
      </w:pPr>
      <w:r w:rsidRPr="00B76DBE">
        <w:rPr>
          <w:rFonts w:cs="Times New Roman"/>
          <w:b/>
          <w:bCs/>
        </w:rPr>
        <w:t xml:space="preserve">Figure S5: Cytokine and chemokine levels in serum of uninfected or </w:t>
      </w:r>
      <w:r w:rsidRPr="00B76DBE">
        <w:rPr>
          <w:rFonts w:cs="Times New Roman"/>
          <w:b/>
          <w:bCs/>
          <w:i/>
        </w:rPr>
        <w:t>S. aureus</w:t>
      </w:r>
      <w:r w:rsidRPr="00B76DBE">
        <w:rPr>
          <w:rFonts w:cs="Times New Roman"/>
          <w:b/>
          <w:bCs/>
        </w:rPr>
        <w:t xml:space="preserve"> infected mice. </w:t>
      </w:r>
      <w:r w:rsidRPr="00B76DBE">
        <w:rPr>
          <w:rFonts w:cs="Times New Roman"/>
        </w:rPr>
        <w:t xml:space="preserve">Female C57BL/6J mice were either left uninfected or infected </w:t>
      </w:r>
      <w:proofErr w:type="spellStart"/>
      <w:r w:rsidRPr="00B76DBE">
        <w:rPr>
          <w:rFonts w:cs="Times New Roman"/>
        </w:rPr>
        <w:t>i.v.</w:t>
      </w:r>
      <w:proofErr w:type="spellEnd"/>
      <w:r w:rsidRPr="00B76DBE">
        <w:rPr>
          <w:rFonts w:cs="Times New Roman"/>
        </w:rPr>
        <w:t xml:space="preserve"> with </w:t>
      </w:r>
      <w:r w:rsidRPr="00B76DBE">
        <w:rPr>
          <w:rFonts w:cs="Times New Roman"/>
          <w:i/>
        </w:rPr>
        <w:t xml:space="preserve">S. aureus </w:t>
      </w:r>
      <w:r w:rsidRPr="00B76DBE">
        <w:rPr>
          <w:rFonts w:cs="Times New Roman"/>
        </w:rPr>
        <w:t xml:space="preserve">wildtype or </w:t>
      </w:r>
      <w:proofErr w:type="spellStart"/>
      <w:r w:rsidRPr="00B76DBE">
        <w:rPr>
          <w:rFonts w:cs="Times New Roman"/>
        </w:rPr>
        <w:t>Δhla</w:t>
      </w:r>
      <w:proofErr w:type="spellEnd"/>
      <w:r w:rsidRPr="00B76DBE">
        <w:rPr>
          <w:rFonts w:cs="Times New Roman"/>
        </w:rPr>
        <w:t xml:space="preserve">. On day 14 </w:t>
      </w:r>
      <w:proofErr w:type="spellStart"/>
      <w:r w:rsidRPr="00B76DBE">
        <w:rPr>
          <w:rFonts w:cs="Times New Roman"/>
        </w:rPr>
        <w:t>p.i</w:t>
      </w:r>
      <w:proofErr w:type="spellEnd"/>
      <w:r w:rsidRPr="00B76DBE">
        <w:rPr>
          <w:rFonts w:cs="Times New Roman"/>
        </w:rPr>
        <w:t xml:space="preserve">., animals were sacrificed and blood was collected for measurement of cytokines and chemokines in serum. </w:t>
      </w:r>
      <w:r w:rsidR="002C5694" w:rsidRPr="00B76DBE">
        <w:rPr>
          <w:rFonts w:cs="Times New Roman"/>
        </w:rPr>
        <w:t xml:space="preserve">Data were pooled from two independent experiments </w:t>
      </w:r>
      <w:r w:rsidR="00FE6240" w:rsidRPr="00B76DBE">
        <w:rPr>
          <w:rFonts w:cs="Times New Roman"/>
        </w:rPr>
        <w:t>and each dot represents one animal</w:t>
      </w:r>
      <w:r w:rsidR="002C5694" w:rsidRPr="00B76DBE">
        <w:rPr>
          <w:rFonts w:cs="Times New Roman"/>
        </w:rPr>
        <w:t xml:space="preserve">. </w:t>
      </w:r>
      <w:r w:rsidRPr="00B76DBE">
        <w:rPr>
          <w:rFonts w:cs="Times New Roman"/>
        </w:rPr>
        <w:t xml:space="preserve">For statistical analysis, </w:t>
      </w:r>
      <w:proofErr w:type="spellStart"/>
      <w:r w:rsidRPr="00B76DBE">
        <w:rPr>
          <w:rFonts w:cs="Times New Roman"/>
        </w:rPr>
        <w:t>Kruskal</w:t>
      </w:r>
      <w:proofErr w:type="spellEnd"/>
      <w:r w:rsidRPr="00B76DBE">
        <w:rPr>
          <w:rFonts w:cs="Times New Roman"/>
        </w:rPr>
        <w:t xml:space="preserve">-Wallis test, followed by Dunn’s multiple comparison test, was applied. * </w:t>
      </w:r>
      <w:proofErr w:type="gramStart"/>
      <w:r w:rsidRPr="00B76DBE">
        <w:rPr>
          <w:rFonts w:cs="Times New Roman"/>
        </w:rPr>
        <w:t>p</w:t>
      </w:r>
      <w:proofErr w:type="gramEnd"/>
      <w:r w:rsidRPr="00B76DBE">
        <w:rPr>
          <w:rFonts w:cs="Times New Roman"/>
        </w:rPr>
        <w:t xml:space="preserve"> &lt; 0.05, ** p &lt; 0.01.</w:t>
      </w:r>
    </w:p>
    <w:p w14:paraId="3FD8DA74" w14:textId="7D416E6D" w:rsidR="00AA1E11" w:rsidRPr="00B76DBE" w:rsidRDefault="00AA1E11">
      <w:pPr>
        <w:spacing w:before="0" w:after="200" w:line="276" w:lineRule="auto"/>
        <w:rPr>
          <w:rFonts w:cs="Times New Roman"/>
        </w:rPr>
      </w:pPr>
      <w:r w:rsidRPr="00B76DBE">
        <w:rPr>
          <w:rFonts w:cs="Times New Roman"/>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962"/>
      </w:tblGrid>
      <w:tr w:rsidR="00B76DBE" w:rsidRPr="00B76DBE" w14:paraId="05D563A9" w14:textId="77777777" w:rsidTr="00D04522">
        <w:tc>
          <w:tcPr>
            <w:tcW w:w="9962" w:type="dxa"/>
          </w:tcPr>
          <w:p w14:paraId="0A309BCB" w14:textId="1BC0C338" w:rsidR="00D04522" w:rsidRPr="00B76DBE" w:rsidRDefault="00D04522" w:rsidP="00D04522">
            <w:pPr>
              <w:spacing w:before="240" w:after="0"/>
              <w:rPr>
                <w:b/>
                <w:noProof/>
              </w:rPr>
            </w:pPr>
            <w:r w:rsidRPr="00B76DBE">
              <w:rPr>
                <w:b/>
                <w:noProof/>
              </w:rPr>
              <w:lastRenderedPageBreak/>
              <w:t>Figure S</w:t>
            </w:r>
            <w:r w:rsidR="00D172B0" w:rsidRPr="00B76DBE">
              <w:rPr>
                <w:b/>
                <w:noProof/>
              </w:rPr>
              <w:t>6</w:t>
            </w:r>
          </w:p>
        </w:tc>
      </w:tr>
      <w:tr w:rsidR="00B76DBE" w:rsidRPr="00B76DBE" w14:paraId="5C0D1E0E" w14:textId="77777777" w:rsidTr="00422D6A">
        <w:tc>
          <w:tcPr>
            <w:tcW w:w="9962" w:type="dxa"/>
          </w:tcPr>
          <w:p w14:paraId="02283886" w14:textId="57A04BA2" w:rsidR="00FA1636" w:rsidRPr="00B76DBE" w:rsidRDefault="00A55B55" w:rsidP="00D04522">
            <w:pPr>
              <w:spacing w:before="240" w:after="0"/>
              <w:jc w:val="center"/>
            </w:pPr>
            <w:r w:rsidRPr="00B76DBE">
              <w:rPr>
                <w:noProof/>
              </w:rPr>
              <w:drawing>
                <wp:inline distT="0" distB="0" distL="0" distR="0" wp14:anchorId="3B825F17" wp14:editId="1FD41792">
                  <wp:extent cx="4392000" cy="633951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3.ai"/>
                          <pic:cNvPicPr/>
                        </pic:nvPicPr>
                        <pic:blipFill rotWithShape="1">
                          <a:blip r:embed="rId14">
                            <a:extLst>
                              <a:ext uri="{28A0092B-C50C-407E-A947-70E740481C1C}">
                                <a14:useLocalDpi xmlns:a14="http://schemas.microsoft.com/office/drawing/2010/main" val="0"/>
                              </a:ext>
                            </a:extLst>
                          </a:blip>
                          <a:srcRect b="5728"/>
                          <a:stretch/>
                        </pic:blipFill>
                        <pic:spPr bwMode="auto">
                          <a:xfrm>
                            <a:off x="0" y="0"/>
                            <a:ext cx="4392000" cy="6339512"/>
                          </a:xfrm>
                          <a:prstGeom prst="rect">
                            <a:avLst/>
                          </a:prstGeom>
                          <a:ln>
                            <a:noFill/>
                          </a:ln>
                          <a:extLst>
                            <a:ext uri="{53640926-AAD7-44D8-BBD7-CCE9431645EC}">
                              <a14:shadowObscured xmlns:a14="http://schemas.microsoft.com/office/drawing/2010/main"/>
                            </a:ext>
                          </a:extLst>
                        </pic:spPr>
                      </pic:pic>
                    </a:graphicData>
                  </a:graphic>
                </wp:inline>
              </w:drawing>
            </w:r>
          </w:p>
        </w:tc>
      </w:tr>
      <w:tr w:rsidR="00FA1636" w:rsidRPr="00B76DBE" w14:paraId="0304D659" w14:textId="77777777" w:rsidTr="00422D6A">
        <w:tc>
          <w:tcPr>
            <w:tcW w:w="9962" w:type="dxa"/>
          </w:tcPr>
          <w:p w14:paraId="7E46F3D3" w14:textId="66EF6FA5" w:rsidR="00D172B0" w:rsidRPr="00B76DBE" w:rsidRDefault="00A55B55" w:rsidP="00D172B0">
            <w:pPr>
              <w:spacing w:after="0"/>
              <w:jc w:val="both"/>
              <w:rPr>
                <w:rFonts w:cs="Times New Roman"/>
              </w:rPr>
            </w:pPr>
            <w:r w:rsidRPr="00B76DBE">
              <w:rPr>
                <w:rFonts w:cs="Times New Roman"/>
                <w:b/>
              </w:rPr>
              <w:t>Figure S</w:t>
            </w:r>
            <w:r w:rsidR="00D172B0" w:rsidRPr="00B76DBE">
              <w:rPr>
                <w:rFonts w:cs="Times New Roman"/>
                <w:b/>
              </w:rPr>
              <w:t>6</w:t>
            </w:r>
            <w:r w:rsidRPr="00B76DBE">
              <w:rPr>
                <w:rFonts w:cs="Times New Roman"/>
                <w:b/>
              </w:rPr>
              <w:t xml:space="preserve">: </w:t>
            </w:r>
            <w:r w:rsidRPr="00B76DBE">
              <w:rPr>
                <w:rFonts w:cs="Times New Roman"/>
                <w:b/>
                <w:i/>
              </w:rPr>
              <w:t>S. aureus</w:t>
            </w:r>
            <w:r w:rsidRPr="00B76DBE">
              <w:rPr>
                <w:rFonts w:cs="Times New Roman"/>
                <w:b/>
              </w:rPr>
              <w:t xml:space="preserve"> alpha-toxin induces IL-17A-producing CD4</w:t>
            </w:r>
            <w:r w:rsidRPr="00B76DBE">
              <w:rPr>
                <w:rFonts w:cs="Times New Roman"/>
                <w:b/>
                <w:vertAlign w:val="superscript"/>
              </w:rPr>
              <w:t>+</w:t>
            </w:r>
            <w:r w:rsidRPr="00B76DBE">
              <w:rPr>
                <w:rFonts w:cs="Times New Roman"/>
                <w:b/>
              </w:rPr>
              <w:t xml:space="preserve"> helper T cells.</w:t>
            </w:r>
            <w:r w:rsidRPr="00B76DBE">
              <w:rPr>
                <w:rFonts w:cs="Times New Roman"/>
              </w:rPr>
              <w:t xml:space="preserve"> Female C57BL/6J mice were either left uninfected or infected </w:t>
            </w:r>
            <w:proofErr w:type="spellStart"/>
            <w:r w:rsidRPr="00B76DBE">
              <w:rPr>
                <w:rFonts w:cs="Times New Roman"/>
              </w:rPr>
              <w:t>i.v.</w:t>
            </w:r>
            <w:proofErr w:type="spellEnd"/>
            <w:r w:rsidRPr="00B76DBE">
              <w:rPr>
                <w:rFonts w:cs="Times New Roman"/>
              </w:rPr>
              <w:t xml:space="preserve"> with </w:t>
            </w:r>
            <w:r w:rsidRPr="00B76DBE">
              <w:rPr>
                <w:rFonts w:cs="Times New Roman"/>
                <w:i/>
              </w:rPr>
              <w:t xml:space="preserve">S. aureus </w:t>
            </w:r>
            <w:r w:rsidRPr="00B76DBE">
              <w:rPr>
                <w:rFonts w:cs="Times New Roman"/>
              </w:rPr>
              <w:t xml:space="preserve">wildtype or </w:t>
            </w:r>
            <w:proofErr w:type="spellStart"/>
            <w:r w:rsidRPr="00B76DBE">
              <w:rPr>
                <w:rFonts w:cs="Times New Roman"/>
              </w:rPr>
              <w:t>Δhla</w:t>
            </w:r>
            <w:proofErr w:type="spellEnd"/>
            <w:r w:rsidRPr="00B76DBE">
              <w:rPr>
                <w:rFonts w:cs="Times New Roman"/>
              </w:rPr>
              <w:t xml:space="preserve">. On day 14 </w:t>
            </w:r>
            <w:proofErr w:type="spellStart"/>
            <w:r w:rsidRPr="00B76DBE">
              <w:rPr>
                <w:rFonts w:cs="Times New Roman"/>
              </w:rPr>
              <w:t>p.i</w:t>
            </w:r>
            <w:proofErr w:type="spellEnd"/>
            <w:r w:rsidRPr="00B76DBE">
              <w:rPr>
                <w:rFonts w:cs="Times New Roman"/>
              </w:rPr>
              <w:t>., animals were sacrificed and organs harvested for flow cytometric analysis. (</w:t>
            </w:r>
            <w:r w:rsidRPr="00B76DBE">
              <w:rPr>
                <w:rFonts w:cs="Times New Roman"/>
                <w:b/>
              </w:rPr>
              <w:t>A</w:t>
            </w:r>
            <w:r w:rsidRPr="00B76DBE">
              <w:rPr>
                <w:rFonts w:cs="Times New Roman"/>
              </w:rPr>
              <w:t xml:space="preserve">) Representative contour plots show </w:t>
            </w:r>
            <w:proofErr w:type="spellStart"/>
            <w:r w:rsidRPr="00B76DBE">
              <w:rPr>
                <w:rFonts w:cs="Times New Roman"/>
              </w:rPr>
              <w:t>IFNγ</w:t>
            </w:r>
            <w:proofErr w:type="spellEnd"/>
            <w:r w:rsidRPr="00B76DBE">
              <w:rPr>
                <w:rFonts w:cs="Times New Roman"/>
              </w:rPr>
              <w:t xml:space="preserve"> and IL</w:t>
            </w:r>
            <w:r w:rsidRPr="00B76DBE">
              <w:rPr>
                <w:rFonts w:cs="Times New Roman"/>
              </w:rPr>
              <w:noBreakHyphen/>
              <w:t>17A expression among CD4</w:t>
            </w:r>
            <w:r w:rsidRPr="00B76DBE">
              <w:rPr>
                <w:rFonts w:cs="Times New Roman"/>
                <w:vertAlign w:val="superscript"/>
              </w:rPr>
              <w:t>+</w:t>
            </w:r>
            <w:r w:rsidRPr="00B76DBE">
              <w:rPr>
                <w:rFonts w:cs="Times New Roman"/>
              </w:rPr>
              <w:t xml:space="preserve"> T cells. (</w:t>
            </w:r>
            <w:r w:rsidRPr="00B76DBE">
              <w:rPr>
                <w:rFonts w:cs="Times New Roman"/>
                <w:b/>
              </w:rPr>
              <w:t>B</w:t>
            </w:r>
            <w:r w:rsidRPr="00B76DBE">
              <w:rPr>
                <w:rFonts w:cs="Times New Roman"/>
              </w:rPr>
              <w:t xml:space="preserve">) Frequencies of </w:t>
            </w:r>
            <w:proofErr w:type="spellStart"/>
            <w:r w:rsidRPr="00B76DBE">
              <w:rPr>
                <w:rFonts w:cs="Times New Roman"/>
              </w:rPr>
              <w:t>IFNγ</w:t>
            </w:r>
            <w:proofErr w:type="spellEnd"/>
            <w:r w:rsidRPr="00B76DBE">
              <w:rPr>
                <w:rFonts w:cs="Times New Roman"/>
                <w:vertAlign w:val="superscript"/>
              </w:rPr>
              <w:t>+</w:t>
            </w:r>
            <w:r w:rsidRPr="00B76DBE">
              <w:rPr>
                <w:rFonts w:cs="Times New Roman"/>
              </w:rPr>
              <w:t xml:space="preserve"> cells among CD4</w:t>
            </w:r>
            <w:r w:rsidRPr="00B76DBE">
              <w:rPr>
                <w:rFonts w:cs="Times New Roman"/>
                <w:vertAlign w:val="superscript"/>
              </w:rPr>
              <w:t>+</w:t>
            </w:r>
            <w:r w:rsidRPr="00B76DBE">
              <w:rPr>
                <w:rFonts w:cs="Times New Roman"/>
              </w:rPr>
              <w:t> T cells in spleen and LNs are depicted. (</w:t>
            </w:r>
            <w:r w:rsidRPr="00B76DBE">
              <w:rPr>
                <w:rFonts w:cs="Times New Roman"/>
                <w:b/>
              </w:rPr>
              <w:t>C</w:t>
            </w:r>
            <w:r w:rsidRPr="00B76DBE">
              <w:rPr>
                <w:rFonts w:cs="Times New Roman"/>
              </w:rPr>
              <w:t>) Frequencies of IL</w:t>
            </w:r>
            <w:r w:rsidRPr="00B76DBE">
              <w:rPr>
                <w:rFonts w:cs="Times New Roman"/>
              </w:rPr>
              <w:noBreakHyphen/>
              <w:t>17A</w:t>
            </w:r>
            <w:r w:rsidRPr="00B76DBE">
              <w:rPr>
                <w:rFonts w:cs="Times New Roman"/>
                <w:vertAlign w:val="superscript"/>
              </w:rPr>
              <w:t>+</w:t>
            </w:r>
            <w:r w:rsidRPr="00B76DBE">
              <w:rPr>
                <w:rFonts w:cs="Times New Roman"/>
              </w:rPr>
              <w:t xml:space="preserve"> cells among CD4</w:t>
            </w:r>
            <w:r w:rsidRPr="00B76DBE">
              <w:rPr>
                <w:rFonts w:cs="Times New Roman"/>
                <w:vertAlign w:val="superscript"/>
              </w:rPr>
              <w:t>+</w:t>
            </w:r>
            <w:r w:rsidRPr="00B76DBE">
              <w:rPr>
                <w:rFonts w:cs="Times New Roman"/>
              </w:rPr>
              <w:t> T cells in spleen and LNs are depicted. (</w:t>
            </w:r>
            <w:r w:rsidRPr="00B76DBE">
              <w:rPr>
                <w:rFonts w:cs="Times New Roman"/>
                <w:b/>
              </w:rPr>
              <w:t>B+C</w:t>
            </w:r>
            <w:r w:rsidRPr="00B76DBE">
              <w:rPr>
                <w:rFonts w:cs="Times New Roman"/>
              </w:rPr>
              <w:t xml:space="preserve">) Data were pooled from two independent experiments and each dot represents one animal. For statistical analysis, </w:t>
            </w:r>
            <w:proofErr w:type="spellStart"/>
            <w:r w:rsidRPr="00B76DBE">
              <w:rPr>
                <w:rFonts w:cs="Times New Roman"/>
              </w:rPr>
              <w:t>Kruskal</w:t>
            </w:r>
            <w:proofErr w:type="spellEnd"/>
            <w:r w:rsidRPr="00B76DBE">
              <w:rPr>
                <w:rFonts w:cs="Times New Roman"/>
              </w:rPr>
              <w:t>-Wallis test, followed by Dunn’s multiple comparison test, was applied. *</w:t>
            </w:r>
            <w:r w:rsidR="00D172B0" w:rsidRPr="00B76DBE">
              <w:rPr>
                <w:rFonts w:cs="Times New Roman"/>
              </w:rPr>
              <w:t> </w:t>
            </w:r>
            <w:proofErr w:type="gramStart"/>
            <w:r w:rsidRPr="00B76DBE">
              <w:rPr>
                <w:rFonts w:cs="Times New Roman"/>
              </w:rPr>
              <w:t>p</w:t>
            </w:r>
            <w:proofErr w:type="gramEnd"/>
            <w:r w:rsidR="00D172B0" w:rsidRPr="00B76DBE">
              <w:rPr>
                <w:rFonts w:cs="Times New Roman"/>
              </w:rPr>
              <w:t> </w:t>
            </w:r>
            <w:r w:rsidRPr="00B76DBE">
              <w:rPr>
                <w:rFonts w:cs="Times New Roman"/>
              </w:rPr>
              <w:t>&lt;</w:t>
            </w:r>
            <w:r w:rsidR="00D172B0" w:rsidRPr="00B76DBE">
              <w:rPr>
                <w:rFonts w:cs="Times New Roman"/>
              </w:rPr>
              <w:t> </w:t>
            </w:r>
            <w:r w:rsidRPr="00B76DBE">
              <w:rPr>
                <w:rFonts w:cs="Times New Roman"/>
              </w:rPr>
              <w:t>0.05, ***</w:t>
            </w:r>
            <w:r w:rsidR="00D172B0" w:rsidRPr="00B76DBE">
              <w:rPr>
                <w:rFonts w:cs="Times New Roman"/>
              </w:rPr>
              <w:t> </w:t>
            </w:r>
            <w:r w:rsidRPr="00B76DBE">
              <w:rPr>
                <w:rFonts w:cs="Times New Roman"/>
              </w:rPr>
              <w:t>p</w:t>
            </w:r>
            <w:r w:rsidR="00D172B0" w:rsidRPr="00B76DBE">
              <w:rPr>
                <w:rFonts w:cs="Times New Roman"/>
              </w:rPr>
              <w:t> </w:t>
            </w:r>
            <w:r w:rsidRPr="00B76DBE">
              <w:rPr>
                <w:rFonts w:cs="Times New Roman"/>
              </w:rPr>
              <w:t>&lt;</w:t>
            </w:r>
            <w:r w:rsidR="00D172B0" w:rsidRPr="00B76DBE">
              <w:rPr>
                <w:rFonts w:cs="Times New Roman"/>
              </w:rPr>
              <w:t> </w:t>
            </w:r>
            <w:r w:rsidRPr="00B76DBE">
              <w:rPr>
                <w:rFonts w:cs="Times New Roman"/>
              </w:rPr>
              <w:t>0.001.</w:t>
            </w:r>
          </w:p>
        </w:tc>
      </w:tr>
    </w:tbl>
    <w:p w14:paraId="7B65BC41" w14:textId="2724A0DC" w:rsidR="00DE23E8" w:rsidRPr="00B76DBE" w:rsidRDefault="00DE23E8" w:rsidP="00D04522">
      <w:pPr>
        <w:spacing w:before="0"/>
        <w:rPr>
          <w:sz w:val="2"/>
        </w:rPr>
      </w:pPr>
    </w:p>
    <w:sectPr w:rsidR="00DE23E8" w:rsidRPr="00B76DBE" w:rsidSect="00335AD2">
      <w:headerReference w:type="even" r:id="rId15"/>
      <w:headerReference w:type="default" r:id="rId16"/>
      <w:footerReference w:type="even" r:id="rId17"/>
      <w:footerReference w:type="default" r:id="rId18"/>
      <w:headerReference w:type="first" r:id="rId19"/>
      <w:pgSz w:w="12240" w:h="15840"/>
      <w:pgMar w:top="1140" w:right="1134" w:bottom="114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21C4D" w14:textId="77777777" w:rsidR="005D0D4E" w:rsidRDefault="005D0D4E" w:rsidP="00117666">
      <w:pPr>
        <w:spacing w:after="0"/>
      </w:pPr>
      <w:r>
        <w:separator/>
      </w:r>
    </w:p>
  </w:endnote>
  <w:endnote w:type="continuationSeparator" w:id="0">
    <w:p w14:paraId="15A8B92D" w14:textId="77777777" w:rsidR="005D0D4E" w:rsidRDefault="005D0D4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CE0C3F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04522">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CE0C3F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04522">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0E7A04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33429">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0E7A04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33429">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E5925" w14:textId="77777777" w:rsidR="005D0D4E" w:rsidRDefault="005D0D4E" w:rsidP="00117666">
      <w:pPr>
        <w:spacing w:after="0"/>
      </w:pPr>
      <w:r>
        <w:separator/>
      </w:r>
    </w:p>
  </w:footnote>
  <w:footnote w:type="continuationSeparator" w:id="0">
    <w:p w14:paraId="67B6449E" w14:textId="77777777" w:rsidR="005D0D4E" w:rsidRDefault="005D0D4E"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FBADC" w14:textId="43FCFA07" w:rsidR="00335AD2" w:rsidRDefault="00335AD2">
    <w:pPr>
      <w:pStyle w:val="Kopfzeile"/>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4257"/>
    <w:rsid w:val="00076D3F"/>
    <w:rsid w:val="00077D53"/>
    <w:rsid w:val="0008776A"/>
    <w:rsid w:val="000A77DC"/>
    <w:rsid w:val="000E1750"/>
    <w:rsid w:val="000F43E4"/>
    <w:rsid w:val="000F7BA7"/>
    <w:rsid w:val="00105FD9"/>
    <w:rsid w:val="00107A17"/>
    <w:rsid w:val="00117666"/>
    <w:rsid w:val="0012638C"/>
    <w:rsid w:val="001314D1"/>
    <w:rsid w:val="001549D3"/>
    <w:rsid w:val="00156D6E"/>
    <w:rsid w:val="00160065"/>
    <w:rsid w:val="00165E80"/>
    <w:rsid w:val="0017251E"/>
    <w:rsid w:val="00173460"/>
    <w:rsid w:val="00177D84"/>
    <w:rsid w:val="001C0B46"/>
    <w:rsid w:val="001C2F85"/>
    <w:rsid w:val="001E2885"/>
    <w:rsid w:val="00236C65"/>
    <w:rsid w:val="00236FDC"/>
    <w:rsid w:val="00267D18"/>
    <w:rsid w:val="00274347"/>
    <w:rsid w:val="002868E2"/>
    <w:rsid w:val="002869C3"/>
    <w:rsid w:val="00286EC3"/>
    <w:rsid w:val="002936E4"/>
    <w:rsid w:val="002A173B"/>
    <w:rsid w:val="002B4A57"/>
    <w:rsid w:val="002C5694"/>
    <w:rsid w:val="002C74CA"/>
    <w:rsid w:val="002E07FA"/>
    <w:rsid w:val="003123F4"/>
    <w:rsid w:val="00331E7C"/>
    <w:rsid w:val="00335AD2"/>
    <w:rsid w:val="00351082"/>
    <w:rsid w:val="00352493"/>
    <w:rsid w:val="003544FB"/>
    <w:rsid w:val="00374925"/>
    <w:rsid w:val="003C2F5E"/>
    <w:rsid w:val="003D2F2D"/>
    <w:rsid w:val="003E4E11"/>
    <w:rsid w:val="003F4D98"/>
    <w:rsid w:val="00401590"/>
    <w:rsid w:val="004228C8"/>
    <w:rsid w:val="00422D6A"/>
    <w:rsid w:val="0042480F"/>
    <w:rsid w:val="0043036D"/>
    <w:rsid w:val="00447801"/>
    <w:rsid w:val="00452E9C"/>
    <w:rsid w:val="00461C3A"/>
    <w:rsid w:val="004735C8"/>
    <w:rsid w:val="004947A6"/>
    <w:rsid w:val="004961FF"/>
    <w:rsid w:val="004C30F8"/>
    <w:rsid w:val="00500E93"/>
    <w:rsid w:val="00517A89"/>
    <w:rsid w:val="005250F2"/>
    <w:rsid w:val="00540FFF"/>
    <w:rsid w:val="00550157"/>
    <w:rsid w:val="00593EEA"/>
    <w:rsid w:val="005A5EEE"/>
    <w:rsid w:val="005A79FD"/>
    <w:rsid w:val="005D0D4E"/>
    <w:rsid w:val="005D6002"/>
    <w:rsid w:val="005D6CAA"/>
    <w:rsid w:val="006101A5"/>
    <w:rsid w:val="00633429"/>
    <w:rsid w:val="006375C7"/>
    <w:rsid w:val="00643CB6"/>
    <w:rsid w:val="00654E8F"/>
    <w:rsid w:val="00660D05"/>
    <w:rsid w:val="00664411"/>
    <w:rsid w:val="006820B1"/>
    <w:rsid w:val="006B7D14"/>
    <w:rsid w:val="006D2E00"/>
    <w:rsid w:val="006D78D9"/>
    <w:rsid w:val="00701727"/>
    <w:rsid w:val="0070566C"/>
    <w:rsid w:val="00714C50"/>
    <w:rsid w:val="00725A7D"/>
    <w:rsid w:val="007501BE"/>
    <w:rsid w:val="00755BFC"/>
    <w:rsid w:val="00765E93"/>
    <w:rsid w:val="00790BB3"/>
    <w:rsid w:val="007A3055"/>
    <w:rsid w:val="007C206C"/>
    <w:rsid w:val="007D5E2C"/>
    <w:rsid w:val="007E59EA"/>
    <w:rsid w:val="0080233B"/>
    <w:rsid w:val="008028A6"/>
    <w:rsid w:val="00817DD6"/>
    <w:rsid w:val="00831C15"/>
    <w:rsid w:val="0083759F"/>
    <w:rsid w:val="00860BF9"/>
    <w:rsid w:val="008820BF"/>
    <w:rsid w:val="00882B83"/>
    <w:rsid w:val="00883F9B"/>
    <w:rsid w:val="00885156"/>
    <w:rsid w:val="00885D5D"/>
    <w:rsid w:val="008C6A2B"/>
    <w:rsid w:val="008D18CD"/>
    <w:rsid w:val="008D2444"/>
    <w:rsid w:val="009151AA"/>
    <w:rsid w:val="0091680D"/>
    <w:rsid w:val="0093429D"/>
    <w:rsid w:val="009366C0"/>
    <w:rsid w:val="00943573"/>
    <w:rsid w:val="009467D8"/>
    <w:rsid w:val="00964134"/>
    <w:rsid w:val="00970F7D"/>
    <w:rsid w:val="00985442"/>
    <w:rsid w:val="00994A3D"/>
    <w:rsid w:val="009C2B12"/>
    <w:rsid w:val="009D7371"/>
    <w:rsid w:val="00A174D9"/>
    <w:rsid w:val="00A55B55"/>
    <w:rsid w:val="00A56019"/>
    <w:rsid w:val="00A75175"/>
    <w:rsid w:val="00AA1E11"/>
    <w:rsid w:val="00AA4D24"/>
    <w:rsid w:val="00AB6715"/>
    <w:rsid w:val="00AC3FF5"/>
    <w:rsid w:val="00AC49D2"/>
    <w:rsid w:val="00AD65B2"/>
    <w:rsid w:val="00B02275"/>
    <w:rsid w:val="00B11C5D"/>
    <w:rsid w:val="00B1671E"/>
    <w:rsid w:val="00B25EB8"/>
    <w:rsid w:val="00B37F4D"/>
    <w:rsid w:val="00B42475"/>
    <w:rsid w:val="00B425B4"/>
    <w:rsid w:val="00B5323C"/>
    <w:rsid w:val="00B76DBE"/>
    <w:rsid w:val="00B77953"/>
    <w:rsid w:val="00B916A0"/>
    <w:rsid w:val="00B96937"/>
    <w:rsid w:val="00BB5D50"/>
    <w:rsid w:val="00BB6F20"/>
    <w:rsid w:val="00BE3295"/>
    <w:rsid w:val="00BE6850"/>
    <w:rsid w:val="00C52A7B"/>
    <w:rsid w:val="00C56BAF"/>
    <w:rsid w:val="00C679AA"/>
    <w:rsid w:val="00C75972"/>
    <w:rsid w:val="00CD066B"/>
    <w:rsid w:val="00CD208F"/>
    <w:rsid w:val="00CD295A"/>
    <w:rsid w:val="00CE20DD"/>
    <w:rsid w:val="00CE4FEE"/>
    <w:rsid w:val="00D04522"/>
    <w:rsid w:val="00D060CF"/>
    <w:rsid w:val="00D172B0"/>
    <w:rsid w:val="00D648F3"/>
    <w:rsid w:val="00D721C3"/>
    <w:rsid w:val="00DB59C3"/>
    <w:rsid w:val="00DC259A"/>
    <w:rsid w:val="00DC4F2E"/>
    <w:rsid w:val="00DE0EF8"/>
    <w:rsid w:val="00DE23E8"/>
    <w:rsid w:val="00E22D39"/>
    <w:rsid w:val="00E52377"/>
    <w:rsid w:val="00E52E92"/>
    <w:rsid w:val="00E537AD"/>
    <w:rsid w:val="00E64E17"/>
    <w:rsid w:val="00E866C9"/>
    <w:rsid w:val="00EA3D3C"/>
    <w:rsid w:val="00EB5407"/>
    <w:rsid w:val="00EB6BC3"/>
    <w:rsid w:val="00EC090A"/>
    <w:rsid w:val="00ED120C"/>
    <w:rsid w:val="00ED20B5"/>
    <w:rsid w:val="00EE0F29"/>
    <w:rsid w:val="00F27F86"/>
    <w:rsid w:val="00F40019"/>
    <w:rsid w:val="00F44051"/>
    <w:rsid w:val="00F46900"/>
    <w:rsid w:val="00F61D89"/>
    <w:rsid w:val="00F81D66"/>
    <w:rsid w:val="00F862A1"/>
    <w:rsid w:val="00F8716F"/>
    <w:rsid w:val="00FA1636"/>
    <w:rsid w:val="00FA77E2"/>
    <w:rsid w:val="00FC17F5"/>
    <w:rsid w:val="00FC5ED9"/>
    <w:rsid w:val="00FD1F15"/>
    <w:rsid w:val="00FE017C"/>
    <w:rsid w:val="00FE6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506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A458330-B483-4895-A3A7-8D8C50BE3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971</Words>
  <Characters>5539</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MHH</Company>
  <LinksUpToDate>false</LinksUpToDate>
  <CharactersWithSpaces>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Bonifacius, Agnes</cp:lastModifiedBy>
  <cp:revision>6</cp:revision>
  <cp:lastPrinted>2020-05-26T18:09:00Z</cp:lastPrinted>
  <dcterms:created xsi:type="dcterms:W3CDTF">2020-07-12T11:52:00Z</dcterms:created>
  <dcterms:modified xsi:type="dcterms:W3CDTF">2020-07-12T12:22:00Z</dcterms:modified>
</cp:coreProperties>
</file>