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D9A7E" w14:textId="77777777" w:rsidR="00EB0856" w:rsidRPr="005A2010" w:rsidRDefault="00EB0856" w:rsidP="00EB08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5A2010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Supplementary Material </w:t>
      </w:r>
    </w:p>
    <w:p w14:paraId="196CD51A" w14:textId="77777777" w:rsidR="00A46E8D" w:rsidRPr="005A2010" w:rsidRDefault="00A46E8D"/>
    <w:p w14:paraId="7F380DB3" w14:textId="77777777" w:rsidR="00EB0856" w:rsidRPr="005A2010" w:rsidRDefault="00EB0856" w:rsidP="00EB085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2010">
        <w:rPr>
          <w:rFonts w:ascii="Times New Roman" w:hAnsi="Times New Roman" w:cs="Times New Roman"/>
          <w:b/>
          <w:i/>
          <w:sz w:val="24"/>
          <w:szCs w:val="24"/>
        </w:rPr>
        <w:t>sarA</w:t>
      </w:r>
      <w:proofErr w:type="spellEnd"/>
      <w:r w:rsidRPr="005A2010">
        <w:rPr>
          <w:rFonts w:ascii="Times New Roman" w:hAnsi="Times New Roman" w:cs="Times New Roman"/>
          <w:b/>
          <w:sz w:val="24"/>
          <w:szCs w:val="24"/>
        </w:rPr>
        <w:t xml:space="preserve"> dependent antibiofilm activity of thymol enhances the antibacterial efficacy of rifampicin against </w:t>
      </w:r>
      <w:r w:rsidRPr="005A2010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Staphylococcus aureus</w:t>
      </w:r>
    </w:p>
    <w:p w14:paraId="24728244" w14:textId="77777777" w:rsidR="00EB0856" w:rsidRPr="005A2010" w:rsidRDefault="00EB0856" w:rsidP="00EB08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010">
        <w:rPr>
          <w:rFonts w:ascii="Times New Roman" w:hAnsi="Times New Roman" w:cs="Times New Roman"/>
          <w:sz w:val="24"/>
          <w:szCs w:val="24"/>
        </w:rPr>
        <w:t>Alaguvel</w:t>
      </w:r>
      <w:proofErr w:type="spellEnd"/>
      <w:r w:rsidRPr="005A2010">
        <w:rPr>
          <w:rFonts w:ascii="Times New Roman" w:hAnsi="Times New Roman" w:cs="Times New Roman"/>
          <w:sz w:val="24"/>
          <w:szCs w:val="24"/>
        </w:rPr>
        <w:t xml:space="preserve"> Valliammai</w:t>
      </w:r>
      <w:r w:rsidRPr="005A201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A2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010">
        <w:rPr>
          <w:rFonts w:ascii="Times New Roman" w:hAnsi="Times New Roman" w:cs="Times New Roman"/>
          <w:sz w:val="24"/>
          <w:szCs w:val="24"/>
        </w:rPr>
        <w:t>Anthonymuthu</w:t>
      </w:r>
      <w:proofErr w:type="spellEnd"/>
      <w:r w:rsidRPr="005A2010">
        <w:rPr>
          <w:rFonts w:ascii="Times New Roman" w:hAnsi="Times New Roman" w:cs="Times New Roman"/>
          <w:sz w:val="24"/>
          <w:szCs w:val="24"/>
        </w:rPr>
        <w:t xml:space="preserve"> Selvaraj</w:t>
      </w:r>
      <w:r w:rsidRPr="005A201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A2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010">
        <w:rPr>
          <w:rFonts w:ascii="Times New Roman" w:hAnsi="Times New Roman" w:cs="Times New Roman"/>
          <w:sz w:val="24"/>
          <w:szCs w:val="24"/>
        </w:rPr>
        <w:t>Udayakumar</w:t>
      </w:r>
      <w:proofErr w:type="spellEnd"/>
      <w:r w:rsidRPr="005A2010">
        <w:rPr>
          <w:rFonts w:ascii="Times New Roman" w:hAnsi="Times New Roman" w:cs="Times New Roman"/>
          <w:sz w:val="24"/>
          <w:szCs w:val="24"/>
        </w:rPr>
        <w:t xml:space="preserve"> Yuvashree</w:t>
      </w:r>
      <w:r w:rsidRPr="005A201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A2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010">
        <w:rPr>
          <w:rFonts w:ascii="Times New Roman" w:hAnsi="Times New Roman" w:cs="Times New Roman"/>
          <w:sz w:val="24"/>
          <w:szCs w:val="24"/>
        </w:rPr>
        <w:t>Chairmandurai</w:t>
      </w:r>
      <w:proofErr w:type="spellEnd"/>
      <w:r w:rsidRPr="005A2010">
        <w:rPr>
          <w:rFonts w:ascii="Times New Roman" w:hAnsi="Times New Roman" w:cs="Times New Roman"/>
          <w:sz w:val="24"/>
          <w:szCs w:val="24"/>
        </w:rPr>
        <w:t xml:space="preserve"> Aravindraja</w:t>
      </w:r>
      <w:r w:rsidRPr="005A2010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5A201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A2010">
        <w:rPr>
          <w:rFonts w:ascii="Times New Roman" w:hAnsi="Times New Roman" w:cs="Times New Roman"/>
          <w:sz w:val="24"/>
          <w:szCs w:val="24"/>
        </w:rPr>
        <w:t>Shunmugiah</w:t>
      </w:r>
      <w:proofErr w:type="spellEnd"/>
      <w:r w:rsidRPr="005A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010">
        <w:rPr>
          <w:rFonts w:ascii="Times New Roman" w:hAnsi="Times New Roman" w:cs="Times New Roman"/>
          <w:sz w:val="24"/>
          <w:szCs w:val="24"/>
        </w:rPr>
        <w:t>Karutha</w:t>
      </w:r>
      <w:proofErr w:type="spellEnd"/>
      <w:r w:rsidRPr="005A2010">
        <w:rPr>
          <w:rFonts w:ascii="Times New Roman" w:hAnsi="Times New Roman" w:cs="Times New Roman"/>
          <w:sz w:val="24"/>
          <w:szCs w:val="24"/>
        </w:rPr>
        <w:t xml:space="preserve"> Pandian</w:t>
      </w:r>
      <w:r w:rsidRPr="005A201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A2010">
        <w:rPr>
          <w:rFonts w:ascii="Times New Roman" w:hAnsi="Times New Roman" w:cs="Times New Roman"/>
          <w:sz w:val="24"/>
          <w:szCs w:val="24"/>
        </w:rPr>
        <w:t>*</w:t>
      </w:r>
    </w:p>
    <w:p w14:paraId="57FC3674" w14:textId="77777777" w:rsidR="00EB0856" w:rsidRPr="005A2010" w:rsidRDefault="00EB0856"/>
    <w:p w14:paraId="01C1F27C" w14:textId="77777777" w:rsidR="006F6087" w:rsidRPr="005A2010" w:rsidRDefault="006F6087" w:rsidP="006F6087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010">
        <w:rPr>
          <w:rFonts w:ascii="Times New Roman" w:eastAsia="Calibri" w:hAnsi="Times New Roman" w:cs="Times New Roman"/>
          <w:b/>
          <w:sz w:val="24"/>
          <w:szCs w:val="24"/>
        </w:rPr>
        <w:t xml:space="preserve">Figure S1. </w:t>
      </w:r>
      <w:r w:rsidRPr="005A2010">
        <w:rPr>
          <w:rFonts w:ascii="Times New Roman" w:eastAsia="Calibri" w:hAnsi="Times New Roman" w:cs="Times New Roman"/>
          <w:sz w:val="24"/>
          <w:szCs w:val="24"/>
        </w:rPr>
        <w:t xml:space="preserve">Effect of increasing concentrations of thymol on biofilm formation of clinical isolates of </w:t>
      </w:r>
      <w:r w:rsidRPr="005A2010">
        <w:rPr>
          <w:rFonts w:ascii="Times New Roman" w:eastAsia="Calibri" w:hAnsi="Times New Roman" w:cs="Times New Roman"/>
          <w:i/>
          <w:sz w:val="24"/>
          <w:szCs w:val="24"/>
        </w:rPr>
        <w:t>S. aureus</w:t>
      </w:r>
      <w:r w:rsidRPr="005A2010">
        <w:rPr>
          <w:rFonts w:ascii="Times New Roman" w:eastAsia="Calibri" w:hAnsi="Times New Roman" w:cs="Times New Roman"/>
          <w:sz w:val="24"/>
          <w:szCs w:val="24"/>
        </w:rPr>
        <w:t>. Error bars indicate standard deviations. Asterisks represent statistical significance (</w:t>
      </w:r>
      <w:r w:rsidRPr="005A2010">
        <w:rPr>
          <w:rFonts w:ascii="Times New Roman" w:hAnsi="Times New Roman" w:cs="Times New Roman"/>
          <w:i/>
          <w:sz w:val="24"/>
          <w:szCs w:val="24"/>
        </w:rPr>
        <w:t>p</w:t>
      </w:r>
      <w:r w:rsidRPr="005A2010">
        <w:rPr>
          <w:rFonts w:ascii="Times New Roman" w:eastAsia="Calibri" w:hAnsi="Times New Roman" w:cs="Times New Roman"/>
          <w:sz w:val="24"/>
          <w:szCs w:val="24"/>
        </w:rPr>
        <w:t xml:space="preserve"> &lt; 0.05).</w:t>
      </w:r>
    </w:p>
    <w:p w14:paraId="08803992" w14:textId="77777777" w:rsidR="006F6087" w:rsidRPr="005A2010" w:rsidRDefault="006F6087" w:rsidP="006F6087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010">
        <w:rPr>
          <w:rFonts w:ascii="Times New Roman" w:eastAsia="Calibri" w:hAnsi="Times New Roman" w:cs="Times New Roman"/>
          <w:noProof/>
          <w:sz w:val="24"/>
          <w:szCs w:val="24"/>
          <w:lang w:val="en-US" w:bidi="ar-SA"/>
        </w:rPr>
        <w:drawing>
          <wp:inline distT="0" distB="0" distL="0" distR="0" wp14:anchorId="310A8466" wp14:editId="7B8618B0">
            <wp:extent cx="5943600" cy="4592782"/>
            <wp:effectExtent l="19050" t="0" r="0" b="0"/>
            <wp:docPr id="2" name="Picture 1" descr="E:\3. MRSA vs Thymol\MRSA vs Thymol Data\Thymol images final after second revision\Supplementary 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. MRSA vs Thymol\MRSA vs Thymol Data\Thymol images final after second revision\Supplementary Figure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2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2D4433" w14:textId="77777777" w:rsidR="006F6087" w:rsidRPr="005A2010" w:rsidRDefault="006F6087" w:rsidP="006F6087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9E1ECC" w14:textId="77777777" w:rsidR="00EB0856" w:rsidRPr="005A2010" w:rsidRDefault="006F6087" w:rsidP="00EB0856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01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Figure S2</w:t>
      </w:r>
      <w:r w:rsidR="00EB0856" w:rsidRPr="005A2010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EB0856" w:rsidRPr="005A2010">
        <w:rPr>
          <w:rFonts w:ascii="Times New Roman" w:eastAsia="Calibri" w:hAnsi="Times New Roman" w:cs="Times New Roman"/>
          <w:sz w:val="24"/>
          <w:szCs w:val="24"/>
        </w:rPr>
        <w:t xml:space="preserve">Effect of thymol on growth and metabolism of MRSA at BIC (100 µg/mL). (a) CFU analysis of control and thymol treated MRSA exhibiting non-antibacterial nature of thymol. (b) </w:t>
      </w:r>
      <w:proofErr w:type="spellStart"/>
      <w:r w:rsidR="00EB0856" w:rsidRPr="005A2010">
        <w:rPr>
          <w:rFonts w:ascii="Times New Roman" w:eastAsia="Calibri" w:hAnsi="Times New Roman" w:cs="Times New Roman"/>
          <w:sz w:val="24"/>
          <w:szCs w:val="24"/>
        </w:rPr>
        <w:t>Alamar</w:t>
      </w:r>
      <w:proofErr w:type="spellEnd"/>
      <w:r w:rsidR="00EB0856" w:rsidRPr="005A2010">
        <w:rPr>
          <w:rFonts w:ascii="Times New Roman" w:eastAsia="Calibri" w:hAnsi="Times New Roman" w:cs="Times New Roman"/>
          <w:sz w:val="24"/>
          <w:szCs w:val="24"/>
        </w:rPr>
        <w:t xml:space="preserve"> blue assay depicting the metabolic viability of control and thymol treated MRSA. Error bars indicate standard deviations.</w:t>
      </w:r>
    </w:p>
    <w:p w14:paraId="4E107790" w14:textId="77777777" w:rsidR="00EB0856" w:rsidRPr="005A2010" w:rsidRDefault="00EB0856" w:rsidP="00EB0856">
      <w:pPr>
        <w:spacing w:after="0" w:line="480" w:lineRule="auto"/>
        <w:jc w:val="center"/>
      </w:pPr>
      <w:r w:rsidRPr="005A2010">
        <w:rPr>
          <w:rFonts w:ascii="Times New Roman" w:eastAsia="Calibri" w:hAnsi="Times New Roman" w:cs="Times New Roman"/>
          <w:noProof/>
          <w:sz w:val="24"/>
          <w:szCs w:val="24"/>
          <w:lang w:val="en-US" w:bidi="ar-SA"/>
        </w:rPr>
        <w:drawing>
          <wp:inline distT="0" distB="0" distL="0" distR="0" wp14:anchorId="626E1DC2" wp14:editId="35788534">
            <wp:extent cx="5657850" cy="7069046"/>
            <wp:effectExtent l="19050" t="0" r="0" b="0"/>
            <wp:docPr id="1" name="Picture 1" descr="E:\3. MRSA vs Thymol\3. FIM-08.04.2020\Revision on 04052020\Images to upload\Supplementary 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. MRSA vs Thymol\3. FIM-08.04.2020\Revision on 04052020\Images to upload\Supplementary Figure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069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C7A81A" w14:textId="77777777" w:rsidR="006F6087" w:rsidRPr="005A2010" w:rsidRDefault="006F6087" w:rsidP="006F6087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01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Figure S3. </w:t>
      </w:r>
      <w:r w:rsidRPr="005A2010">
        <w:rPr>
          <w:rFonts w:ascii="Times New Roman" w:eastAsia="Calibri" w:hAnsi="Times New Roman" w:cs="Times New Roman"/>
          <w:sz w:val="24"/>
          <w:szCs w:val="24"/>
        </w:rPr>
        <w:t>Determination of MIC of thymol against MRSA. Error bars indicate standard deviations. Asterisks represent statistical significance (</w:t>
      </w:r>
      <w:r w:rsidRPr="005A2010">
        <w:rPr>
          <w:rFonts w:ascii="Times New Roman" w:hAnsi="Times New Roman" w:cs="Times New Roman"/>
          <w:i/>
          <w:sz w:val="24"/>
          <w:szCs w:val="24"/>
        </w:rPr>
        <w:t>p</w:t>
      </w:r>
      <w:r w:rsidRPr="005A2010">
        <w:rPr>
          <w:rFonts w:ascii="Times New Roman" w:eastAsia="Calibri" w:hAnsi="Times New Roman" w:cs="Times New Roman"/>
          <w:sz w:val="24"/>
          <w:szCs w:val="24"/>
        </w:rPr>
        <w:t xml:space="preserve"> &lt; 0.05).</w:t>
      </w:r>
    </w:p>
    <w:p w14:paraId="4E88D0A6" w14:textId="77777777" w:rsidR="006F6087" w:rsidRPr="005A2010" w:rsidRDefault="006F6087" w:rsidP="006F6087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010">
        <w:rPr>
          <w:rFonts w:ascii="Times New Roman" w:eastAsia="Calibri" w:hAnsi="Times New Roman" w:cs="Times New Roman"/>
          <w:noProof/>
          <w:sz w:val="24"/>
          <w:szCs w:val="24"/>
          <w:lang w:val="en-US" w:bidi="ar-SA"/>
        </w:rPr>
        <w:drawing>
          <wp:inline distT="0" distB="0" distL="0" distR="0" wp14:anchorId="6B9ADAAE" wp14:editId="2EC4274B">
            <wp:extent cx="6229350" cy="5284827"/>
            <wp:effectExtent l="19050" t="0" r="0" b="0"/>
            <wp:docPr id="3" name="Picture 2" descr="E:\3. MRSA vs Thymol\MRSA vs Thymol Data\Thymol images final after second revision\Supplementary Figur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3. MRSA vs Thymol\MRSA vs Thymol Data\Thymol images final after second revision\Supplementary Figure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528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B95D06" w14:textId="77777777" w:rsidR="006F6087" w:rsidRPr="005A2010" w:rsidRDefault="006F6087" w:rsidP="006F6087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329E85" w14:textId="77777777" w:rsidR="006F6087" w:rsidRPr="005A2010" w:rsidRDefault="006F6087" w:rsidP="006F6087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F85187" w14:textId="77777777" w:rsidR="006F6087" w:rsidRPr="005A2010" w:rsidRDefault="006F6087" w:rsidP="006F6087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5C493C" w14:textId="77777777" w:rsidR="006F6087" w:rsidRPr="005A2010" w:rsidRDefault="006F6087" w:rsidP="006F6087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726E8B" w14:textId="77777777" w:rsidR="006F6087" w:rsidRPr="005A2010" w:rsidRDefault="006F6087" w:rsidP="006F6087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07ABFA" w14:textId="77777777" w:rsidR="006F6087" w:rsidRPr="005A2010" w:rsidRDefault="006F6087" w:rsidP="006F6087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5D7BBA" w14:textId="77777777" w:rsidR="006F6087" w:rsidRPr="005A2010" w:rsidRDefault="006F6087" w:rsidP="006F6087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60433E" w14:textId="77777777" w:rsidR="006F6087" w:rsidRPr="005A2010" w:rsidRDefault="006F6087" w:rsidP="006F6087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01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Figure S4. </w:t>
      </w:r>
      <w:r w:rsidRPr="005A2010">
        <w:rPr>
          <w:rFonts w:ascii="Times New Roman" w:eastAsia="Calibri" w:hAnsi="Times New Roman" w:cs="Times New Roman"/>
          <w:sz w:val="24"/>
          <w:szCs w:val="24"/>
        </w:rPr>
        <w:t>Determination of MIC of rifampicin against MRSA. Error bars indicate standard deviations. Asterisks represent statistical significance (</w:t>
      </w:r>
      <w:r w:rsidRPr="005A2010">
        <w:rPr>
          <w:rFonts w:ascii="Times New Roman" w:hAnsi="Times New Roman" w:cs="Times New Roman"/>
          <w:i/>
          <w:sz w:val="24"/>
          <w:szCs w:val="24"/>
        </w:rPr>
        <w:t>p</w:t>
      </w:r>
      <w:r w:rsidRPr="005A2010">
        <w:rPr>
          <w:rFonts w:ascii="Times New Roman" w:eastAsia="Calibri" w:hAnsi="Times New Roman" w:cs="Times New Roman"/>
          <w:sz w:val="24"/>
          <w:szCs w:val="24"/>
        </w:rPr>
        <w:t xml:space="preserve"> &lt; 0.05).</w:t>
      </w:r>
    </w:p>
    <w:p w14:paraId="460095F6" w14:textId="77777777" w:rsidR="006F6087" w:rsidRDefault="0059564A" w:rsidP="006F6087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010">
        <w:rPr>
          <w:rFonts w:ascii="Times New Roman" w:eastAsia="Calibri" w:hAnsi="Times New Roman" w:cs="Times New Roman"/>
          <w:noProof/>
          <w:sz w:val="24"/>
          <w:szCs w:val="24"/>
          <w:lang w:val="en-US" w:bidi="ar-SA"/>
        </w:rPr>
        <w:drawing>
          <wp:inline distT="0" distB="0" distL="0" distR="0" wp14:anchorId="3624393F" wp14:editId="26B4E6ED">
            <wp:extent cx="5943600" cy="4983455"/>
            <wp:effectExtent l="19050" t="0" r="0" b="0"/>
            <wp:docPr id="5" name="Picture 1" descr="E:\3. MRSA vs Thymol\3. FIM-08.04.2020\Revision on 09062020\Images to upload\Supplementary Figur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. MRSA vs Thymol\3. FIM-08.04.2020\Revision on 09062020\Images to upload\Supplementary Figure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8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85E28C" w14:textId="77777777" w:rsidR="006F6087" w:rsidRDefault="006F6087" w:rsidP="006F6087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50E914" w14:textId="77777777" w:rsidR="006F6087" w:rsidRDefault="006F6087" w:rsidP="00EB0856">
      <w:pPr>
        <w:spacing w:after="0" w:line="480" w:lineRule="auto"/>
        <w:jc w:val="center"/>
      </w:pPr>
    </w:p>
    <w:sectPr w:rsidR="006F6087" w:rsidSect="00EB0856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E8D"/>
    <w:rsid w:val="00074833"/>
    <w:rsid w:val="000833FA"/>
    <w:rsid w:val="003C3C96"/>
    <w:rsid w:val="0059564A"/>
    <w:rsid w:val="005A2010"/>
    <w:rsid w:val="006F6087"/>
    <w:rsid w:val="00A30DCF"/>
    <w:rsid w:val="00A46E8D"/>
    <w:rsid w:val="00AD571D"/>
    <w:rsid w:val="00BC64E5"/>
    <w:rsid w:val="00BD25AE"/>
    <w:rsid w:val="00CA72A3"/>
    <w:rsid w:val="00DF1897"/>
    <w:rsid w:val="00E23623"/>
    <w:rsid w:val="00EB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78BE1B"/>
  <w15:docId w15:val="{5E0310DD-2E19-42C8-B99B-8CC0B6ED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56"/>
    <w:pPr>
      <w:spacing w:after="160" w:line="259" w:lineRule="auto"/>
    </w:pPr>
    <w:rPr>
      <w:lang w:val="en-IN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856"/>
    <w:rPr>
      <w:rFonts w:ascii="Tahoma" w:hAnsi="Tahoma" w:cs="Tahoma"/>
      <w:sz w:val="16"/>
      <w:szCs w:val="16"/>
      <w:lang w:val="en-IN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Thangam</dc:creator>
  <cp:lastModifiedBy>Naimeng Liu</cp:lastModifiedBy>
  <cp:revision>9</cp:revision>
  <cp:lastPrinted>2020-07-01T18:33:00Z</cp:lastPrinted>
  <dcterms:created xsi:type="dcterms:W3CDTF">2020-05-23T12:47:00Z</dcterms:created>
  <dcterms:modified xsi:type="dcterms:W3CDTF">2020-07-14T13:39:00Z</dcterms:modified>
</cp:coreProperties>
</file>