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5338"/>
        <w:gridCol w:w="1701"/>
        <w:gridCol w:w="5386"/>
      </w:tblGrid>
      <w:tr w:rsidR="00191A23" w:rsidRPr="0022554A" w:rsidTr="00BE102B">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5338"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701"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5386"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BE102B">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5338"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701" w:type="dxa"/>
          </w:tcPr>
          <w:p w:rsidR="00191A23" w:rsidRPr="0022554A" w:rsidRDefault="00BE102B" w:rsidP="0022554A">
            <w:pPr>
              <w:tabs>
                <w:tab w:val="left" w:pos="5400"/>
              </w:tabs>
              <w:rPr>
                <w:sz w:val="20"/>
              </w:rPr>
            </w:pPr>
            <w:r>
              <w:rPr>
                <w:rFonts w:hint="eastAsia"/>
                <w:sz w:val="20"/>
                <w:lang w:eastAsia="zh-CN"/>
              </w:rPr>
              <w:t>1</w:t>
            </w:r>
          </w:p>
        </w:tc>
        <w:tc>
          <w:tcPr>
            <w:tcW w:w="5386" w:type="dxa"/>
          </w:tcPr>
          <w:p w:rsidR="00191A23" w:rsidRPr="0022554A" w:rsidRDefault="00BE102B" w:rsidP="0022554A">
            <w:pPr>
              <w:tabs>
                <w:tab w:val="left" w:pos="5400"/>
              </w:tabs>
              <w:rPr>
                <w:sz w:val="20"/>
              </w:rPr>
            </w:pPr>
            <w:r w:rsidRPr="00BE102B">
              <w:rPr>
                <w:sz w:val="20"/>
              </w:rPr>
              <w:t>A longitudinal study</w:t>
            </w:r>
          </w:p>
        </w:tc>
      </w:tr>
      <w:tr w:rsidR="00191A23" w:rsidRPr="0022554A" w:rsidTr="00BE102B">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5338"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701" w:type="dxa"/>
          </w:tcPr>
          <w:p w:rsidR="00191A23" w:rsidRPr="0022554A" w:rsidRDefault="00BE102B" w:rsidP="0022554A">
            <w:pPr>
              <w:tabs>
                <w:tab w:val="left" w:pos="5400"/>
              </w:tabs>
              <w:rPr>
                <w:sz w:val="20"/>
              </w:rPr>
            </w:pPr>
            <w:r>
              <w:rPr>
                <w:rFonts w:hint="eastAsia"/>
                <w:sz w:val="20"/>
                <w:lang w:eastAsia="zh-CN"/>
              </w:rPr>
              <w:t>1</w:t>
            </w:r>
          </w:p>
        </w:tc>
        <w:tc>
          <w:tcPr>
            <w:tcW w:w="5386" w:type="dxa"/>
          </w:tcPr>
          <w:p w:rsidR="00191A23" w:rsidRDefault="00BE102B" w:rsidP="0022554A">
            <w:pPr>
              <w:tabs>
                <w:tab w:val="left" w:pos="5400"/>
              </w:tabs>
              <w:rPr>
                <w:sz w:val="20"/>
              </w:rPr>
            </w:pPr>
            <w:r w:rsidRPr="00BE102B">
              <w:rPr>
                <w:sz w:val="20"/>
              </w:rPr>
              <w:t>This one-year longitudinal study was conducted in 2018 and 2019; 13- to 14-year-old adolescents were recruited.</w:t>
            </w:r>
          </w:p>
          <w:p w:rsidR="00BE102B" w:rsidRPr="0022554A" w:rsidRDefault="00BE102B" w:rsidP="00BE102B">
            <w:pPr>
              <w:tabs>
                <w:tab w:val="left" w:pos="5400"/>
              </w:tabs>
              <w:rPr>
                <w:sz w:val="20"/>
              </w:rPr>
            </w:pPr>
            <w:r w:rsidRPr="00BE102B">
              <w:rPr>
                <w:sz w:val="20"/>
              </w:rPr>
              <w:t xml:space="preserve">The ZINB analysis found that individuals with caries at baseline were more likely to develop new dentin caries. </w:t>
            </w:r>
          </w:p>
        </w:tc>
      </w:tr>
      <w:tr w:rsidR="00191A23" w:rsidRPr="0022554A" w:rsidTr="00BE102B">
        <w:tc>
          <w:tcPr>
            <w:tcW w:w="9606"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5386" w:type="dxa"/>
          </w:tcPr>
          <w:p w:rsidR="00191A23" w:rsidRPr="0022554A" w:rsidRDefault="00191A23" w:rsidP="0022554A">
            <w:pPr>
              <w:pStyle w:val="TableSubHead"/>
              <w:tabs>
                <w:tab w:val="left" w:pos="5400"/>
              </w:tabs>
              <w:rPr>
                <w:sz w:val="20"/>
              </w:rPr>
            </w:pPr>
          </w:p>
        </w:tc>
      </w:tr>
      <w:tr w:rsidR="00191A23" w:rsidRPr="00BE102B" w:rsidTr="00BE102B">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5338"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701" w:type="dxa"/>
          </w:tcPr>
          <w:p w:rsidR="00191A23" w:rsidRPr="0022554A" w:rsidRDefault="00BE102B" w:rsidP="0022554A">
            <w:pPr>
              <w:tabs>
                <w:tab w:val="left" w:pos="5400"/>
              </w:tabs>
              <w:rPr>
                <w:sz w:val="20"/>
              </w:rPr>
            </w:pPr>
            <w:r>
              <w:rPr>
                <w:rFonts w:hint="eastAsia"/>
                <w:sz w:val="20"/>
                <w:lang w:eastAsia="zh-CN"/>
              </w:rPr>
              <w:t>2</w:t>
            </w:r>
          </w:p>
        </w:tc>
        <w:tc>
          <w:tcPr>
            <w:tcW w:w="5386" w:type="dxa"/>
          </w:tcPr>
          <w:p w:rsidR="00191A23" w:rsidRPr="0022554A" w:rsidRDefault="00BE102B" w:rsidP="00BE102B">
            <w:pPr>
              <w:tabs>
                <w:tab w:val="left" w:pos="5400"/>
              </w:tabs>
              <w:rPr>
                <w:sz w:val="20"/>
              </w:rPr>
            </w:pPr>
            <w:r w:rsidRPr="00BE102B">
              <w:rPr>
                <w:sz w:val="20"/>
              </w:rPr>
              <w:t>The global caries prevalence was approximately 50% among 12-15-year-old adolescents and over 70% among 17-year-old adolescents. In China, the prevalence of caries among 12-year-old children has increased from 28.9% to 38.5% in the last decade.</w:t>
            </w:r>
          </w:p>
        </w:tc>
      </w:tr>
      <w:tr w:rsidR="00191A23" w:rsidRPr="0022554A" w:rsidTr="00BE102B">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5338"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701" w:type="dxa"/>
          </w:tcPr>
          <w:p w:rsidR="00191A23" w:rsidRPr="0022554A" w:rsidRDefault="00BE102B" w:rsidP="0022554A">
            <w:pPr>
              <w:tabs>
                <w:tab w:val="left" w:pos="5400"/>
              </w:tabs>
              <w:rPr>
                <w:sz w:val="20"/>
              </w:rPr>
            </w:pPr>
            <w:r>
              <w:rPr>
                <w:rFonts w:hint="eastAsia"/>
                <w:sz w:val="20"/>
                <w:lang w:eastAsia="zh-CN"/>
              </w:rPr>
              <w:t>2</w:t>
            </w:r>
          </w:p>
        </w:tc>
        <w:tc>
          <w:tcPr>
            <w:tcW w:w="5386" w:type="dxa"/>
          </w:tcPr>
          <w:p w:rsidR="00191A23" w:rsidRPr="0022554A" w:rsidRDefault="00BE102B" w:rsidP="0022554A">
            <w:pPr>
              <w:tabs>
                <w:tab w:val="left" w:pos="5400"/>
              </w:tabs>
              <w:rPr>
                <w:sz w:val="20"/>
              </w:rPr>
            </w:pPr>
            <w:r w:rsidRPr="00BE102B">
              <w:rPr>
                <w:sz w:val="20"/>
              </w:rPr>
              <w:t>the primary objective of this study was to investigate the caries risk factors in adolescents in South China by conducting a one-year longitudinal study, specifying the risk factors without the affection of past caries experience</w:t>
            </w:r>
          </w:p>
        </w:tc>
      </w:tr>
      <w:tr w:rsidR="00191A23" w:rsidRPr="0022554A" w:rsidTr="00BE102B">
        <w:tc>
          <w:tcPr>
            <w:tcW w:w="9606"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5386" w:type="dxa"/>
          </w:tcPr>
          <w:p w:rsidR="00191A23" w:rsidRPr="0022554A" w:rsidRDefault="00191A23" w:rsidP="0022554A">
            <w:pPr>
              <w:pStyle w:val="TableSubHead"/>
              <w:tabs>
                <w:tab w:val="left" w:pos="5400"/>
              </w:tabs>
              <w:rPr>
                <w:sz w:val="20"/>
              </w:rPr>
            </w:pPr>
          </w:p>
        </w:tc>
      </w:tr>
      <w:tr w:rsidR="006F1254" w:rsidRPr="0022554A" w:rsidTr="00BE102B">
        <w:tc>
          <w:tcPr>
            <w:tcW w:w="1951" w:type="dxa"/>
          </w:tcPr>
          <w:p w:rsidR="006F1254" w:rsidRPr="0022554A" w:rsidRDefault="006F1254" w:rsidP="006F1254">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6F1254" w:rsidRPr="0022554A" w:rsidRDefault="006F1254" w:rsidP="006F1254">
            <w:pPr>
              <w:tabs>
                <w:tab w:val="left" w:pos="5400"/>
              </w:tabs>
              <w:jc w:val="center"/>
              <w:rPr>
                <w:sz w:val="20"/>
              </w:rPr>
            </w:pPr>
            <w:r w:rsidRPr="0022554A">
              <w:rPr>
                <w:sz w:val="20"/>
              </w:rPr>
              <w:t>4</w:t>
            </w:r>
          </w:p>
        </w:tc>
        <w:tc>
          <w:tcPr>
            <w:tcW w:w="5338" w:type="dxa"/>
          </w:tcPr>
          <w:p w:rsidR="006F1254" w:rsidRPr="0022554A" w:rsidRDefault="006F1254" w:rsidP="006F1254">
            <w:pPr>
              <w:tabs>
                <w:tab w:val="left" w:pos="5400"/>
              </w:tabs>
              <w:rPr>
                <w:sz w:val="20"/>
              </w:rPr>
            </w:pPr>
            <w:r w:rsidRPr="0022554A">
              <w:rPr>
                <w:sz w:val="20"/>
              </w:rPr>
              <w:t>Present key elements of study design early in the paper</w:t>
            </w:r>
          </w:p>
        </w:tc>
        <w:tc>
          <w:tcPr>
            <w:tcW w:w="1701" w:type="dxa"/>
          </w:tcPr>
          <w:p w:rsidR="006F1254" w:rsidRPr="0022554A" w:rsidRDefault="006F1254" w:rsidP="006F1254">
            <w:pPr>
              <w:tabs>
                <w:tab w:val="left" w:pos="5400"/>
              </w:tabs>
              <w:rPr>
                <w:rFonts w:hint="eastAsia"/>
                <w:sz w:val="20"/>
                <w:lang w:eastAsia="zh-CN"/>
              </w:rPr>
            </w:pPr>
          </w:p>
        </w:tc>
        <w:tc>
          <w:tcPr>
            <w:tcW w:w="5386" w:type="dxa"/>
          </w:tcPr>
          <w:p w:rsidR="006F1254" w:rsidRPr="0022554A" w:rsidRDefault="006F1254" w:rsidP="006F1254">
            <w:pPr>
              <w:tabs>
                <w:tab w:val="left" w:pos="5400"/>
              </w:tabs>
              <w:rPr>
                <w:rFonts w:hint="eastAsia"/>
                <w:sz w:val="20"/>
                <w:lang w:eastAsia="zh-CN"/>
              </w:rPr>
            </w:pPr>
            <w:r>
              <w:rPr>
                <w:sz w:val="20"/>
                <w:lang w:eastAsia="zh-CN"/>
              </w:rPr>
              <w:t>Not mentioned</w:t>
            </w:r>
          </w:p>
        </w:tc>
      </w:tr>
      <w:tr w:rsidR="006F1254" w:rsidRPr="0022554A" w:rsidTr="00BE102B">
        <w:tc>
          <w:tcPr>
            <w:tcW w:w="1951" w:type="dxa"/>
          </w:tcPr>
          <w:p w:rsidR="006F1254" w:rsidRPr="0022554A" w:rsidRDefault="006F1254" w:rsidP="006F1254">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6F1254" w:rsidRPr="0022554A" w:rsidRDefault="006F1254" w:rsidP="006F1254">
            <w:pPr>
              <w:tabs>
                <w:tab w:val="left" w:pos="5400"/>
              </w:tabs>
              <w:jc w:val="center"/>
              <w:rPr>
                <w:sz w:val="20"/>
              </w:rPr>
            </w:pPr>
            <w:r w:rsidRPr="0022554A">
              <w:rPr>
                <w:sz w:val="20"/>
              </w:rPr>
              <w:t>5</w:t>
            </w:r>
          </w:p>
        </w:tc>
        <w:tc>
          <w:tcPr>
            <w:tcW w:w="5338" w:type="dxa"/>
          </w:tcPr>
          <w:p w:rsidR="006F1254" w:rsidRPr="0022554A" w:rsidRDefault="006F1254" w:rsidP="006F1254">
            <w:pPr>
              <w:tabs>
                <w:tab w:val="left" w:pos="5400"/>
              </w:tabs>
              <w:rPr>
                <w:sz w:val="20"/>
              </w:rPr>
            </w:pPr>
            <w:r w:rsidRPr="0022554A">
              <w:rPr>
                <w:sz w:val="20"/>
              </w:rPr>
              <w:t>Describe the setting, locations, and relevant dates, including periods of recruitment, exposure, follow-up, and data collection</w:t>
            </w:r>
          </w:p>
        </w:tc>
        <w:tc>
          <w:tcPr>
            <w:tcW w:w="1701" w:type="dxa"/>
          </w:tcPr>
          <w:p w:rsidR="006F1254" w:rsidRPr="0022554A" w:rsidRDefault="006F1254" w:rsidP="006F1254">
            <w:pPr>
              <w:tabs>
                <w:tab w:val="left" w:pos="5400"/>
              </w:tabs>
              <w:rPr>
                <w:sz w:val="20"/>
              </w:rPr>
            </w:pPr>
            <w:r>
              <w:rPr>
                <w:rFonts w:hint="eastAsia"/>
                <w:sz w:val="20"/>
                <w:lang w:eastAsia="zh-CN"/>
              </w:rPr>
              <w:t>2</w:t>
            </w:r>
          </w:p>
        </w:tc>
        <w:tc>
          <w:tcPr>
            <w:tcW w:w="5386" w:type="dxa"/>
          </w:tcPr>
          <w:p w:rsidR="006F1254" w:rsidRPr="0022554A" w:rsidRDefault="006F1254" w:rsidP="006F1254">
            <w:pPr>
              <w:tabs>
                <w:tab w:val="left" w:pos="5400"/>
              </w:tabs>
              <w:rPr>
                <w:sz w:val="20"/>
              </w:rPr>
            </w:pPr>
            <w:r w:rsidRPr="00A94BEC">
              <w:rPr>
                <w:sz w:val="20"/>
              </w:rPr>
              <w:t>The baseline data were collected from March to April 2018 in Foshan. Foshan is a medium-sized city in Guangdong Province in southern China, with a population of 7.6 million. The gross domestic product (GDP) was CNY 124,324 (</w:t>
            </w:r>
            <w:r>
              <w:rPr>
                <w:sz w:val="20"/>
              </w:rPr>
              <w:t>USD 18,018) per capita in 2017</w:t>
            </w:r>
            <w:r w:rsidRPr="00A94BEC">
              <w:rPr>
                <w:sz w:val="20"/>
              </w:rPr>
              <w:t>. The water fluoride</w:t>
            </w:r>
            <w:r>
              <w:rPr>
                <w:sz w:val="20"/>
              </w:rPr>
              <w:t xml:space="preserve"> concentration is 0.16 mg/L</w:t>
            </w:r>
            <w:r w:rsidRPr="00A94BEC">
              <w:rPr>
                <w:sz w:val="20"/>
              </w:rPr>
              <w:t>.</w:t>
            </w:r>
          </w:p>
        </w:tc>
      </w:tr>
      <w:bookmarkEnd w:id="25"/>
      <w:bookmarkEnd w:id="26"/>
      <w:tr w:rsidR="006F1254" w:rsidRPr="0022554A" w:rsidTr="00BE102B">
        <w:tc>
          <w:tcPr>
            <w:tcW w:w="1951" w:type="dxa"/>
            <w:vMerge w:val="restart"/>
          </w:tcPr>
          <w:p w:rsidR="006F1254" w:rsidRPr="0022554A" w:rsidRDefault="006F1254" w:rsidP="006F1254">
            <w:pPr>
              <w:tabs>
                <w:tab w:val="left" w:pos="5400"/>
              </w:tabs>
              <w:rPr>
                <w:bCs/>
                <w:sz w:val="20"/>
              </w:rPr>
            </w:pPr>
            <w:r w:rsidRPr="0022554A">
              <w:rPr>
                <w:bCs/>
                <w:sz w:val="20"/>
              </w:rPr>
              <w:t>Participants</w:t>
            </w:r>
          </w:p>
        </w:tc>
        <w:tc>
          <w:tcPr>
            <w:tcW w:w="616" w:type="dxa"/>
            <w:vMerge w:val="restart"/>
          </w:tcPr>
          <w:p w:rsidR="006F1254" w:rsidRPr="0022554A" w:rsidRDefault="006F1254" w:rsidP="006F1254">
            <w:pPr>
              <w:tabs>
                <w:tab w:val="left" w:pos="5400"/>
              </w:tabs>
              <w:jc w:val="center"/>
              <w:rPr>
                <w:sz w:val="20"/>
              </w:rPr>
            </w:pPr>
            <w:r w:rsidRPr="0022554A">
              <w:rPr>
                <w:sz w:val="20"/>
              </w:rPr>
              <w:t>6</w:t>
            </w:r>
          </w:p>
        </w:tc>
        <w:tc>
          <w:tcPr>
            <w:tcW w:w="5338" w:type="dxa"/>
          </w:tcPr>
          <w:p w:rsidR="006F1254" w:rsidRPr="0022554A" w:rsidRDefault="006F1254" w:rsidP="006F1254">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6F1254" w:rsidRPr="0022554A" w:rsidRDefault="006F1254" w:rsidP="006F1254">
            <w:pPr>
              <w:tabs>
                <w:tab w:val="left" w:pos="5400"/>
              </w:tabs>
              <w:rPr>
                <w:sz w:val="20"/>
              </w:rPr>
            </w:pPr>
            <w:r w:rsidRPr="0022554A">
              <w:rPr>
                <w:i/>
                <w:sz w:val="20"/>
              </w:rPr>
              <w:t>Case-control study</w:t>
            </w:r>
            <w:r w:rsidRPr="0022554A">
              <w:rPr>
                <w:sz w:val="20"/>
              </w:rPr>
              <w:t xml:space="preserve">—Give the eligibility criteria, and the </w:t>
            </w:r>
            <w:r w:rsidRPr="0022554A">
              <w:rPr>
                <w:sz w:val="20"/>
              </w:rPr>
              <w:lastRenderedPageBreak/>
              <w:t>sources and methods of case ascertainment and control selection. Give the rationale for the choice of cases and controls</w:t>
            </w:r>
          </w:p>
          <w:p w:rsidR="006F1254" w:rsidRPr="0022554A" w:rsidRDefault="006F1254" w:rsidP="006F1254">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701" w:type="dxa"/>
          </w:tcPr>
          <w:p w:rsidR="006F1254" w:rsidRPr="0022554A" w:rsidRDefault="006F1254" w:rsidP="006F1254">
            <w:pPr>
              <w:tabs>
                <w:tab w:val="left" w:pos="5400"/>
              </w:tabs>
              <w:rPr>
                <w:sz w:val="20"/>
              </w:rPr>
            </w:pPr>
            <w:r>
              <w:rPr>
                <w:rFonts w:hint="eastAsia"/>
                <w:sz w:val="20"/>
                <w:lang w:eastAsia="zh-CN"/>
              </w:rPr>
              <w:lastRenderedPageBreak/>
              <w:t>3</w:t>
            </w:r>
          </w:p>
        </w:tc>
        <w:tc>
          <w:tcPr>
            <w:tcW w:w="5386" w:type="dxa"/>
          </w:tcPr>
          <w:p w:rsidR="006F1254" w:rsidRPr="0022554A" w:rsidRDefault="006F1254" w:rsidP="006F1254">
            <w:pPr>
              <w:tabs>
                <w:tab w:val="left" w:pos="5400"/>
              </w:tabs>
              <w:rPr>
                <w:sz w:val="20"/>
              </w:rPr>
            </w:pPr>
            <w:r w:rsidRPr="00A94BEC">
              <w:rPr>
                <w:sz w:val="20"/>
              </w:rPr>
              <w:t>All the students in these classes whose parents were Han Chinese and permanent residents in Foshan were recruited for this study. Those who reported systematic illness or antibiotic use in the preceding 2 weeks were excluded.</w:t>
            </w:r>
          </w:p>
        </w:tc>
      </w:tr>
      <w:tr w:rsidR="006F1254" w:rsidRPr="0022554A" w:rsidTr="00BE102B">
        <w:tc>
          <w:tcPr>
            <w:tcW w:w="1951" w:type="dxa"/>
            <w:vMerge/>
          </w:tcPr>
          <w:p w:rsidR="006F1254" w:rsidRPr="0022554A" w:rsidRDefault="006F1254" w:rsidP="006F1254">
            <w:pPr>
              <w:tabs>
                <w:tab w:val="left" w:pos="5400"/>
              </w:tabs>
              <w:rPr>
                <w:bCs/>
                <w:sz w:val="20"/>
              </w:rPr>
            </w:pPr>
            <w:bookmarkStart w:id="27" w:name="bold14" w:colFirst="0" w:colLast="0"/>
            <w:bookmarkStart w:id="28" w:name="italic15" w:colFirst="0" w:colLast="0"/>
          </w:p>
        </w:tc>
        <w:tc>
          <w:tcPr>
            <w:tcW w:w="616" w:type="dxa"/>
            <w:vMerge/>
          </w:tcPr>
          <w:p w:rsidR="006F1254" w:rsidRPr="0022554A" w:rsidRDefault="006F1254" w:rsidP="006F1254">
            <w:pPr>
              <w:tabs>
                <w:tab w:val="left" w:pos="5400"/>
              </w:tabs>
              <w:jc w:val="center"/>
              <w:rPr>
                <w:sz w:val="20"/>
              </w:rPr>
            </w:pPr>
          </w:p>
        </w:tc>
        <w:tc>
          <w:tcPr>
            <w:tcW w:w="5338" w:type="dxa"/>
          </w:tcPr>
          <w:p w:rsidR="006F1254" w:rsidRPr="0022554A" w:rsidRDefault="006F1254" w:rsidP="006F1254">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6F1254" w:rsidRPr="0022554A" w:rsidRDefault="006F1254" w:rsidP="006F1254">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701" w:type="dxa"/>
          </w:tcPr>
          <w:p w:rsidR="006F1254" w:rsidRPr="0022554A" w:rsidRDefault="006F1254" w:rsidP="006F1254">
            <w:pPr>
              <w:tabs>
                <w:tab w:val="left" w:pos="5400"/>
              </w:tabs>
              <w:rPr>
                <w:sz w:val="20"/>
              </w:rPr>
            </w:pPr>
          </w:p>
        </w:tc>
        <w:tc>
          <w:tcPr>
            <w:tcW w:w="5386" w:type="dxa"/>
          </w:tcPr>
          <w:p w:rsidR="006F1254" w:rsidRPr="0022554A" w:rsidRDefault="006F1254" w:rsidP="006F1254">
            <w:pPr>
              <w:tabs>
                <w:tab w:val="left" w:pos="5400"/>
              </w:tabs>
              <w:rPr>
                <w:sz w:val="20"/>
              </w:rPr>
            </w:pPr>
            <w:r w:rsidRPr="006F1254">
              <w:rPr>
                <w:sz w:val="20"/>
              </w:rPr>
              <w:t>Not applicable</w:t>
            </w:r>
          </w:p>
        </w:tc>
      </w:tr>
      <w:tr w:rsidR="006F1254" w:rsidRPr="0022554A" w:rsidTr="00BE102B">
        <w:tc>
          <w:tcPr>
            <w:tcW w:w="1951" w:type="dxa"/>
          </w:tcPr>
          <w:p w:rsidR="006F1254" w:rsidRPr="0022554A" w:rsidRDefault="006F1254" w:rsidP="006F1254">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6F1254" w:rsidRPr="0022554A" w:rsidRDefault="006F1254" w:rsidP="006F1254">
            <w:pPr>
              <w:tabs>
                <w:tab w:val="left" w:pos="5400"/>
              </w:tabs>
              <w:jc w:val="center"/>
              <w:rPr>
                <w:sz w:val="20"/>
              </w:rPr>
            </w:pPr>
            <w:r w:rsidRPr="0022554A">
              <w:rPr>
                <w:sz w:val="20"/>
              </w:rPr>
              <w:t>7</w:t>
            </w:r>
          </w:p>
        </w:tc>
        <w:tc>
          <w:tcPr>
            <w:tcW w:w="5338" w:type="dxa"/>
          </w:tcPr>
          <w:p w:rsidR="006F1254" w:rsidRPr="0022554A" w:rsidRDefault="006F1254" w:rsidP="006F1254">
            <w:pPr>
              <w:tabs>
                <w:tab w:val="left" w:pos="5400"/>
              </w:tabs>
              <w:rPr>
                <w:sz w:val="20"/>
              </w:rPr>
            </w:pPr>
            <w:r w:rsidRPr="0022554A">
              <w:rPr>
                <w:sz w:val="20"/>
              </w:rPr>
              <w:t>Clearly define all outcomes, exposures, predictors, potential confounders, and effect modifiers. Give diagnostic criteria, if applicable</w:t>
            </w:r>
          </w:p>
        </w:tc>
        <w:tc>
          <w:tcPr>
            <w:tcW w:w="1701" w:type="dxa"/>
          </w:tcPr>
          <w:p w:rsidR="006F1254" w:rsidRPr="0022554A" w:rsidRDefault="006F1254" w:rsidP="006F1254">
            <w:pPr>
              <w:tabs>
                <w:tab w:val="left" w:pos="5400"/>
              </w:tabs>
              <w:rPr>
                <w:rFonts w:hint="eastAsia"/>
                <w:sz w:val="20"/>
                <w:lang w:eastAsia="zh-CN"/>
              </w:rPr>
            </w:pPr>
            <w:r>
              <w:rPr>
                <w:rFonts w:hint="eastAsia"/>
                <w:sz w:val="20"/>
                <w:lang w:eastAsia="zh-CN"/>
              </w:rPr>
              <w:t>3</w:t>
            </w:r>
          </w:p>
        </w:tc>
        <w:tc>
          <w:tcPr>
            <w:tcW w:w="5386" w:type="dxa"/>
          </w:tcPr>
          <w:p w:rsidR="006F1254" w:rsidRPr="0022554A" w:rsidRDefault="006F1254" w:rsidP="006F1254">
            <w:pPr>
              <w:tabs>
                <w:tab w:val="left" w:pos="5400"/>
              </w:tabs>
              <w:rPr>
                <w:sz w:val="20"/>
              </w:rPr>
            </w:pPr>
            <w:r w:rsidRPr="008D03CA">
              <w:rPr>
                <w:sz w:val="20"/>
              </w:rPr>
              <w:t>The merged International Caries Detection and Assessment System</w:t>
            </w:r>
            <w:r>
              <w:rPr>
                <w:sz w:val="20"/>
              </w:rPr>
              <w:t xml:space="preserve"> (ICDAS) criteria were used</w:t>
            </w:r>
            <w:r w:rsidRPr="008D03CA">
              <w:rPr>
                <w:sz w:val="20"/>
              </w:rPr>
              <w:t>.</w:t>
            </w:r>
          </w:p>
        </w:tc>
      </w:tr>
      <w:tr w:rsidR="006F1254" w:rsidRPr="0022554A" w:rsidTr="00BE102B">
        <w:trPr>
          <w:trHeight w:val="294"/>
        </w:trPr>
        <w:tc>
          <w:tcPr>
            <w:tcW w:w="1951" w:type="dxa"/>
          </w:tcPr>
          <w:p w:rsidR="006F1254" w:rsidRPr="0022554A" w:rsidRDefault="006F1254" w:rsidP="006F1254">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6F1254" w:rsidRPr="0022554A" w:rsidRDefault="006F1254" w:rsidP="006F1254">
            <w:pPr>
              <w:tabs>
                <w:tab w:val="left" w:pos="5400"/>
              </w:tabs>
              <w:jc w:val="center"/>
              <w:rPr>
                <w:sz w:val="20"/>
              </w:rPr>
            </w:pPr>
            <w:r w:rsidRPr="0022554A">
              <w:rPr>
                <w:sz w:val="20"/>
              </w:rPr>
              <w:t>8</w:t>
            </w:r>
            <w:bookmarkStart w:id="35" w:name="bold19"/>
            <w:r w:rsidRPr="0022554A">
              <w:rPr>
                <w:bCs/>
                <w:sz w:val="20"/>
              </w:rPr>
              <w:t>*</w:t>
            </w:r>
            <w:bookmarkEnd w:id="35"/>
          </w:p>
        </w:tc>
        <w:tc>
          <w:tcPr>
            <w:tcW w:w="5338" w:type="dxa"/>
          </w:tcPr>
          <w:p w:rsidR="006F1254" w:rsidRPr="0022554A" w:rsidRDefault="006F1254" w:rsidP="006F1254">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701" w:type="dxa"/>
          </w:tcPr>
          <w:p w:rsidR="006F1254" w:rsidRPr="008D03CA" w:rsidRDefault="006F1254" w:rsidP="006F1254">
            <w:pPr>
              <w:tabs>
                <w:tab w:val="left" w:pos="5400"/>
              </w:tabs>
              <w:rPr>
                <w:rFonts w:hint="eastAsia"/>
                <w:sz w:val="20"/>
                <w:lang w:eastAsia="zh-CN"/>
              </w:rPr>
            </w:pPr>
            <w:r>
              <w:rPr>
                <w:sz w:val="20"/>
                <w:lang w:eastAsia="zh-CN"/>
              </w:rPr>
              <w:t>4 &amp; 5</w:t>
            </w:r>
          </w:p>
        </w:tc>
        <w:tc>
          <w:tcPr>
            <w:tcW w:w="5386" w:type="dxa"/>
          </w:tcPr>
          <w:p w:rsidR="006F1254" w:rsidRDefault="006F1254" w:rsidP="006F1254">
            <w:pPr>
              <w:tabs>
                <w:tab w:val="left" w:pos="5400"/>
              </w:tabs>
              <w:rPr>
                <w:sz w:val="20"/>
              </w:rPr>
            </w:pPr>
            <w:r w:rsidRPr="008D03CA">
              <w:rPr>
                <w:sz w:val="20"/>
              </w:rPr>
              <w:t>Decayed teeth were recorded as enamel caries (coded 1-3 in the ICDAS system, D1-3) or dentin caries (coded 4-6</w:t>
            </w:r>
            <w:r>
              <w:rPr>
                <w:sz w:val="20"/>
              </w:rPr>
              <w:t xml:space="preserve"> in the ICDAS system, D4-6)</w:t>
            </w:r>
            <w:r w:rsidRPr="008D03CA">
              <w:rPr>
                <w:sz w:val="20"/>
              </w:rPr>
              <w:t>. Filled surfaces and missing teeth due to caries (the reasons for missing teeth were obtained from the questi</w:t>
            </w:r>
            <w:r>
              <w:rPr>
                <w:sz w:val="20"/>
              </w:rPr>
              <w:t>onnaire) were also recorded</w:t>
            </w:r>
            <w:r w:rsidRPr="008D03CA">
              <w:rPr>
                <w:sz w:val="20"/>
              </w:rPr>
              <w:t>.</w:t>
            </w:r>
          </w:p>
          <w:p w:rsidR="006F1254" w:rsidRPr="008D03CA" w:rsidRDefault="006F1254" w:rsidP="006F1254">
            <w:pPr>
              <w:tabs>
                <w:tab w:val="left" w:pos="5400"/>
              </w:tabs>
              <w:rPr>
                <w:rFonts w:hint="eastAsia"/>
                <w:sz w:val="20"/>
              </w:rPr>
            </w:pPr>
            <w:r w:rsidRPr="008D03CA">
              <w:rPr>
                <w:rFonts w:hint="eastAsia"/>
                <w:sz w:val="20"/>
              </w:rPr>
              <w:t>△</w:t>
            </w:r>
            <w:r w:rsidRPr="008D03CA">
              <w:rPr>
                <w:rFonts w:hint="eastAsia"/>
                <w:sz w:val="20"/>
              </w:rPr>
              <w:t>D1-6MFT = (D4-6Tfollow-up - D4-6Tbaseline) + (D1-3Tfollow-up - D1-3Tbaseline) + (FTfollow-up - FTbaseline) + (MTfollow-up - MTbaseline)</w:t>
            </w:r>
          </w:p>
          <w:p w:rsidR="006F1254" w:rsidRPr="008D03CA" w:rsidRDefault="006F1254" w:rsidP="006F1254">
            <w:pPr>
              <w:tabs>
                <w:tab w:val="left" w:pos="5400"/>
              </w:tabs>
              <w:rPr>
                <w:sz w:val="20"/>
              </w:rPr>
            </w:pPr>
            <w:r w:rsidRPr="008D03CA">
              <w:rPr>
                <w:rFonts w:hint="eastAsia"/>
                <w:sz w:val="20"/>
              </w:rPr>
              <w:t>△</w:t>
            </w:r>
            <w:r w:rsidRPr="008D03CA">
              <w:rPr>
                <w:rFonts w:hint="eastAsia"/>
                <w:sz w:val="20"/>
              </w:rPr>
              <w:t>D4-6MFT = (D4-6Tfollow-up - D4-6Tbaseline) + (FTfollow-up - FTbaseline) + (MTfollow-up - MTbaseline)</w:t>
            </w:r>
          </w:p>
        </w:tc>
      </w:tr>
      <w:tr w:rsidR="006F1254" w:rsidRPr="0022554A" w:rsidTr="00BE102B">
        <w:tc>
          <w:tcPr>
            <w:tcW w:w="1951" w:type="dxa"/>
          </w:tcPr>
          <w:p w:rsidR="006F1254" w:rsidRPr="0022554A" w:rsidRDefault="006F1254" w:rsidP="006F1254">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6F1254" w:rsidRPr="0022554A" w:rsidRDefault="006F1254" w:rsidP="006F1254">
            <w:pPr>
              <w:tabs>
                <w:tab w:val="left" w:pos="5400"/>
              </w:tabs>
              <w:jc w:val="center"/>
              <w:rPr>
                <w:sz w:val="20"/>
              </w:rPr>
            </w:pPr>
            <w:r w:rsidRPr="0022554A">
              <w:rPr>
                <w:sz w:val="20"/>
              </w:rPr>
              <w:t>9</w:t>
            </w:r>
          </w:p>
        </w:tc>
        <w:tc>
          <w:tcPr>
            <w:tcW w:w="5338" w:type="dxa"/>
          </w:tcPr>
          <w:p w:rsidR="006F1254" w:rsidRPr="0022554A" w:rsidRDefault="006F1254" w:rsidP="006F1254">
            <w:pPr>
              <w:tabs>
                <w:tab w:val="left" w:pos="5400"/>
              </w:tabs>
              <w:rPr>
                <w:color w:val="000000"/>
                <w:sz w:val="20"/>
              </w:rPr>
            </w:pPr>
            <w:r w:rsidRPr="0022554A">
              <w:rPr>
                <w:color w:val="000000"/>
                <w:sz w:val="20"/>
              </w:rPr>
              <w:t>Describe any efforts to address potential sources of bias</w:t>
            </w:r>
          </w:p>
        </w:tc>
        <w:tc>
          <w:tcPr>
            <w:tcW w:w="1701" w:type="dxa"/>
          </w:tcPr>
          <w:p w:rsidR="006F1254" w:rsidRPr="0022554A" w:rsidRDefault="006F1254" w:rsidP="006F1254">
            <w:pPr>
              <w:tabs>
                <w:tab w:val="left" w:pos="5400"/>
              </w:tabs>
              <w:rPr>
                <w:color w:val="000000"/>
                <w:sz w:val="20"/>
              </w:rPr>
            </w:pPr>
            <w:r>
              <w:rPr>
                <w:rFonts w:hint="eastAsia"/>
                <w:sz w:val="20"/>
                <w:lang w:eastAsia="zh-CN"/>
              </w:rPr>
              <w:t>3</w:t>
            </w:r>
            <w:r>
              <w:rPr>
                <w:sz w:val="20"/>
                <w:lang w:eastAsia="zh-CN"/>
              </w:rPr>
              <w:t xml:space="preserve"> &amp; 4</w:t>
            </w:r>
          </w:p>
        </w:tc>
        <w:tc>
          <w:tcPr>
            <w:tcW w:w="5386" w:type="dxa"/>
          </w:tcPr>
          <w:p w:rsidR="006F1254" w:rsidRDefault="006F1254" w:rsidP="006F1254">
            <w:pPr>
              <w:tabs>
                <w:tab w:val="left" w:pos="5400"/>
              </w:tabs>
              <w:rPr>
                <w:color w:val="000000"/>
                <w:sz w:val="20"/>
              </w:rPr>
            </w:pPr>
            <w:r w:rsidRPr="00C207B5">
              <w:rPr>
                <w:color w:val="000000"/>
                <w:sz w:val="20"/>
              </w:rPr>
              <w:t>Three examiners took a 12-hour e-learning course on ICDAS before the study. To calculate the consistency of the inter-examiner reliability, 105 subjects were randomly chosen during the oral examination, they were re-examined by another examiner right after examined by the first examiner (35 examinee from A to B, 35 examinee from B to C, and 35 examinee from C to A)</w:t>
            </w:r>
            <w:r>
              <w:rPr>
                <w:color w:val="000000"/>
                <w:sz w:val="20"/>
              </w:rPr>
              <w:t>.</w:t>
            </w:r>
          </w:p>
          <w:p w:rsidR="006F1254" w:rsidRPr="0022554A" w:rsidRDefault="006F1254" w:rsidP="006F1254">
            <w:pPr>
              <w:tabs>
                <w:tab w:val="left" w:pos="5400"/>
              </w:tabs>
              <w:rPr>
                <w:color w:val="000000"/>
                <w:sz w:val="20"/>
              </w:rPr>
            </w:pPr>
            <w:r w:rsidRPr="00C207B5">
              <w:rPr>
                <w:color w:val="000000"/>
                <w:sz w:val="20"/>
              </w:rPr>
              <w:t>Similar to the baseline assessment, 105 subjects were randomly re-examined to calculate Cohen’s kappa.</w:t>
            </w:r>
          </w:p>
        </w:tc>
      </w:tr>
      <w:tr w:rsidR="006F1254" w:rsidRPr="0022554A" w:rsidTr="00BE102B">
        <w:tc>
          <w:tcPr>
            <w:tcW w:w="1951" w:type="dxa"/>
          </w:tcPr>
          <w:p w:rsidR="006F1254" w:rsidRPr="0022554A" w:rsidRDefault="006F1254" w:rsidP="006F1254">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6F1254" w:rsidRPr="0022554A" w:rsidRDefault="006F1254" w:rsidP="006F1254">
            <w:pPr>
              <w:tabs>
                <w:tab w:val="left" w:pos="5400"/>
              </w:tabs>
              <w:jc w:val="center"/>
              <w:rPr>
                <w:sz w:val="20"/>
              </w:rPr>
            </w:pPr>
            <w:r w:rsidRPr="0022554A">
              <w:rPr>
                <w:sz w:val="20"/>
              </w:rPr>
              <w:t>10</w:t>
            </w:r>
          </w:p>
        </w:tc>
        <w:tc>
          <w:tcPr>
            <w:tcW w:w="5338" w:type="dxa"/>
          </w:tcPr>
          <w:p w:rsidR="006F1254" w:rsidRPr="0022554A" w:rsidRDefault="006F1254" w:rsidP="006F1254">
            <w:pPr>
              <w:tabs>
                <w:tab w:val="left" w:pos="5400"/>
              </w:tabs>
              <w:rPr>
                <w:sz w:val="20"/>
              </w:rPr>
            </w:pPr>
            <w:r w:rsidRPr="0022554A">
              <w:rPr>
                <w:sz w:val="20"/>
              </w:rPr>
              <w:t>Explain how the study size was arrived at</w:t>
            </w:r>
          </w:p>
        </w:tc>
        <w:tc>
          <w:tcPr>
            <w:tcW w:w="1701" w:type="dxa"/>
          </w:tcPr>
          <w:p w:rsidR="006F1254" w:rsidRPr="0022554A" w:rsidRDefault="006F1254" w:rsidP="006F1254">
            <w:pPr>
              <w:tabs>
                <w:tab w:val="left" w:pos="5400"/>
              </w:tabs>
              <w:rPr>
                <w:sz w:val="20"/>
              </w:rPr>
            </w:pPr>
            <w:r>
              <w:rPr>
                <w:rFonts w:hint="eastAsia"/>
                <w:sz w:val="20"/>
                <w:lang w:eastAsia="zh-CN"/>
              </w:rPr>
              <w:t>2</w:t>
            </w:r>
          </w:p>
        </w:tc>
        <w:tc>
          <w:tcPr>
            <w:tcW w:w="5386" w:type="dxa"/>
          </w:tcPr>
          <w:p w:rsidR="006F1254" w:rsidRPr="0022554A" w:rsidRDefault="006F1254" w:rsidP="006F1254">
            <w:pPr>
              <w:tabs>
                <w:tab w:val="left" w:pos="5400"/>
              </w:tabs>
              <w:rPr>
                <w:sz w:val="20"/>
              </w:rPr>
            </w:pPr>
            <w:r w:rsidRPr="00A94BEC">
              <w:rPr>
                <w:sz w:val="20"/>
              </w:rPr>
              <w:t xml:space="preserve">PASS 11.0.7 (NCSS, LLC) was applied to calculate the sample </w:t>
            </w:r>
            <w:r w:rsidRPr="00A94BEC">
              <w:rPr>
                <w:sz w:val="20"/>
              </w:rPr>
              <w:lastRenderedPageBreak/>
              <w:t>size. The Poisson Regression Model was used. The significance level was set at 0.05, with a power of 0.8, assuming a 20% nonresponse rate; thus, the total sample size was calculated as at least 953 participants.</w:t>
            </w:r>
          </w:p>
        </w:tc>
      </w:tr>
    </w:tbl>
    <w:p w:rsidR="00191A23" w:rsidRDefault="00191A23">
      <w:bookmarkStart w:id="40" w:name="bold22"/>
      <w:bookmarkStart w:id="41" w:name="italic22"/>
      <w:bookmarkEnd w:id="38"/>
      <w:bookmarkEnd w:id="39"/>
      <w:r w:rsidRPr="004A32C8">
        <w:rPr>
          <w:sz w:val="16"/>
          <w:szCs w:val="16"/>
        </w:rPr>
        <w:lastRenderedPageBreak/>
        <w:t>Continued on next page</w:t>
      </w:r>
      <w:r>
        <w:t xml:space="preserve"> </w:t>
      </w:r>
      <w:r>
        <w:br w:type="page"/>
      </w:r>
    </w:p>
    <w:tbl>
      <w:tblPr>
        <w:tblW w:w="14697"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5340"/>
        <w:gridCol w:w="1701"/>
        <w:gridCol w:w="4831"/>
        <w:gridCol w:w="555"/>
      </w:tblGrid>
      <w:tr w:rsidR="00191A23" w:rsidRPr="0022554A" w:rsidTr="0030708A">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5340"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701" w:type="dxa"/>
          </w:tcPr>
          <w:p w:rsidR="00191A23" w:rsidRPr="0022554A" w:rsidRDefault="00C207B5" w:rsidP="00191A23">
            <w:pPr>
              <w:tabs>
                <w:tab w:val="left" w:pos="5400"/>
              </w:tabs>
              <w:rPr>
                <w:sz w:val="20"/>
              </w:rPr>
            </w:pPr>
            <w:r>
              <w:rPr>
                <w:rFonts w:hint="eastAsia"/>
                <w:sz w:val="20"/>
                <w:lang w:eastAsia="zh-CN"/>
              </w:rPr>
              <w:t>3</w:t>
            </w:r>
            <w:r>
              <w:rPr>
                <w:sz w:val="20"/>
                <w:lang w:eastAsia="zh-CN"/>
              </w:rPr>
              <w:t xml:space="preserve"> &amp; 4</w:t>
            </w:r>
          </w:p>
        </w:tc>
        <w:tc>
          <w:tcPr>
            <w:tcW w:w="5386" w:type="dxa"/>
            <w:gridSpan w:val="2"/>
          </w:tcPr>
          <w:p w:rsidR="00C207B5" w:rsidRDefault="00C207B5" w:rsidP="00C207B5">
            <w:pPr>
              <w:tabs>
                <w:tab w:val="left" w:pos="5400"/>
              </w:tabs>
              <w:rPr>
                <w:sz w:val="20"/>
              </w:rPr>
            </w:pPr>
            <w:r w:rsidRPr="008D03CA">
              <w:rPr>
                <w:sz w:val="20"/>
              </w:rPr>
              <w:t>The compulsory education is 9 years in China, so ‘9 years’ was set as a threshold to distinguish the education of the caregivers in the variable ‘education of caregiver’. As to the categories in the variable ‘household monthly incoming’, according to Foshan government, households with the lowest 20% annual average household income is classified into low income group, while households with the highest 20% annual average household income is classi</w:t>
            </w:r>
            <w:r>
              <w:rPr>
                <w:sz w:val="20"/>
              </w:rPr>
              <w:t>fied into high income group</w:t>
            </w:r>
            <w:r w:rsidRPr="008D03CA">
              <w:rPr>
                <w:sz w:val="20"/>
              </w:rPr>
              <w:t xml:space="preserve">. In 2017, the threshold for low income group was 35339.38 CNY (about 3000 CNY per month), and 85774.21 CNY (about 7000 CNY per month) for </w:t>
            </w:r>
            <w:r>
              <w:rPr>
                <w:sz w:val="20"/>
              </w:rPr>
              <w:t>high income group in Foshan</w:t>
            </w:r>
            <w:r w:rsidRPr="008D03CA">
              <w:rPr>
                <w:sz w:val="20"/>
              </w:rPr>
              <w:t>.</w:t>
            </w:r>
          </w:p>
          <w:p w:rsidR="00C207B5" w:rsidRDefault="00C207B5" w:rsidP="00C207B5">
            <w:pPr>
              <w:tabs>
                <w:tab w:val="left" w:pos="5400"/>
              </w:tabs>
              <w:rPr>
                <w:sz w:val="20"/>
              </w:rPr>
            </w:pPr>
            <w:r w:rsidRPr="008D03CA">
              <w:rPr>
                <w:sz w:val="20"/>
              </w:rPr>
              <w:t>The ﬂow rate was recorded into ‘abnormal (&lt;0.25)’ or ‘normal (</w:t>
            </w:r>
            <w:r w:rsidRPr="008D03CA">
              <w:rPr>
                <w:rFonts w:hint="eastAsia"/>
                <w:sz w:val="20"/>
              </w:rPr>
              <w:t>≥</w:t>
            </w:r>
            <w:r w:rsidRPr="008D03CA">
              <w:rPr>
                <w:sz w:val="20"/>
              </w:rPr>
              <w:t>0.25)’</w:t>
            </w:r>
            <w:r>
              <w:rPr>
                <w:sz w:val="20"/>
              </w:rPr>
              <w:t>.</w:t>
            </w:r>
          </w:p>
          <w:p w:rsidR="00191A23" w:rsidRPr="0022554A" w:rsidRDefault="00C207B5" w:rsidP="00C207B5">
            <w:pPr>
              <w:tabs>
                <w:tab w:val="left" w:pos="5400"/>
              </w:tabs>
              <w:rPr>
                <w:sz w:val="20"/>
              </w:rPr>
            </w:pPr>
            <w:r w:rsidRPr="008D03CA">
              <w:rPr>
                <w:rFonts w:hint="eastAsia"/>
                <w:sz w:val="20"/>
              </w:rPr>
              <w:t xml:space="preserve">The buffering capability was recorded into </w:t>
            </w:r>
            <w:r w:rsidRPr="008D03CA">
              <w:rPr>
                <w:rFonts w:hint="eastAsia"/>
                <w:sz w:val="20"/>
              </w:rPr>
              <w:t>‘</w:t>
            </w:r>
            <w:r w:rsidRPr="008D03CA">
              <w:rPr>
                <w:rFonts w:hint="eastAsia"/>
                <w:sz w:val="20"/>
              </w:rPr>
              <w:t>low</w:t>
            </w:r>
            <w:r w:rsidRPr="008D03CA">
              <w:rPr>
                <w:rFonts w:hint="eastAsia"/>
                <w:sz w:val="20"/>
              </w:rPr>
              <w:t>’</w:t>
            </w:r>
            <w:r w:rsidRPr="008D03CA">
              <w:rPr>
                <w:rFonts w:hint="eastAsia"/>
                <w:sz w:val="20"/>
              </w:rPr>
              <w:t xml:space="preserve"> (&lt;3.5), </w:t>
            </w:r>
            <w:r w:rsidRPr="008D03CA">
              <w:rPr>
                <w:rFonts w:hint="eastAsia"/>
                <w:sz w:val="20"/>
              </w:rPr>
              <w:t>‘</w:t>
            </w:r>
            <w:r w:rsidRPr="008D03CA">
              <w:rPr>
                <w:rFonts w:hint="eastAsia"/>
                <w:sz w:val="20"/>
              </w:rPr>
              <w:t>moderate</w:t>
            </w:r>
            <w:r w:rsidRPr="008D03CA">
              <w:rPr>
                <w:rFonts w:hint="eastAsia"/>
                <w:sz w:val="20"/>
              </w:rPr>
              <w:t>’</w:t>
            </w:r>
            <w:r w:rsidRPr="008D03CA">
              <w:rPr>
                <w:rFonts w:hint="eastAsia"/>
                <w:sz w:val="20"/>
              </w:rPr>
              <w:t xml:space="preserve"> (3.5-4.25) or </w:t>
            </w:r>
            <w:r w:rsidRPr="008D03CA">
              <w:rPr>
                <w:rFonts w:hint="eastAsia"/>
                <w:sz w:val="20"/>
              </w:rPr>
              <w:t>‘</w:t>
            </w:r>
            <w:r w:rsidRPr="008D03CA">
              <w:rPr>
                <w:rFonts w:hint="eastAsia"/>
                <w:sz w:val="20"/>
              </w:rPr>
              <w:t>high</w:t>
            </w:r>
            <w:r w:rsidRPr="008D03CA">
              <w:rPr>
                <w:rFonts w:hint="eastAsia"/>
                <w:sz w:val="20"/>
              </w:rPr>
              <w:t>’</w:t>
            </w:r>
            <w:r w:rsidRPr="008D03CA">
              <w:rPr>
                <w:rFonts w:hint="eastAsia"/>
                <w:sz w:val="20"/>
              </w:rPr>
              <w:t xml:space="preserve"> (</w:t>
            </w:r>
            <w:r w:rsidRPr="008D03CA">
              <w:rPr>
                <w:rFonts w:hint="eastAsia"/>
                <w:sz w:val="20"/>
              </w:rPr>
              <w:t>≥</w:t>
            </w:r>
            <w:r w:rsidRPr="008D03CA">
              <w:rPr>
                <w:rFonts w:hint="eastAsia"/>
                <w:sz w:val="20"/>
              </w:rPr>
              <w:t>4.25)</w:t>
            </w:r>
            <w:r>
              <w:rPr>
                <w:sz w:val="20"/>
              </w:rPr>
              <w:t>.</w:t>
            </w:r>
          </w:p>
        </w:tc>
      </w:tr>
      <w:tr w:rsidR="00191A23" w:rsidRPr="0022554A" w:rsidTr="0030708A">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5340"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701" w:type="dxa"/>
          </w:tcPr>
          <w:p w:rsidR="00191A23" w:rsidRPr="0022554A" w:rsidRDefault="006F1254" w:rsidP="00191A23">
            <w:pPr>
              <w:tabs>
                <w:tab w:val="left" w:pos="5400"/>
              </w:tabs>
              <w:rPr>
                <w:rFonts w:hint="eastAsia"/>
                <w:sz w:val="20"/>
                <w:lang w:eastAsia="zh-CN"/>
              </w:rPr>
            </w:pPr>
            <w:r>
              <w:rPr>
                <w:rFonts w:hint="eastAsia"/>
                <w:sz w:val="20"/>
                <w:lang w:eastAsia="zh-CN"/>
              </w:rPr>
              <w:t>5</w:t>
            </w:r>
          </w:p>
        </w:tc>
        <w:tc>
          <w:tcPr>
            <w:tcW w:w="5386" w:type="dxa"/>
            <w:gridSpan w:val="2"/>
          </w:tcPr>
          <w:p w:rsidR="006F1254" w:rsidRDefault="006F1254" w:rsidP="006F1254">
            <w:pPr>
              <w:tabs>
                <w:tab w:val="left" w:pos="5400"/>
              </w:tabs>
              <w:rPr>
                <w:sz w:val="20"/>
              </w:rPr>
            </w:pPr>
            <w:r w:rsidRPr="006F1254">
              <w:rPr>
                <w:sz w:val="20"/>
              </w:rPr>
              <w:t xml:space="preserve">For categorical variables, chi-square tests were used to test the association of caries experience with the variables studied. The Mann-Whitney U test or Kruskal-Wallis H test was employed to study the distribution of decayed, missing, and filled teeth (∆DMFT) scores according to different variables. For continuous variables, logistic regression was used to test the association of caries experience with the variables, and negative binominal regression was employed to study the distribution of ∆DMFT scores. </w:t>
            </w:r>
          </w:p>
          <w:p w:rsidR="00191A23" w:rsidRPr="0022554A" w:rsidRDefault="006F1254" w:rsidP="006F1254">
            <w:pPr>
              <w:tabs>
                <w:tab w:val="left" w:pos="5400"/>
              </w:tabs>
              <w:rPr>
                <w:sz w:val="20"/>
              </w:rPr>
            </w:pPr>
            <w:r w:rsidRPr="006F1254">
              <w:rPr>
                <w:sz w:val="20"/>
              </w:rPr>
              <w:t xml:space="preserve">For the multivariate analyses, the Poisson model, negative binomial model and zero-inflated model were considered to study the relationships between the ∆DMFT scores and the selected variables. Vuong’s test was employed to choose an appropriate model. </w:t>
            </w:r>
          </w:p>
        </w:tc>
      </w:tr>
      <w:tr w:rsidR="00191A23" w:rsidRPr="0022554A" w:rsidTr="0030708A">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701" w:type="dxa"/>
          </w:tcPr>
          <w:p w:rsidR="00191A23" w:rsidRPr="0022554A" w:rsidRDefault="006F1254" w:rsidP="00191A23">
            <w:pPr>
              <w:tabs>
                <w:tab w:val="left" w:pos="5400"/>
              </w:tabs>
              <w:rPr>
                <w:rFonts w:hint="eastAsia"/>
                <w:sz w:val="20"/>
                <w:lang w:eastAsia="zh-CN"/>
              </w:rPr>
            </w:pPr>
            <w:r>
              <w:rPr>
                <w:rFonts w:hint="eastAsia"/>
                <w:sz w:val="20"/>
                <w:lang w:eastAsia="zh-CN"/>
              </w:rPr>
              <w:t>6</w:t>
            </w:r>
          </w:p>
        </w:tc>
        <w:tc>
          <w:tcPr>
            <w:tcW w:w="5386" w:type="dxa"/>
            <w:gridSpan w:val="2"/>
          </w:tcPr>
          <w:p w:rsidR="00191A23" w:rsidRPr="0022554A" w:rsidRDefault="006F1254" w:rsidP="00191A23">
            <w:pPr>
              <w:tabs>
                <w:tab w:val="left" w:pos="5400"/>
              </w:tabs>
              <w:rPr>
                <w:sz w:val="20"/>
              </w:rPr>
            </w:pPr>
            <w:r w:rsidRPr="006F1254">
              <w:rPr>
                <w:sz w:val="20"/>
              </w:rPr>
              <w:t xml:space="preserve">There were 129 individuals who were caries free (D1-6MFT=0) at baseline. After one year, 6 patients missed the follow-up assessment. Among the remaining 123 individuals, 57 (46.3%) </w:t>
            </w:r>
            <w:r w:rsidRPr="006F1254">
              <w:rPr>
                <w:sz w:val="20"/>
              </w:rPr>
              <w:lastRenderedPageBreak/>
              <w:t>adolescents were still caries free. The 123 individuals were categorized as the caries-free group.</w:t>
            </w:r>
          </w:p>
        </w:tc>
      </w:tr>
      <w:tr w:rsidR="00191A23" w:rsidRPr="0022554A" w:rsidTr="0030708A">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701" w:type="dxa"/>
          </w:tcPr>
          <w:p w:rsidR="00191A23" w:rsidRPr="0022554A" w:rsidRDefault="006C319B" w:rsidP="00191A23">
            <w:pPr>
              <w:tabs>
                <w:tab w:val="left" w:pos="5400"/>
              </w:tabs>
              <w:rPr>
                <w:rFonts w:hint="eastAsia"/>
                <w:sz w:val="20"/>
                <w:lang w:eastAsia="zh-CN"/>
              </w:rPr>
            </w:pPr>
            <w:r>
              <w:rPr>
                <w:sz w:val="20"/>
                <w:lang w:eastAsia="zh-CN"/>
              </w:rPr>
              <w:t>5</w:t>
            </w:r>
          </w:p>
        </w:tc>
        <w:tc>
          <w:tcPr>
            <w:tcW w:w="5386" w:type="dxa"/>
            <w:gridSpan w:val="2"/>
          </w:tcPr>
          <w:p w:rsidR="00191A23" w:rsidRPr="0022554A" w:rsidRDefault="006C319B" w:rsidP="00191A23">
            <w:pPr>
              <w:tabs>
                <w:tab w:val="left" w:pos="5400"/>
              </w:tabs>
              <w:rPr>
                <w:rFonts w:hint="eastAsia"/>
                <w:sz w:val="20"/>
                <w:lang w:eastAsia="zh-CN"/>
              </w:rPr>
            </w:pPr>
            <w:r w:rsidRPr="006C319B">
              <w:rPr>
                <w:sz w:val="20"/>
                <w:lang w:eastAsia="zh-CN"/>
              </w:rPr>
              <w:t>The data of these 1016 adolescents were submitted to further analysis.</w:t>
            </w:r>
          </w:p>
        </w:tc>
      </w:tr>
      <w:tr w:rsidR="00191A23" w:rsidRPr="0022554A" w:rsidTr="0030708A">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701" w:type="dxa"/>
          </w:tcPr>
          <w:p w:rsidR="00191A23" w:rsidRPr="0022554A" w:rsidRDefault="00191A23" w:rsidP="00191A23">
            <w:pPr>
              <w:tabs>
                <w:tab w:val="left" w:pos="5400"/>
              </w:tabs>
              <w:rPr>
                <w:rFonts w:hint="eastAsia"/>
                <w:sz w:val="20"/>
                <w:lang w:eastAsia="zh-CN"/>
              </w:rPr>
            </w:pPr>
          </w:p>
        </w:tc>
        <w:tc>
          <w:tcPr>
            <w:tcW w:w="5386" w:type="dxa"/>
            <w:gridSpan w:val="2"/>
          </w:tcPr>
          <w:p w:rsidR="00191A23" w:rsidRPr="0022554A" w:rsidRDefault="006C319B" w:rsidP="00191A23">
            <w:pPr>
              <w:tabs>
                <w:tab w:val="left" w:pos="5400"/>
              </w:tabs>
              <w:rPr>
                <w:rFonts w:hint="eastAsia"/>
                <w:sz w:val="20"/>
                <w:lang w:eastAsia="zh-CN"/>
              </w:rPr>
            </w:pPr>
            <w:r>
              <w:rPr>
                <w:sz w:val="20"/>
                <w:lang w:eastAsia="zh-CN"/>
              </w:rPr>
              <w:t>Not mentioned</w:t>
            </w:r>
          </w:p>
        </w:tc>
      </w:tr>
      <w:tr w:rsidR="00191A23" w:rsidRPr="0022554A" w:rsidTr="0030708A">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701" w:type="dxa"/>
          </w:tcPr>
          <w:p w:rsidR="00191A23" w:rsidRPr="0022554A" w:rsidRDefault="00191A23" w:rsidP="00191A23">
            <w:pPr>
              <w:tabs>
                <w:tab w:val="left" w:pos="5400"/>
              </w:tabs>
              <w:rPr>
                <w:sz w:val="20"/>
              </w:rPr>
            </w:pPr>
          </w:p>
        </w:tc>
        <w:tc>
          <w:tcPr>
            <w:tcW w:w="5386" w:type="dxa"/>
            <w:gridSpan w:val="2"/>
          </w:tcPr>
          <w:p w:rsidR="00191A23" w:rsidRPr="0022554A" w:rsidRDefault="006C319B" w:rsidP="00191A23">
            <w:pPr>
              <w:tabs>
                <w:tab w:val="left" w:pos="5400"/>
              </w:tabs>
              <w:rPr>
                <w:sz w:val="20"/>
              </w:rPr>
            </w:pPr>
            <w:r w:rsidRPr="006F1254">
              <w:rPr>
                <w:sz w:val="20"/>
              </w:rPr>
              <w:t>Not applicable</w:t>
            </w:r>
          </w:p>
        </w:tc>
      </w:tr>
      <w:bookmarkEnd w:id="52"/>
      <w:bookmarkEnd w:id="53"/>
      <w:tr w:rsidR="00191A23" w:rsidRPr="0022554A" w:rsidTr="0030708A">
        <w:trPr>
          <w:gridAfter w:val="1"/>
          <w:wAfter w:w="555" w:type="dxa"/>
        </w:trPr>
        <w:tc>
          <w:tcPr>
            <w:tcW w:w="1414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30708A">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5340"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701" w:type="dxa"/>
          </w:tcPr>
          <w:p w:rsidR="00191A23" w:rsidRDefault="006C319B" w:rsidP="00191A23">
            <w:pPr>
              <w:tabs>
                <w:tab w:val="left" w:pos="5400"/>
              </w:tabs>
              <w:rPr>
                <w:rFonts w:hint="eastAsia"/>
                <w:sz w:val="20"/>
                <w:lang w:eastAsia="zh-CN"/>
              </w:rPr>
            </w:pPr>
            <w:r>
              <w:rPr>
                <w:rFonts w:hint="eastAsia"/>
                <w:sz w:val="20"/>
                <w:lang w:eastAsia="zh-CN"/>
              </w:rPr>
              <w:t>5</w:t>
            </w:r>
          </w:p>
        </w:tc>
        <w:tc>
          <w:tcPr>
            <w:tcW w:w="5386" w:type="dxa"/>
            <w:gridSpan w:val="2"/>
          </w:tcPr>
          <w:p w:rsidR="00191A23" w:rsidRDefault="006C319B" w:rsidP="00191A23">
            <w:pPr>
              <w:tabs>
                <w:tab w:val="left" w:pos="5400"/>
              </w:tabs>
              <w:rPr>
                <w:sz w:val="20"/>
              </w:rPr>
            </w:pPr>
            <w:r w:rsidRPr="006C319B">
              <w:rPr>
                <w:sz w:val="20"/>
              </w:rPr>
              <w:t>A total of 1087 adolescents were invited, and 1055 of them finished the baseline survey. The baseline response rate was 97.06%. A total of 1016 adolescents finished all evaluations in the longitudinal study (a 96% follow-up rate). The data of these 1016 adolescents were submitted to further analysis. (a 96% follow-up rate)</w:t>
            </w:r>
          </w:p>
        </w:tc>
      </w:tr>
      <w:tr w:rsidR="00191A23" w:rsidRPr="0022554A" w:rsidTr="0030708A">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701" w:type="dxa"/>
          </w:tcPr>
          <w:p w:rsidR="00191A23" w:rsidRDefault="006C319B" w:rsidP="00191A23">
            <w:pPr>
              <w:tabs>
                <w:tab w:val="left" w:pos="5400"/>
              </w:tabs>
              <w:rPr>
                <w:rFonts w:hint="eastAsia"/>
                <w:sz w:val="20"/>
                <w:lang w:eastAsia="zh-CN"/>
              </w:rPr>
            </w:pPr>
            <w:r>
              <w:rPr>
                <w:rFonts w:hint="eastAsia"/>
                <w:sz w:val="20"/>
                <w:lang w:eastAsia="zh-CN"/>
              </w:rPr>
              <w:t>5</w:t>
            </w:r>
          </w:p>
        </w:tc>
        <w:tc>
          <w:tcPr>
            <w:tcW w:w="5386" w:type="dxa"/>
            <w:gridSpan w:val="2"/>
          </w:tcPr>
          <w:p w:rsidR="00191A23" w:rsidRDefault="006C319B" w:rsidP="00191A23">
            <w:pPr>
              <w:tabs>
                <w:tab w:val="left" w:pos="5400"/>
              </w:tabs>
              <w:rPr>
                <w:sz w:val="20"/>
              </w:rPr>
            </w:pPr>
            <w:r w:rsidRPr="006C319B">
              <w:rPr>
                <w:sz w:val="20"/>
              </w:rPr>
              <w:t>Thirty-nine children were lost to follow-up, primarily because they transferred schools, were absent from school on the follow-up day, or were unwilling to attend the follow-up examination.</w:t>
            </w:r>
          </w:p>
        </w:tc>
      </w:tr>
      <w:tr w:rsidR="00191A23" w:rsidRPr="0022554A" w:rsidTr="0030708A">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701" w:type="dxa"/>
          </w:tcPr>
          <w:p w:rsidR="00191A23" w:rsidRDefault="00191A23" w:rsidP="00191A23">
            <w:pPr>
              <w:tabs>
                <w:tab w:val="left" w:pos="5400"/>
              </w:tabs>
              <w:rPr>
                <w:rFonts w:hint="eastAsia"/>
                <w:sz w:val="20"/>
                <w:lang w:eastAsia="zh-CN"/>
              </w:rPr>
            </w:pPr>
          </w:p>
        </w:tc>
        <w:tc>
          <w:tcPr>
            <w:tcW w:w="5386" w:type="dxa"/>
            <w:gridSpan w:val="2"/>
          </w:tcPr>
          <w:p w:rsidR="00191A23" w:rsidRDefault="006C319B" w:rsidP="00191A23">
            <w:pPr>
              <w:tabs>
                <w:tab w:val="left" w:pos="5400"/>
              </w:tabs>
              <w:rPr>
                <w:sz w:val="20"/>
              </w:rPr>
            </w:pPr>
            <w:r>
              <w:rPr>
                <w:rFonts w:hint="eastAsia"/>
                <w:sz w:val="20"/>
                <w:lang w:eastAsia="zh-CN"/>
              </w:rPr>
              <w:t>F</w:t>
            </w:r>
            <w:r>
              <w:rPr>
                <w:sz w:val="20"/>
                <w:lang w:eastAsia="zh-CN"/>
              </w:rPr>
              <w:t>igure 2</w:t>
            </w:r>
          </w:p>
        </w:tc>
      </w:tr>
      <w:tr w:rsidR="00191A23" w:rsidRPr="0022554A" w:rsidTr="0030708A">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5340"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701" w:type="dxa"/>
          </w:tcPr>
          <w:p w:rsidR="00191A23" w:rsidRDefault="006C319B" w:rsidP="00191A23">
            <w:pPr>
              <w:tabs>
                <w:tab w:val="left" w:pos="5400"/>
              </w:tabs>
              <w:rPr>
                <w:rFonts w:hint="eastAsia"/>
                <w:sz w:val="20"/>
                <w:lang w:eastAsia="zh-CN"/>
              </w:rPr>
            </w:pPr>
            <w:r>
              <w:rPr>
                <w:rFonts w:hint="eastAsia"/>
                <w:sz w:val="20"/>
                <w:lang w:eastAsia="zh-CN"/>
              </w:rPr>
              <w:t>5</w:t>
            </w:r>
          </w:p>
        </w:tc>
        <w:tc>
          <w:tcPr>
            <w:tcW w:w="5386" w:type="dxa"/>
            <w:gridSpan w:val="2"/>
          </w:tcPr>
          <w:p w:rsidR="00191A23" w:rsidRDefault="006C319B" w:rsidP="00191A23">
            <w:pPr>
              <w:tabs>
                <w:tab w:val="left" w:pos="5400"/>
              </w:tabs>
              <w:rPr>
                <w:sz w:val="20"/>
              </w:rPr>
            </w:pPr>
            <w:r w:rsidRPr="006C319B">
              <w:rPr>
                <w:sz w:val="20"/>
              </w:rPr>
              <w:t>Among them, 591 were boys and 425 were girls. The mean age at baseline was 13.19±0.40 years.</w:t>
            </w:r>
          </w:p>
        </w:tc>
      </w:tr>
      <w:tr w:rsidR="00191A23" w:rsidRPr="0022554A" w:rsidTr="0030708A">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5340"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701" w:type="dxa"/>
          </w:tcPr>
          <w:p w:rsidR="00191A23" w:rsidRDefault="00191A23" w:rsidP="00191A23">
            <w:pPr>
              <w:tabs>
                <w:tab w:val="left" w:pos="5400"/>
              </w:tabs>
              <w:rPr>
                <w:sz w:val="20"/>
              </w:rPr>
            </w:pPr>
          </w:p>
        </w:tc>
        <w:tc>
          <w:tcPr>
            <w:tcW w:w="5386" w:type="dxa"/>
            <w:gridSpan w:val="2"/>
          </w:tcPr>
          <w:p w:rsidR="00191A23" w:rsidRDefault="006C319B" w:rsidP="00191A23">
            <w:pPr>
              <w:tabs>
                <w:tab w:val="left" w:pos="5400"/>
              </w:tabs>
              <w:rPr>
                <w:rFonts w:hint="eastAsia"/>
                <w:sz w:val="20"/>
                <w:lang w:eastAsia="zh-CN"/>
              </w:rPr>
            </w:pPr>
            <w:r>
              <w:rPr>
                <w:rFonts w:hint="eastAsia"/>
                <w:sz w:val="20"/>
                <w:lang w:eastAsia="zh-CN"/>
              </w:rPr>
              <w:t>N</w:t>
            </w:r>
            <w:r>
              <w:rPr>
                <w:sz w:val="20"/>
                <w:lang w:eastAsia="zh-CN"/>
              </w:rPr>
              <w:t>ot mentioned</w:t>
            </w:r>
          </w:p>
        </w:tc>
      </w:tr>
      <w:tr w:rsidR="006C319B" w:rsidRPr="0022554A" w:rsidTr="0030708A">
        <w:tc>
          <w:tcPr>
            <w:tcW w:w="0" w:type="auto"/>
            <w:vMerge/>
          </w:tcPr>
          <w:p w:rsidR="006C319B" w:rsidRPr="0022554A" w:rsidRDefault="006C319B" w:rsidP="006C319B">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6C319B" w:rsidRPr="0022554A" w:rsidRDefault="006C319B" w:rsidP="006C319B">
            <w:pPr>
              <w:tabs>
                <w:tab w:val="left" w:pos="5400"/>
              </w:tabs>
              <w:jc w:val="center"/>
              <w:rPr>
                <w:sz w:val="20"/>
              </w:rPr>
            </w:pPr>
          </w:p>
        </w:tc>
        <w:tc>
          <w:tcPr>
            <w:tcW w:w="5340" w:type="dxa"/>
          </w:tcPr>
          <w:p w:rsidR="006C319B" w:rsidRPr="0022554A" w:rsidRDefault="006C319B" w:rsidP="006C319B">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701" w:type="dxa"/>
          </w:tcPr>
          <w:p w:rsidR="006C319B" w:rsidRDefault="006C319B" w:rsidP="006C319B">
            <w:pPr>
              <w:tabs>
                <w:tab w:val="left" w:pos="5400"/>
              </w:tabs>
              <w:rPr>
                <w:sz w:val="20"/>
              </w:rPr>
            </w:pPr>
          </w:p>
        </w:tc>
        <w:tc>
          <w:tcPr>
            <w:tcW w:w="5386" w:type="dxa"/>
            <w:gridSpan w:val="2"/>
          </w:tcPr>
          <w:p w:rsidR="006C319B" w:rsidRDefault="006C319B" w:rsidP="006C319B">
            <w:pPr>
              <w:tabs>
                <w:tab w:val="left" w:pos="5400"/>
              </w:tabs>
              <w:rPr>
                <w:rFonts w:hint="eastAsia"/>
                <w:sz w:val="20"/>
                <w:lang w:eastAsia="zh-CN"/>
              </w:rPr>
            </w:pPr>
            <w:r>
              <w:rPr>
                <w:rFonts w:hint="eastAsia"/>
                <w:sz w:val="20"/>
                <w:lang w:eastAsia="zh-CN"/>
              </w:rPr>
              <w:t>N</w:t>
            </w:r>
            <w:r>
              <w:rPr>
                <w:sz w:val="20"/>
                <w:lang w:eastAsia="zh-CN"/>
              </w:rPr>
              <w:t xml:space="preserve">ot </w:t>
            </w:r>
            <w:r w:rsidRPr="006F1254">
              <w:rPr>
                <w:sz w:val="20"/>
              </w:rPr>
              <w:t>applicable</w:t>
            </w:r>
          </w:p>
        </w:tc>
      </w:tr>
      <w:tr w:rsidR="006C319B" w:rsidRPr="0022554A" w:rsidTr="0030708A">
        <w:trPr>
          <w:trHeight w:val="295"/>
        </w:trPr>
        <w:tc>
          <w:tcPr>
            <w:tcW w:w="0" w:type="auto"/>
            <w:vMerge w:val="restart"/>
          </w:tcPr>
          <w:p w:rsidR="006C319B" w:rsidRPr="0022554A" w:rsidRDefault="006C319B" w:rsidP="006C319B">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6C319B" w:rsidRPr="0022554A" w:rsidRDefault="006C319B" w:rsidP="006C319B">
            <w:pPr>
              <w:tabs>
                <w:tab w:val="left" w:pos="5400"/>
              </w:tabs>
              <w:jc w:val="center"/>
              <w:rPr>
                <w:sz w:val="20"/>
              </w:rPr>
            </w:pPr>
            <w:r w:rsidRPr="0022554A">
              <w:rPr>
                <w:sz w:val="20"/>
              </w:rPr>
              <w:t>15</w:t>
            </w:r>
            <w:bookmarkStart w:id="73" w:name="bold39"/>
            <w:r w:rsidRPr="0022554A">
              <w:rPr>
                <w:bCs/>
                <w:sz w:val="20"/>
              </w:rPr>
              <w:t>*</w:t>
            </w:r>
            <w:bookmarkEnd w:id="73"/>
          </w:p>
        </w:tc>
        <w:tc>
          <w:tcPr>
            <w:tcW w:w="5340" w:type="dxa"/>
          </w:tcPr>
          <w:p w:rsidR="006C319B" w:rsidRPr="0022554A" w:rsidRDefault="006C319B" w:rsidP="006C319B">
            <w:pPr>
              <w:tabs>
                <w:tab w:val="left" w:pos="5400"/>
              </w:tabs>
              <w:rPr>
                <w:sz w:val="20"/>
              </w:rPr>
            </w:pPr>
            <w:r w:rsidRPr="0022554A">
              <w:rPr>
                <w:i/>
                <w:sz w:val="20"/>
              </w:rPr>
              <w:t>Cohort study</w:t>
            </w:r>
            <w:r w:rsidRPr="0022554A">
              <w:rPr>
                <w:sz w:val="20"/>
              </w:rPr>
              <w:t>—Report numbers of outcome events or summary measures over time</w:t>
            </w:r>
          </w:p>
        </w:tc>
        <w:tc>
          <w:tcPr>
            <w:tcW w:w="1701" w:type="dxa"/>
          </w:tcPr>
          <w:p w:rsidR="006C319B" w:rsidRPr="00B30AC8" w:rsidRDefault="00B30AC8" w:rsidP="006C319B">
            <w:pPr>
              <w:tabs>
                <w:tab w:val="left" w:pos="5400"/>
              </w:tabs>
              <w:rPr>
                <w:rFonts w:hint="eastAsia"/>
                <w:sz w:val="20"/>
                <w:lang w:eastAsia="zh-CN"/>
              </w:rPr>
            </w:pPr>
            <w:r>
              <w:rPr>
                <w:rFonts w:hint="eastAsia"/>
                <w:sz w:val="20"/>
                <w:lang w:eastAsia="zh-CN"/>
              </w:rPr>
              <w:t>5</w:t>
            </w:r>
          </w:p>
        </w:tc>
        <w:tc>
          <w:tcPr>
            <w:tcW w:w="5386" w:type="dxa"/>
            <w:gridSpan w:val="2"/>
          </w:tcPr>
          <w:p w:rsidR="006C319B" w:rsidRPr="00B30AC8" w:rsidRDefault="00B30AC8" w:rsidP="006C319B">
            <w:pPr>
              <w:tabs>
                <w:tab w:val="left" w:pos="5400"/>
              </w:tabs>
              <w:rPr>
                <w:sz w:val="20"/>
              </w:rPr>
            </w:pPr>
            <w:r w:rsidRPr="00B30AC8">
              <w:rPr>
                <w:sz w:val="20"/>
              </w:rPr>
              <w:t>The dentin caries prevalence rate was 36.2%, and when enamel caries were included, the rate was 87.8% at baseline. At the one-</w:t>
            </w:r>
            <w:r w:rsidRPr="00B30AC8">
              <w:rPr>
                <w:sz w:val="20"/>
              </w:rPr>
              <w:lastRenderedPageBreak/>
              <w:t>year follow-up, the caries prevalence rate was 91.5% (enamel and dentin caries) and 49.6% (dentin caries). The incidence rate for dentin caries was 37.0%. When enamel caries were included, the incidence rate was 47.6%.</w:t>
            </w:r>
          </w:p>
        </w:tc>
      </w:tr>
      <w:tr w:rsidR="006C319B" w:rsidRPr="0022554A" w:rsidTr="0030708A">
        <w:trPr>
          <w:trHeight w:val="294"/>
        </w:trPr>
        <w:tc>
          <w:tcPr>
            <w:tcW w:w="0" w:type="auto"/>
            <w:vMerge/>
          </w:tcPr>
          <w:p w:rsidR="006C319B" w:rsidRPr="0022554A" w:rsidRDefault="006C319B" w:rsidP="006C319B">
            <w:pPr>
              <w:tabs>
                <w:tab w:val="left" w:pos="5400"/>
              </w:tabs>
              <w:rPr>
                <w:bCs/>
                <w:sz w:val="20"/>
              </w:rPr>
            </w:pPr>
          </w:p>
        </w:tc>
        <w:tc>
          <w:tcPr>
            <w:tcW w:w="0" w:type="auto"/>
            <w:vMerge/>
          </w:tcPr>
          <w:p w:rsidR="006C319B" w:rsidRPr="0022554A" w:rsidRDefault="006C319B" w:rsidP="006C319B">
            <w:pPr>
              <w:tabs>
                <w:tab w:val="left" w:pos="5400"/>
              </w:tabs>
              <w:jc w:val="center"/>
              <w:rPr>
                <w:sz w:val="20"/>
              </w:rPr>
            </w:pPr>
          </w:p>
        </w:tc>
        <w:tc>
          <w:tcPr>
            <w:tcW w:w="5340" w:type="dxa"/>
          </w:tcPr>
          <w:p w:rsidR="006C319B" w:rsidRPr="0022554A" w:rsidRDefault="006C319B" w:rsidP="006C319B">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701" w:type="dxa"/>
          </w:tcPr>
          <w:p w:rsidR="006C319B" w:rsidRPr="0022554A" w:rsidRDefault="006C319B" w:rsidP="006C319B">
            <w:pPr>
              <w:tabs>
                <w:tab w:val="left" w:pos="5400"/>
              </w:tabs>
              <w:rPr>
                <w:i/>
                <w:sz w:val="20"/>
              </w:rPr>
            </w:pPr>
          </w:p>
        </w:tc>
        <w:tc>
          <w:tcPr>
            <w:tcW w:w="5386" w:type="dxa"/>
            <w:gridSpan w:val="2"/>
          </w:tcPr>
          <w:p w:rsidR="006C319B" w:rsidRPr="00B30AC8" w:rsidRDefault="00B30AC8" w:rsidP="006C319B">
            <w:pPr>
              <w:tabs>
                <w:tab w:val="left" w:pos="5400"/>
              </w:tabs>
              <w:rPr>
                <w:sz w:val="20"/>
              </w:rPr>
            </w:pPr>
            <w:r>
              <w:rPr>
                <w:rFonts w:hint="eastAsia"/>
                <w:sz w:val="20"/>
                <w:lang w:eastAsia="zh-CN"/>
              </w:rPr>
              <w:t>N</w:t>
            </w:r>
            <w:r>
              <w:rPr>
                <w:sz w:val="20"/>
                <w:lang w:eastAsia="zh-CN"/>
              </w:rPr>
              <w:t xml:space="preserve">ot </w:t>
            </w:r>
            <w:r w:rsidRPr="006F1254">
              <w:rPr>
                <w:sz w:val="20"/>
              </w:rPr>
              <w:t>applicable</w:t>
            </w:r>
          </w:p>
        </w:tc>
      </w:tr>
      <w:tr w:rsidR="006C319B" w:rsidRPr="0022554A" w:rsidTr="0030708A">
        <w:trPr>
          <w:trHeight w:val="294"/>
        </w:trPr>
        <w:tc>
          <w:tcPr>
            <w:tcW w:w="0" w:type="auto"/>
            <w:vMerge/>
          </w:tcPr>
          <w:p w:rsidR="006C319B" w:rsidRPr="0022554A" w:rsidRDefault="006C319B" w:rsidP="006C319B">
            <w:pPr>
              <w:tabs>
                <w:tab w:val="left" w:pos="5400"/>
              </w:tabs>
              <w:rPr>
                <w:bCs/>
                <w:sz w:val="20"/>
              </w:rPr>
            </w:pPr>
          </w:p>
        </w:tc>
        <w:tc>
          <w:tcPr>
            <w:tcW w:w="0" w:type="auto"/>
            <w:vMerge/>
          </w:tcPr>
          <w:p w:rsidR="006C319B" w:rsidRPr="0022554A" w:rsidRDefault="006C319B" w:rsidP="006C319B">
            <w:pPr>
              <w:tabs>
                <w:tab w:val="left" w:pos="5400"/>
              </w:tabs>
              <w:jc w:val="center"/>
              <w:rPr>
                <w:sz w:val="20"/>
              </w:rPr>
            </w:pPr>
          </w:p>
        </w:tc>
        <w:tc>
          <w:tcPr>
            <w:tcW w:w="5340" w:type="dxa"/>
          </w:tcPr>
          <w:p w:rsidR="006C319B" w:rsidRPr="0022554A" w:rsidRDefault="006C319B" w:rsidP="006C319B">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701" w:type="dxa"/>
          </w:tcPr>
          <w:p w:rsidR="006C319B" w:rsidRDefault="006C319B" w:rsidP="006C319B">
            <w:pPr>
              <w:tabs>
                <w:tab w:val="left" w:pos="5400"/>
              </w:tabs>
              <w:rPr>
                <w:i/>
                <w:sz w:val="20"/>
              </w:rPr>
            </w:pPr>
          </w:p>
        </w:tc>
        <w:tc>
          <w:tcPr>
            <w:tcW w:w="5386" w:type="dxa"/>
            <w:gridSpan w:val="2"/>
          </w:tcPr>
          <w:p w:rsidR="006C319B" w:rsidRPr="00B30AC8" w:rsidRDefault="00B30AC8" w:rsidP="006C319B">
            <w:pPr>
              <w:tabs>
                <w:tab w:val="left" w:pos="5400"/>
              </w:tabs>
              <w:rPr>
                <w:sz w:val="20"/>
              </w:rPr>
            </w:pPr>
            <w:r>
              <w:rPr>
                <w:rFonts w:hint="eastAsia"/>
                <w:sz w:val="20"/>
                <w:lang w:eastAsia="zh-CN"/>
              </w:rPr>
              <w:t>N</w:t>
            </w:r>
            <w:r>
              <w:rPr>
                <w:sz w:val="20"/>
                <w:lang w:eastAsia="zh-CN"/>
              </w:rPr>
              <w:t xml:space="preserve">ot </w:t>
            </w:r>
            <w:r w:rsidRPr="006F1254">
              <w:rPr>
                <w:sz w:val="20"/>
              </w:rPr>
              <w:t>applicable</w:t>
            </w:r>
          </w:p>
        </w:tc>
      </w:tr>
      <w:tr w:rsidR="006C319B" w:rsidRPr="0022554A" w:rsidTr="0030708A">
        <w:tc>
          <w:tcPr>
            <w:tcW w:w="0" w:type="auto"/>
            <w:vMerge w:val="restart"/>
          </w:tcPr>
          <w:p w:rsidR="006C319B" w:rsidRPr="0022554A" w:rsidRDefault="006C319B" w:rsidP="006C319B">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6C319B" w:rsidRPr="0022554A" w:rsidRDefault="006C319B" w:rsidP="006C319B">
            <w:pPr>
              <w:tabs>
                <w:tab w:val="left" w:pos="5400"/>
              </w:tabs>
              <w:jc w:val="center"/>
              <w:rPr>
                <w:sz w:val="20"/>
              </w:rPr>
            </w:pPr>
            <w:r w:rsidRPr="0022554A">
              <w:rPr>
                <w:sz w:val="20"/>
              </w:rPr>
              <w:t>16</w:t>
            </w:r>
          </w:p>
        </w:tc>
        <w:tc>
          <w:tcPr>
            <w:tcW w:w="5340" w:type="dxa"/>
          </w:tcPr>
          <w:p w:rsidR="006C319B" w:rsidRPr="006149D3" w:rsidRDefault="006C319B" w:rsidP="006C319B">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701" w:type="dxa"/>
          </w:tcPr>
          <w:p w:rsidR="006C319B" w:rsidRPr="0022554A" w:rsidRDefault="006C319B" w:rsidP="006C319B">
            <w:pPr>
              <w:tabs>
                <w:tab w:val="left" w:pos="5400"/>
              </w:tabs>
              <w:rPr>
                <w:rFonts w:hint="eastAsia"/>
                <w:sz w:val="20"/>
                <w:lang w:eastAsia="zh-CN"/>
              </w:rPr>
            </w:pPr>
          </w:p>
        </w:tc>
        <w:tc>
          <w:tcPr>
            <w:tcW w:w="5386" w:type="dxa"/>
            <w:gridSpan w:val="2"/>
          </w:tcPr>
          <w:p w:rsidR="006C319B" w:rsidRPr="0022554A" w:rsidRDefault="00B30AC8" w:rsidP="006C319B">
            <w:pPr>
              <w:tabs>
                <w:tab w:val="left" w:pos="5400"/>
              </w:tabs>
              <w:rPr>
                <w:sz w:val="20"/>
              </w:rPr>
            </w:pPr>
            <w:r>
              <w:rPr>
                <w:rFonts w:hint="eastAsia"/>
                <w:sz w:val="20"/>
                <w:lang w:eastAsia="zh-CN"/>
              </w:rPr>
              <w:t>N</w:t>
            </w:r>
            <w:r>
              <w:rPr>
                <w:sz w:val="20"/>
                <w:lang w:eastAsia="zh-CN"/>
              </w:rPr>
              <w:t xml:space="preserve">ot </w:t>
            </w:r>
            <w:r w:rsidRPr="006F1254">
              <w:rPr>
                <w:sz w:val="20"/>
              </w:rPr>
              <w:t>applicable</w:t>
            </w:r>
          </w:p>
        </w:tc>
      </w:tr>
      <w:tr w:rsidR="006C319B" w:rsidRPr="0022554A" w:rsidTr="0030708A">
        <w:tc>
          <w:tcPr>
            <w:tcW w:w="0" w:type="auto"/>
            <w:vMerge/>
          </w:tcPr>
          <w:p w:rsidR="006C319B" w:rsidRPr="0022554A" w:rsidRDefault="006C319B" w:rsidP="006C319B">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6C319B" w:rsidRPr="0022554A" w:rsidRDefault="006C319B" w:rsidP="006C319B">
            <w:pPr>
              <w:tabs>
                <w:tab w:val="left" w:pos="5400"/>
              </w:tabs>
              <w:jc w:val="center"/>
              <w:rPr>
                <w:sz w:val="20"/>
              </w:rPr>
            </w:pPr>
          </w:p>
        </w:tc>
        <w:tc>
          <w:tcPr>
            <w:tcW w:w="5340" w:type="dxa"/>
          </w:tcPr>
          <w:p w:rsidR="006C319B" w:rsidRPr="006149D3" w:rsidRDefault="006C319B" w:rsidP="006C319B">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701" w:type="dxa"/>
          </w:tcPr>
          <w:p w:rsidR="006C319B" w:rsidRPr="0022554A" w:rsidRDefault="006C319B" w:rsidP="006C319B">
            <w:pPr>
              <w:tabs>
                <w:tab w:val="left" w:pos="5400"/>
              </w:tabs>
              <w:rPr>
                <w:sz w:val="20"/>
              </w:rPr>
            </w:pPr>
          </w:p>
        </w:tc>
        <w:tc>
          <w:tcPr>
            <w:tcW w:w="5386" w:type="dxa"/>
            <w:gridSpan w:val="2"/>
          </w:tcPr>
          <w:p w:rsidR="006C319B" w:rsidRPr="0022554A" w:rsidRDefault="00B30AC8" w:rsidP="006C319B">
            <w:pPr>
              <w:tabs>
                <w:tab w:val="left" w:pos="5400"/>
              </w:tabs>
              <w:rPr>
                <w:sz w:val="20"/>
              </w:rPr>
            </w:pPr>
            <w:r>
              <w:rPr>
                <w:rFonts w:hint="eastAsia"/>
                <w:sz w:val="20"/>
                <w:lang w:eastAsia="zh-CN"/>
              </w:rPr>
              <w:t>N</w:t>
            </w:r>
            <w:r>
              <w:rPr>
                <w:sz w:val="20"/>
                <w:lang w:eastAsia="zh-CN"/>
              </w:rPr>
              <w:t xml:space="preserve">ot </w:t>
            </w:r>
            <w:r w:rsidRPr="006F1254">
              <w:rPr>
                <w:sz w:val="20"/>
              </w:rPr>
              <w:t>applicable</w:t>
            </w:r>
          </w:p>
        </w:tc>
      </w:tr>
      <w:tr w:rsidR="00B30AC8" w:rsidRPr="0022554A" w:rsidTr="0030708A">
        <w:tc>
          <w:tcPr>
            <w:tcW w:w="0" w:type="auto"/>
            <w:vMerge/>
          </w:tcPr>
          <w:p w:rsidR="00B30AC8" w:rsidRPr="0022554A" w:rsidRDefault="00B30AC8" w:rsidP="00B30AC8">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B30AC8" w:rsidRPr="0022554A" w:rsidRDefault="00B30AC8" w:rsidP="00B30AC8">
            <w:pPr>
              <w:tabs>
                <w:tab w:val="left" w:pos="5400"/>
              </w:tabs>
              <w:jc w:val="center"/>
              <w:rPr>
                <w:sz w:val="20"/>
              </w:rPr>
            </w:pPr>
          </w:p>
        </w:tc>
        <w:tc>
          <w:tcPr>
            <w:tcW w:w="5340" w:type="dxa"/>
          </w:tcPr>
          <w:p w:rsidR="00B30AC8" w:rsidRPr="006149D3" w:rsidRDefault="00B30AC8" w:rsidP="00B30AC8">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701" w:type="dxa"/>
          </w:tcPr>
          <w:p w:rsidR="00B30AC8" w:rsidRPr="0022554A" w:rsidRDefault="00B30AC8" w:rsidP="00B30AC8">
            <w:pPr>
              <w:tabs>
                <w:tab w:val="left" w:pos="5400"/>
              </w:tabs>
              <w:rPr>
                <w:sz w:val="20"/>
              </w:rPr>
            </w:pPr>
          </w:p>
        </w:tc>
        <w:tc>
          <w:tcPr>
            <w:tcW w:w="5386" w:type="dxa"/>
            <w:gridSpan w:val="2"/>
          </w:tcPr>
          <w:p w:rsidR="00B30AC8" w:rsidRPr="0022554A" w:rsidRDefault="00B30AC8" w:rsidP="00B30AC8">
            <w:pPr>
              <w:tabs>
                <w:tab w:val="left" w:pos="5400"/>
              </w:tabs>
              <w:rPr>
                <w:sz w:val="20"/>
              </w:rPr>
            </w:pPr>
            <w:r>
              <w:rPr>
                <w:rFonts w:hint="eastAsia"/>
                <w:sz w:val="20"/>
                <w:lang w:eastAsia="zh-CN"/>
              </w:rPr>
              <w:t>N</w:t>
            </w:r>
            <w:r>
              <w:rPr>
                <w:sz w:val="20"/>
                <w:lang w:eastAsia="zh-CN"/>
              </w:rPr>
              <w:t xml:space="preserve">ot </w:t>
            </w:r>
            <w:r w:rsidRPr="006F1254">
              <w:rPr>
                <w:sz w:val="20"/>
              </w:rPr>
              <w:t>applicable</w:t>
            </w: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338"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5340"/>
        <w:gridCol w:w="1701"/>
        <w:gridCol w:w="4950"/>
        <w:gridCol w:w="436"/>
      </w:tblGrid>
      <w:tr w:rsidR="00191A23" w:rsidRPr="0022554A" w:rsidTr="0030708A">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5340"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701" w:type="dxa"/>
          </w:tcPr>
          <w:p w:rsidR="00191A23" w:rsidRPr="0022554A" w:rsidRDefault="00B30AC8" w:rsidP="00191A23">
            <w:pPr>
              <w:tabs>
                <w:tab w:val="left" w:pos="5400"/>
              </w:tabs>
              <w:rPr>
                <w:rFonts w:hint="eastAsia"/>
                <w:sz w:val="20"/>
                <w:lang w:eastAsia="zh-CN"/>
              </w:rPr>
            </w:pPr>
            <w:r>
              <w:rPr>
                <w:rFonts w:hint="eastAsia"/>
                <w:sz w:val="20"/>
                <w:lang w:eastAsia="zh-CN"/>
              </w:rPr>
              <w:t>6</w:t>
            </w:r>
          </w:p>
        </w:tc>
        <w:tc>
          <w:tcPr>
            <w:tcW w:w="5386" w:type="dxa"/>
            <w:gridSpan w:val="2"/>
          </w:tcPr>
          <w:p w:rsidR="00B30AC8" w:rsidRPr="00B30AC8" w:rsidRDefault="00B30AC8" w:rsidP="00B30AC8">
            <w:pPr>
              <w:tabs>
                <w:tab w:val="left" w:pos="5400"/>
              </w:tabs>
              <w:rPr>
                <w:sz w:val="20"/>
              </w:rPr>
            </w:pPr>
            <w:r w:rsidRPr="00B30AC8">
              <w:rPr>
                <w:sz w:val="20"/>
              </w:rPr>
              <w:t xml:space="preserve">Figure 4 shows the distribution of the ∆D1-6MFT score of the caries-free population, which was positively skewed, with a skewness of 2.00. As in the analysis of all participants, caregivers, household monthly income, frequency of toothbrushing and orthodontic appliances were excluded after the binary analysis cause the P-value of these variables were over 0.5 in all binary tests (Table 4). </w:t>
            </w:r>
          </w:p>
          <w:p w:rsidR="00191A23" w:rsidRPr="0022554A" w:rsidRDefault="00B30AC8" w:rsidP="00B30AC8">
            <w:pPr>
              <w:tabs>
                <w:tab w:val="left" w:pos="5400"/>
              </w:tabs>
              <w:rPr>
                <w:sz w:val="20"/>
              </w:rPr>
            </w:pPr>
            <w:r w:rsidRPr="00B30AC8">
              <w:rPr>
                <w:sz w:val="20"/>
              </w:rPr>
              <w:t>For the multivariate analysis, the result of Vuong’s test showed that the ZINB model was also the best model to fit the data (P=0.049). In the zero-inflated portion, the result shows that male individuals (P=0.001 OR=0.223, 95% CI: 0.089-0.558), and individuals who ate snacks less than once per day (P=0.013 OR=0.387, 95% CI: 0.175-0.853) had a decreased likelihood of developing new caries lesions (Table 5). The ∆D1-6MFT score was related to belonging to a one-child family (P=0.030, IRR=0.606, 95% CI: 0.385-</w:t>
            </w:r>
            <w:r w:rsidRPr="00B30AC8">
              <w:rPr>
                <w:rFonts w:hint="eastAsia"/>
                <w:sz w:val="20"/>
              </w:rPr>
              <w:t>0.954) and the use of fluoride toothpaste (P=0.047, IRR=0.632, 95% CI: 0.401-0.995). In addition, compared to individuals with a low saliva buffering capability (pH&lt;3.5), individuals with a high saliva buffering capability (pH</w:t>
            </w:r>
            <w:r w:rsidRPr="00B30AC8">
              <w:rPr>
                <w:rFonts w:hint="eastAsia"/>
                <w:sz w:val="20"/>
              </w:rPr>
              <w:t>≥</w:t>
            </w:r>
            <w:r w:rsidRPr="00B30AC8">
              <w:rPr>
                <w:rFonts w:hint="eastAsia"/>
                <w:sz w:val="20"/>
              </w:rPr>
              <w:t xml:space="preserve">4.25) had a low </w:t>
            </w:r>
            <w:r w:rsidRPr="00B30AC8">
              <w:rPr>
                <w:rFonts w:hint="eastAsia"/>
                <w:sz w:val="20"/>
              </w:rPr>
              <w:t>△</w:t>
            </w:r>
            <w:r w:rsidRPr="00B30AC8">
              <w:rPr>
                <w:rFonts w:hint="eastAsia"/>
                <w:sz w:val="20"/>
              </w:rPr>
              <w:t>D1-6MFT scor</w:t>
            </w:r>
            <w:r w:rsidRPr="00B30AC8">
              <w:rPr>
                <w:sz w:val="20"/>
              </w:rPr>
              <w:t>e (P=0.025, IRR=0.563, 95% CI: 0.341-0.931).</w:t>
            </w:r>
          </w:p>
        </w:tc>
      </w:tr>
      <w:tr w:rsidR="00976EE1" w:rsidRPr="0022554A" w:rsidTr="0030708A">
        <w:trPr>
          <w:gridAfter w:val="1"/>
          <w:wAfter w:w="436" w:type="dxa"/>
        </w:trPr>
        <w:tc>
          <w:tcPr>
            <w:tcW w:w="1390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30708A">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5340"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701" w:type="dxa"/>
          </w:tcPr>
          <w:p w:rsidR="00191A23" w:rsidRPr="0022554A" w:rsidRDefault="0030708A" w:rsidP="00191A23">
            <w:pPr>
              <w:tabs>
                <w:tab w:val="left" w:pos="5400"/>
              </w:tabs>
              <w:rPr>
                <w:rFonts w:hint="eastAsia"/>
                <w:sz w:val="20"/>
                <w:lang w:eastAsia="zh-CN"/>
              </w:rPr>
            </w:pPr>
            <w:r>
              <w:rPr>
                <w:rFonts w:hint="eastAsia"/>
                <w:sz w:val="20"/>
                <w:lang w:eastAsia="zh-CN"/>
              </w:rPr>
              <w:t>9</w:t>
            </w:r>
          </w:p>
        </w:tc>
        <w:tc>
          <w:tcPr>
            <w:tcW w:w="5386" w:type="dxa"/>
            <w:gridSpan w:val="2"/>
          </w:tcPr>
          <w:p w:rsidR="00191A23" w:rsidRPr="0022554A" w:rsidRDefault="0030708A" w:rsidP="00191A23">
            <w:pPr>
              <w:tabs>
                <w:tab w:val="left" w:pos="5400"/>
              </w:tabs>
              <w:rPr>
                <w:sz w:val="20"/>
              </w:rPr>
            </w:pPr>
            <w:r w:rsidRPr="0030708A">
              <w:rPr>
                <w:sz w:val="20"/>
              </w:rPr>
              <w:t xml:space="preserve">The caries increment in studied adolescents was higher than those in developed countries, indicating more dental public health recourses have to be devoted. Our result suggests that past caries experience is still the strongest predicator for dentin caries. Female individuals, and individuals with a high cariostat score were tend to develop more dentin caries. These factors are suitable to applied to distinguish the high risk individuals. After excluding the influence of past caries experience, the frequency of snack consumption, sex, saliva buffering capability, fluoride </w:t>
            </w:r>
            <w:r w:rsidRPr="0030708A">
              <w:rPr>
                <w:sz w:val="20"/>
              </w:rPr>
              <w:lastRenderedPageBreak/>
              <w:t>toothpaste usage and belonging to a one-child family were risk factors of dental caries.</w:t>
            </w:r>
          </w:p>
        </w:tc>
      </w:tr>
      <w:tr w:rsidR="00191A23" w:rsidRPr="0022554A" w:rsidTr="0030708A">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lastRenderedPageBreak/>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5340"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701" w:type="dxa"/>
          </w:tcPr>
          <w:p w:rsidR="00191A23" w:rsidRPr="0022554A" w:rsidRDefault="00B30AC8" w:rsidP="00191A23">
            <w:pPr>
              <w:tabs>
                <w:tab w:val="left" w:pos="5400"/>
              </w:tabs>
              <w:rPr>
                <w:rFonts w:hint="eastAsia"/>
                <w:sz w:val="20"/>
                <w:lang w:eastAsia="zh-CN"/>
              </w:rPr>
            </w:pPr>
            <w:r>
              <w:rPr>
                <w:rFonts w:hint="eastAsia"/>
                <w:sz w:val="20"/>
                <w:lang w:eastAsia="zh-CN"/>
              </w:rPr>
              <w:t>7</w:t>
            </w:r>
          </w:p>
        </w:tc>
        <w:tc>
          <w:tcPr>
            <w:tcW w:w="5386" w:type="dxa"/>
            <w:gridSpan w:val="2"/>
          </w:tcPr>
          <w:p w:rsidR="00191A23" w:rsidRPr="0022554A" w:rsidRDefault="00B30AC8" w:rsidP="00191A23">
            <w:pPr>
              <w:tabs>
                <w:tab w:val="left" w:pos="5400"/>
              </w:tabs>
              <w:rPr>
                <w:sz w:val="20"/>
              </w:rPr>
            </w:pPr>
            <w:r w:rsidRPr="00B30AC8">
              <w:rPr>
                <w:sz w:val="20"/>
              </w:rPr>
              <w:t>Before taking about the findings, some limitations of the study must be considered. First, the study adopted a multistage cluster sampling technique, which could amplify the sampling error.  Second, the DMFT score, which taken all fillings into consideration was used as the index in the analysis, and that could overestimate the number of caries.</w:t>
            </w:r>
          </w:p>
        </w:tc>
      </w:tr>
      <w:tr w:rsidR="00191A23" w:rsidRPr="0022554A" w:rsidTr="0030708A">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5340"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701" w:type="dxa"/>
          </w:tcPr>
          <w:p w:rsidR="00191A23" w:rsidRPr="0022554A" w:rsidRDefault="00B30AC8" w:rsidP="00191A23">
            <w:pPr>
              <w:tabs>
                <w:tab w:val="left" w:pos="5400"/>
              </w:tabs>
              <w:rPr>
                <w:rFonts w:hint="eastAsia"/>
                <w:sz w:val="20"/>
                <w:lang w:eastAsia="zh-CN"/>
              </w:rPr>
            </w:pPr>
            <w:r>
              <w:rPr>
                <w:rFonts w:hint="eastAsia"/>
                <w:sz w:val="20"/>
                <w:lang w:eastAsia="zh-CN"/>
              </w:rPr>
              <w:t>9</w:t>
            </w:r>
          </w:p>
        </w:tc>
        <w:tc>
          <w:tcPr>
            <w:tcW w:w="5386" w:type="dxa"/>
            <w:gridSpan w:val="2"/>
          </w:tcPr>
          <w:p w:rsidR="00191A23" w:rsidRPr="0022554A" w:rsidRDefault="00B30AC8" w:rsidP="00191A23">
            <w:pPr>
              <w:tabs>
                <w:tab w:val="left" w:pos="5400"/>
              </w:tabs>
              <w:rPr>
                <w:sz w:val="20"/>
              </w:rPr>
            </w:pPr>
            <w:r w:rsidRPr="00B30AC8">
              <w:rPr>
                <w:sz w:val="20"/>
              </w:rPr>
              <w:t>As a result, advocating less snack consumption and promotion of fluoride toothpaste could help to prevent caries, while sex, saliva buffering capability and family children should be indicators to distinguish the high risk individuals. However, the result excluding the influence of past caries experience should be treated with caution cause no X-ray was applied in the caries detection and the proximal initial caries could be neglected, which could cause bias on the result.</w:t>
            </w:r>
          </w:p>
        </w:tc>
      </w:tr>
      <w:tr w:rsidR="00191A23" w:rsidRPr="0022554A" w:rsidTr="0030708A">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5340"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701" w:type="dxa"/>
          </w:tcPr>
          <w:p w:rsidR="00191A23" w:rsidRPr="0022554A" w:rsidRDefault="00191A23" w:rsidP="00191A23">
            <w:pPr>
              <w:tabs>
                <w:tab w:val="left" w:pos="5400"/>
              </w:tabs>
              <w:rPr>
                <w:rFonts w:hint="eastAsia"/>
                <w:sz w:val="20"/>
                <w:lang w:eastAsia="zh-CN"/>
              </w:rPr>
            </w:pPr>
          </w:p>
        </w:tc>
        <w:tc>
          <w:tcPr>
            <w:tcW w:w="5386" w:type="dxa"/>
            <w:gridSpan w:val="2"/>
          </w:tcPr>
          <w:p w:rsidR="00191A23" w:rsidRPr="0022554A" w:rsidRDefault="00B30AC8" w:rsidP="00191A23">
            <w:pPr>
              <w:tabs>
                <w:tab w:val="left" w:pos="5400"/>
              </w:tabs>
              <w:rPr>
                <w:rFonts w:hint="eastAsia"/>
                <w:sz w:val="20"/>
                <w:lang w:eastAsia="zh-CN"/>
              </w:rPr>
            </w:pPr>
            <w:r>
              <w:rPr>
                <w:rFonts w:hint="eastAsia"/>
                <w:sz w:val="20"/>
                <w:lang w:eastAsia="zh-CN"/>
              </w:rPr>
              <w:t>N</w:t>
            </w:r>
            <w:r>
              <w:rPr>
                <w:sz w:val="20"/>
                <w:lang w:eastAsia="zh-CN"/>
              </w:rPr>
              <w:t>ot mentioned</w:t>
            </w:r>
            <w:bookmarkStart w:id="92" w:name="_GoBack"/>
            <w:bookmarkEnd w:id="92"/>
          </w:p>
        </w:tc>
      </w:tr>
      <w:tr w:rsidR="00191A23" w:rsidRPr="0022554A" w:rsidTr="0030708A">
        <w:trPr>
          <w:gridAfter w:val="1"/>
          <w:wAfter w:w="436" w:type="dxa"/>
        </w:trPr>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0"/>
            <w:bookmarkEnd w:id="91"/>
            <w:r w:rsidRPr="0022554A">
              <w:rPr>
                <w:sz w:val="20"/>
              </w:rPr>
              <w:t>Other information</w:t>
            </w:r>
          </w:p>
        </w:tc>
        <w:bookmarkEnd w:id="93"/>
        <w:bookmarkEnd w:id="94"/>
        <w:tc>
          <w:tcPr>
            <w:tcW w:w="11991" w:type="dxa"/>
            <w:gridSpan w:val="3"/>
          </w:tcPr>
          <w:p w:rsidR="00191A23" w:rsidRPr="0022554A" w:rsidRDefault="00191A23" w:rsidP="00191A23">
            <w:pPr>
              <w:pStyle w:val="TableSubHead"/>
              <w:tabs>
                <w:tab w:val="left" w:pos="5400"/>
              </w:tabs>
              <w:rPr>
                <w:sz w:val="20"/>
              </w:rPr>
            </w:pPr>
          </w:p>
        </w:tc>
      </w:tr>
      <w:tr w:rsidR="00191A23" w:rsidRPr="0022554A" w:rsidTr="0030708A">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5340"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701" w:type="dxa"/>
          </w:tcPr>
          <w:p w:rsidR="00191A23" w:rsidRPr="0022554A" w:rsidRDefault="0030708A" w:rsidP="00191A23">
            <w:pPr>
              <w:tabs>
                <w:tab w:val="left" w:pos="5400"/>
              </w:tabs>
              <w:rPr>
                <w:rFonts w:hint="eastAsia"/>
                <w:sz w:val="20"/>
                <w:lang w:eastAsia="zh-CN"/>
              </w:rPr>
            </w:pPr>
            <w:r>
              <w:rPr>
                <w:rFonts w:hint="eastAsia"/>
                <w:sz w:val="20"/>
                <w:lang w:eastAsia="zh-CN"/>
              </w:rPr>
              <w:t>1</w:t>
            </w:r>
            <w:r>
              <w:rPr>
                <w:sz w:val="20"/>
                <w:lang w:eastAsia="zh-CN"/>
              </w:rPr>
              <w:t>0</w:t>
            </w:r>
          </w:p>
        </w:tc>
        <w:tc>
          <w:tcPr>
            <w:tcW w:w="5386" w:type="dxa"/>
            <w:gridSpan w:val="2"/>
          </w:tcPr>
          <w:p w:rsidR="00191A23" w:rsidRPr="0022554A" w:rsidRDefault="0030708A" w:rsidP="00191A23">
            <w:pPr>
              <w:tabs>
                <w:tab w:val="left" w:pos="5400"/>
              </w:tabs>
              <w:rPr>
                <w:sz w:val="20"/>
              </w:rPr>
            </w:pPr>
            <w:r w:rsidRPr="0030708A">
              <w:rPr>
                <w:sz w:val="20"/>
              </w:rPr>
              <w:t>The present study was supported by the National Natural Science Foundation of China (no. 81570967) and China’s Forth National Oral Health Epidemiology Survey (no. 201502002).</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6B" w:rsidRDefault="009C636B">
      <w:r>
        <w:separator/>
      </w:r>
    </w:p>
  </w:endnote>
  <w:endnote w:type="continuationSeparator" w:id="0">
    <w:p w:rsidR="009C636B" w:rsidRDefault="009C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30AC8">
      <w:rPr>
        <w:rStyle w:val="a8"/>
        <w:noProof/>
      </w:rPr>
      <w:t>8</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6B" w:rsidRDefault="009C636B">
      <w:r>
        <w:separator/>
      </w:r>
    </w:p>
  </w:footnote>
  <w:footnote w:type="continuationSeparator" w:id="0">
    <w:p w:rsidR="009C636B" w:rsidRDefault="009C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0708A"/>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0AA"/>
    <w:rsid w:val="006A2F18"/>
    <w:rsid w:val="006A5DD9"/>
    <w:rsid w:val="006B2915"/>
    <w:rsid w:val="006B56D7"/>
    <w:rsid w:val="006C0B63"/>
    <w:rsid w:val="006C319B"/>
    <w:rsid w:val="006C7601"/>
    <w:rsid w:val="006D16AA"/>
    <w:rsid w:val="006F1254"/>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03CA"/>
    <w:rsid w:val="008D225B"/>
    <w:rsid w:val="00921BF8"/>
    <w:rsid w:val="009367F9"/>
    <w:rsid w:val="009642BE"/>
    <w:rsid w:val="00976EE1"/>
    <w:rsid w:val="009872CC"/>
    <w:rsid w:val="009B10F1"/>
    <w:rsid w:val="009B368D"/>
    <w:rsid w:val="009C24D4"/>
    <w:rsid w:val="009C636B"/>
    <w:rsid w:val="009E0429"/>
    <w:rsid w:val="009F5211"/>
    <w:rsid w:val="00A13C96"/>
    <w:rsid w:val="00A42352"/>
    <w:rsid w:val="00A527E4"/>
    <w:rsid w:val="00A5640D"/>
    <w:rsid w:val="00A729D6"/>
    <w:rsid w:val="00A938BF"/>
    <w:rsid w:val="00A94BEC"/>
    <w:rsid w:val="00AB7BC4"/>
    <w:rsid w:val="00AE23EB"/>
    <w:rsid w:val="00AE2C57"/>
    <w:rsid w:val="00AF4615"/>
    <w:rsid w:val="00B30AC8"/>
    <w:rsid w:val="00B50DF8"/>
    <w:rsid w:val="00B54EA0"/>
    <w:rsid w:val="00B60EFB"/>
    <w:rsid w:val="00B65366"/>
    <w:rsid w:val="00B77807"/>
    <w:rsid w:val="00B940E9"/>
    <w:rsid w:val="00BA1206"/>
    <w:rsid w:val="00BC7FE6"/>
    <w:rsid w:val="00BE102B"/>
    <w:rsid w:val="00BE3709"/>
    <w:rsid w:val="00C207B5"/>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E6EB8B"/>
  <w15:docId w15:val="{D3BB7B44-33F8-47B0-BD06-1E96DC9A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45</TotalTime>
  <Pages>8</Pages>
  <Words>2105</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834875067@qq.com</cp:lastModifiedBy>
  <cp:revision>8</cp:revision>
  <cp:lastPrinted>2014-09-01T08:36:00Z</cp:lastPrinted>
  <dcterms:created xsi:type="dcterms:W3CDTF">2014-09-01T14:20:00Z</dcterms:created>
  <dcterms:modified xsi:type="dcterms:W3CDTF">2020-04-10T10:31:00Z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