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F7430" w14:textId="77777777" w:rsidR="00AE1611" w:rsidRPr="00A24933" w:rsidRDefault="00AE1611" w:rsidP="00AE1611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A24933">
        <w:rPr>
          <w:rFonts w:asciiTheme="majorBidi" w:hAnsiTheme="majorBidi" w:cstheme="majorBidi"/>
          <w:i/>
          <w:iCs/>
          <w:sz w:val="24"/>
          <w:szCs w:val="24"/>
        </w:rPr>
        <w:t>Frontiers in Immunology</w:t>
      </w:r>
    </w:p>
    <w:p w14:paraId="67B919FF" w14:textId="77777777" w:rsidR="00AE1611" w:rsidRDefault="00AE1611" w:rsidP="00AE161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43272D32" w14:textId="77777777" w:rsidR="00AE1611" w:rsidRPr="00AE1611" w:rsidRDefault="00AE1611" w:rsidP="00AE1611">
      <w:pPr>
        <w:spacing w:after="0" w:line="480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AE1611">
        <w:rPr>
          <w:rFonts w:asciiTheme="majorBidi" w:hAnsiTheme="majorBidi" w:cstheme="majorBidi"/>
          <w:sz w:val="24"/>
          <w:szCs w:val="24"/>
          <w:u w:val="single"/>
        </w:rPr>
        <w:t>Supplementary information</w:t>
      </w:r>
    </w:p>
    <w:p w14:paraId="50FD9DAC" w14:textId="77777777" w:rsidR="00AE1611" w:rsidRPr="00A24933" w:rsidRDefault="00AE1611" w:rsidP="00AE1611">
      <w:pPr>
        <w:spacing w:after="0" w:line="48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Androgen-influenced polarization of activin A-producing macrophages accompanies post-pyelonephritic </w:t>
      </w:r>
      <w:r w:rsidRPr="00A24933">
        <w:rPr>
          <w:rFonts w:asciiTheme="majorBidi" w:hAnsiTheme="majorBidi" w:cstheme="majorBidi"/>
          <w:sz w:val="32"/>
          <w:szCs w:val="32"/>
        </w:rPr>
        <w:t xml:space="preserve">renal scarring </w:t>
      </w:r>
    </w:p>
    <w:p w14:paraId="2C96A667" w14:textId="77777777" w:rsidR="00AE1611" w:rsidRPr="00A24933" w:rsidRDefault="00AE1611" w:rsidP="00AE161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6D60DFB" w14:textId="77777777" w:rsidR="00CD7693" w:rsidRDefault="00AE1611" w:rsidP="00CD7693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A24933">
        <w:rPr>
          <w:rFonts w:asciiTheme="majorBidi" w:hAnsiTheme="majorBidi" w:cstheme="majorBidi"/>
          <w:sz w:val="24"/>
          <w:szCs w:val="24"/>
        </w:rPr>
        <w:t>Teri N. Hreha,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24933">
        <w:rPr>
          <w:rFonts w:asciiTheme="majorBidi" w:hAnsiTheme="majorBidi" w:cstheme="majorBidi"/>
          <w:sz w:val="24"/>
          <w:szCs w:val="24"/>
        </w:rPr>
        <w:t xml:space="preserve"> Christina A. Collins,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24933">
        <w:rPr>
          <w:rFonts w:asciiTheme="majorBidi" w:hAnsiTheme="majorBidi" w:cstheme="majorBidi"/>
          <w:sz w:val="24"/>
          <w:szCs w:val="24"/>
        </w:rPr>
        <w:t xml:space="preserve"> Allyssa L. Daugherty,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24933">
        <w:rPr>
          <w:rFonts w:asciiTheme="majorBidi" w:hAnsiTheme="majorBidi" w:cstheme="majorBidi"/>
          <w:sz w:val="24"/>
          <w:szCs w:val="24"/>
        </w:rPr>
        <w:t xml:space="preserve"> </w:t>
      </w:r>
      <w:r w:rsidR="009A2999">
        <w:rPr>
          <w:rFonts w:asciiTheme="majorBidi" w:hAnsiTheme="majorBidi" w:cstheme="majorBidi"/>
          <w:sz w:val="24"/>
          <w:szCs w:val="24"/>
        </w:rPr>
        <w:t>Jessie M. Griffith,</w:t>
      </w:r>
      <w:r w:rsidR="009A2999" w:rsidRPr="009A2999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9A2999">
        <w:rPr>
          <w:rFonts w:asciiTheme="majorBidi" w:hAnsiTheme="majorBidi" w:cstheme="majorBidi"/>
          <w:sz w:val="24"/>
          <w:szCs w:val="24"/>
        </w:rPr>
        <w:t xml:space="preserve"> </w:t>
      </w:r>
    </w:p>
    <w:p w14:paraId="2A7A8BDF" w14:textId="43DF4139" w:rsidR="00AE1611" w:rsidRDefault="00AE1611" w:rsidP="00CD7693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A24933">
        <w:rPr>
          <w:rFonts w:asciiTheme="majorBidi" w:hAnsiTheme="majorBidi" w:cstheme="majorBidi"/>
          <w:sz w:val="24"/>
          <w:szCs w:val="24"/>
        </w:rPr>
        <w:t>Keith A. Hruska,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1,2</w:t>
      </w:r>
      <w:r w:rsidRPr="00A24933">
        <w:rPr>
          <w:rFonts w:asciiTheme="majorBidi" w:hAnsiTheme="majorBidi" w:cstheme="majorBidi"/>
          <w:sz w:val="24"/>
          <w:szCs w:val="24"/>
        </w:rPr>
        <w:t xml:space="preserve"> and David A. Hunstad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1,3</w:t>
      </w:r>
      <w:r w:rsidRPr="00A24933">
        <w:rPr>
          <w:rFonts w:asciiTheme="majorBidi" w:hAnsiTheme="majorBidi" w:cstheme="majorBidi"/>
          <w:sz w:val="24"/>
          <w:szCs w:val="24"/>
        </w:rPr>
        <w:t>*</w:t>
      </w:r>
    </w:p>
    <w:p w14:paraId="3A54A44E" w14:textId="77777777" w:rsidR="007E646E" w:rsidRPr="00A24933" w:rsidRDefault="007E646E" w:rsidP="00AE161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5C302A50" w14:textId="77777777" w:rsidR="007E646E" w:rsidRPr="00A24933" w:rsidRDefault="007E646E" w:rsidP="007E646E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A24933">
        <w:rPr>
          <w:rFonts w:asciiTheme="majorBidi" w:hAnsiTheme="majorBidi" w:cstheme="majorBidi"/>
          <w:sz w:val="24"/>
          <w:szCs w:val="24"/>
        </w:rPr>
        <w:t xml:space="preserve">Departments of 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24933">
        <w:rPr>
          <w:rFonts w:asciiTheme="majorBidi" w:hAnsiTheme="majorBidi" w:cstheme="majorBidi"/>
          <w:sz w:val="24"/>
          <w:szCs w:val="24"/>
        </w:rPr>
        <w:t xml:space="preserve">Pediatrics, 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A24933">
        <w:rPr>
          <w:rFonts w:asciiTheme="majorBidi" w:hAnsiTheme="majorBidi" w:cstheme="majorBidi"/>
          <w:sz w:val="24"/>
          <w:szCs w:val="24"/>
        </w:rPr>
        <w:t xml:space="preserve">Cell Biology and Physiology, and </w:t>
      </w:r>
      <w:r w:rsidRPr="00A249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A24933">
        <w:rPr>
          <w:rFonts w:asciiTheme="majorBidi" w:hAnsiTheme="majorBidi" w:cstheme="majorBidi"/>
          <w:sz w:val="24"/>
          <w:szCs w:val="24"/>
        </w:rPr>
        <w:t>Molecular Microbiology, Washington University School of Medicine, St. Louis, MO</w:t>
      </w:r>
    </w:p>
    <w:p w14:paraId="3ED42112" w14:textId="77777777" w:rsidR="00AE1611" w:rsidRPr="00622D8A" w:rsidRDefault="00AE1611" w:rsidP="00AE161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B05797E" w14:textId="77777777" w:rsidR="00AE1611" w:rsidRDefault="00AE1611" w:rsidP="00AE1611"/>
    <w:p w14:paraId="4C12BB54" w14:textId="77777777" w:rsidR="00AE1611" w:rsidRPr="00AE1611" w:rsidRDefault="00AE1611">
      <w:r>
        <w:br w:type="page"/>
      </w:r>
    </w:p>
    <w:p w14:paraId="05A9565E" w14:textId="77777777" w:rsidR="00B34235" w:rsidRDefault="00D925C1" w:rsidP="007E646E">
      <w:pPr>
        <w:jc w:val="center"/>
        <w:rPr>
          <w:rFonts w:ascii="Calibri" w:hAnsi="Calibri" w:cs="Calibri"/>
          <w:color w:val="000000"/>
        </w:rPr>
      </w:pPr>
      <w:r w:rsidRPr="00D925C1"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4A0866EE" wp14:editId="122FFC22">
            <wp:extent cx="4374812" cy="7696200"/>
            <wp:effectExtent l="0" t="0" r="6985" b="0"/>
            <wp:docPr id="1" name="Picture 1" descr="\\storage1.ris.wustl.edu\dhunstad\Active\TH\aaa\Activin A by M2 macs\FI comments\Fig S1 TH 031020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1.ris.wustl.edu\dhunstad\Active\TH\aaa\Activin A by M2 macs\FI comments\Fig S1 TH 031020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62" cy="770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3879" w14:textId="77777777" w:rsidR="009A2999" w:rsidRDefault="00B34235" w:rsidP="007E646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34235">
        <w:rPr>
          <w:rFonts w:ascii="Times New Roman" w:hAnsi="Times New Roman" w:cs="Times New Roman"/>
          <w:b/>
          <w:color w:val="000000"/>
          <w:sz w:val="24"/>
          <w:szCs w:val="24"/>
        </w:rPr>
        <w:t>Figure S1.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Representative gating scheme for the flow cytometric analysis of (A) macrophage populations and (B) kidney cell populations used in this study.</w:t>
      </w:r>
    </w:p>
    <w:p w14:paraId="4AF5B321" w14:textId="77777777" w:rsidR="009A2999" w:rsidRDefault="009A2999" w:rsidP="007E646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40BF65B" w14:textId="77777777" w:rsidR="009A2999" w:rsidRDefault="009A2999" w:rsidP="007E646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04CE0D" wp14:editId="30EC94D9">
            <wp:extent cx="5438775" cy="2790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663D" w14:textId="4734F386" w:rsidR="009A2999" w:rsidRDefault="009A2999" w:rsidP="0038505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A299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S2. </w:t>
      </w:r>
      <w:r>
        <w:rPr>
          <w:rFonts w:ascii="Times New Roman" w:hAnsi="Times New Roman" w:cs="Times New Roman"/>
          <w:color w:val="000000"/>
          <w:sz w:val="24"/>
          <w:szCs w:val="24"/>
        </w:rPr>
        <w:t>CD80+ M1macrophages (fuchsia) and CD206+ M2a (green) macrophages localized near Gli1+ activated myofibroblasts (white)</w:t>
      </w:r>
      <w:r w:rsidR="00CD7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5051">
        <w:rPr>
          <w:rFonts w:ascii="Times New Roman" w:hAnsi="Times New Roman" w:cs="Times New Roman"/>
          <w:color w:val="000000"/>
          <w:sz w:val="24"/>
          <w:szCs w:val="24"/>
        </w:rPr>
        <w:t>14</w:t>
      </w:r>
      <w:bookmarkStart w:id="0" w:name="_GoBack"/>
      <w:bookmarkEnd w:id="0"/>
      <w:r w:rsidR="00CD7693">
        <w:rPr>
          <w:rFonts w:ascii="Times New Roman" w:hAnsi="Times New Roman" w:cs="Times New Roman"/>
          <w:color w:val="000000"/>
          <w:sz w:val="24"/>
          <w:szCs w:val="24"/>
        </w:rPr>
        <w:t xml:space="preserve"> dpi in </w:t>
      </w:r>
      <w:r w:rsidR="00CD7693">
        <w:rPr>
          <w:rFonts w:ascii="Times New Roman" w:hAnsi="Times New Roman" w:cs="Times New Roman"/>
          <w:sz w:val="24"/>
          <w:szCs w:val="24"/>
        </w:rPr>
        <w:t>Gli1-tdTomato</w:t>
      </w:r>
      <w:r w:rsidR="00CD7693" w:rsidRPr="005027A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D769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CD7693">
        <w:rPr>
          <w:rFonts w:ascii="Times New Roman" w:hAnsi="Times New Roman" w:cs="Times New Roman"/>
          <w:sz w:val="24"/>
          <w:szCs w:val="24"/>
        </w:rPr>
        <w:t>mice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Nuclei are stained </w:t>
      </w:r>
      <w:r w:rsidR="00CD7693">
        <w:rPr>
          <w:rFonts w:ascii="Times New Roman" w:hAnsi="Times New Roman" w:cs="Times New Roman"/>
          <w:color w:val="000000"/>
          <w:sz w:val="24"/>
          <w:szCs w:val="24"/>
        </w:rPr>
        <w:t>with DAPI (</w:t>
      </w:r>
      <w:r>
        <w:rPr>
          <w:rFonts w:ascii="Times New Roman" w:hAnsi="Times New Roman" w:cs="Times New Roman"/>
          <w:color w:val="000000"/>
          <w:sz w:val="24"/>
          <w:szCs w:val="24"/>
        </w:rPr>
        <w:t>blue</w:t>
      </w:r>
      <w:r w:rsidR="00CD7693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Scale bar represents 20 </w:t>
      </w:r>
      <w:r w:rsidR="00CD7693">
        <w:rPr>
          <w:rFonts w:ascii="Times New Roman" w:hAnsi="Times New Roman" w:cs="Times New Roman"/>
          <w:color w:val="000000"/>
          <w:sz w:val="24"/>
          <w:szCs w:val="24"/>
        </w:rPr>
        <w:t>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m. </w:t>
      </w:r>
    </w:p>
    <w:p w14:paraId="4B85245C" w14:textId="77777777" w:rsidR="009A2999" w:rsidRDefault="009A2999" w:rsidP="007E64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890633" w14:textId="77777777" w:rsidR="009A2999" w:rsidRDefault="009A2999" w:rsidP="007E646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19F772" w14:textId="4DD0C100" w:rsidR="007E646E" w:rsidRPr="009A2999" w:rsidRDefault="007E646E" w:rsidP="00CD769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569E3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569E3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Primers used for qPCR</w:t>
      </w:r>
    </w:p>
    <w:tbl>
      <w:tblPr>
        <w:tblStyle w:val="TableGrid"/>
        <w:tblpPr w:leftFromText="180" w:rightFromText="180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859"/>
        <w:gridCol w:w="1136"/>
        <w:gridCol w:w="3703"/>
        <w:gridCol w:w="3652"/>
      </w:tblGrid>
      <w:tr w:rsidR="00B34235" w:rsidRPr="003823FD" w14:paraId="01D77CF4" w14:textId="77777777" w:rsidTr="00B34235">
        <w:tc>
          <w:tcPr>
            <w:tcW w:w="948" w:type="dxa"/>
          </w:tcPr>
          <w:p w14:paraId="1536980C" w14:textId="77777777" w:rsidR="00B34235" w:rsidRPr="003823FD" w:rsidRDefault="00B34235" w:rsidP="00B34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3FD">
              <w:rPr>
                <w:rFonts w:ascii="Times New Roman" w:hAnsi="Times New Roman" w:cs="Times New Roman"/>
                <w:b/>
                <w:sz w:val="24"/>
                <w:szCs w:val="24"/>
              </w:rPr>
              <w:t>Gene</w:t>
            </w:r>
          </w:p>
        </w:tc>
        <w:tc>
          <w:tcPr>
            <w:tcW w:w="1190" w:type="dxa"/>
          </w:tcPr>
          <w:p w14:paraId="6A73D0B6" w14:textId="77777777" w:rsidR="00B34235" w:rsidRPr="003823FD" w:rsidRDefault="00B34235" w:rsidP="00B34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Encoded Protein</w:t>
            </w:r>
          </w:p>
        </w:tc>
        <w:tc>
          <w:tcPr>
            <w:tcW w:w="3910" w:type="dxa"/>
          </w:tcPr>
          <w:p w14:paraId="781AB37A" w14:textId="77777777" w:rsidR="00B34235" w:rsidRDefault="00B34235" w:rsidP="00B34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3FD">
              <w:rPr>
                <w:rFonts w:ascii="Times New Roman" w:hAnsi="Times New Roman" w:cs="Times New Roman"/>
                <w:b/>
                <w:sz w:val="24"/>
                <w:szCs w:val="24"/>
              </w:rPr>
              <w:t>Forward Primer Sequence</w:t>
            </w:r>
          </w:p>
          <w:p w14:paraId="33643599" w14:textId="77777777" w:rsidR="00AC69EF" w:rsidRPr="003823FD" w:rsidRDefault="00AC69EF" w:rsidP="00B34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(5’ </w:t>
            </w:r>
            <w:r w:rsidRPr="00AC69EF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3’)</w:t>
            </w:r>
          </w:p>
        </w:tc>
        <w:tc>
          <w:tcPr>
            <w:tcW w:w="3856" w:type="dxa"/>
          </w:tcPr>
          <w:p w14:paraId="2669062D" w14:textId="77777777" w:rsidR="00B34235" w:rsidRDefault="00B34235" w:rsidP="00B34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3FD">
              <w:rPr>
                <w:rFonts w:ascii="Times New Roman" w:hAnsi="Times New Roman" w:cs="Times New Roman"/>
                <w:b/>
                <w:sz w:val="24"/>
                <w:szCs w:val="24"/>
              </w:rPr>
              <w:t>Reverse Primer Sequence</w:t>
            </w:r>
          </w:p>
          <w:p w14:paraId="261EACCA" w14:textId="77777777" w:rsidR="00AC69EF" w:rsidRPr="003823FD" w:rsidRDefault="00AC69EF" w:rsidP="00B34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(5’ </w:t>
            </w:r>
            <w:r w:rsidRPr="00AC69EF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3’)</w:t>
            </w:r>
          </w:p>
        </w:tc>
      </w:tr>
      <w:tr w:rsidR="00B34235" w:rsidRPr="003823FD" w14:paraId="5EC1EB01" w14:textId="77777777" w:rsidTr="00B34235">
        <w:tc>
          <w:tcPr>
            <w:tcW w:w="948" w:type="dxa"/>
          </w:tcPr>
          <w:p w14:paraId="42E15FA0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32D98">
              <w:rPr>
                <w:rFonts w:ascii="Times New Roman" w:hAnsi="Times New Roman" w:cs="Times New Roman"/>
                <w:i/>
              </w:rPr>
              <w:t>Gapdh</w:t>
            </w:r>
          </w:p>
        </w:tc>
        <w:tc>
          <w:tcPr>
            <w:tcW w:w="1190" w:type="dxa"/>
          </w:tcPr>
          <w:p w14:paraId="5B1E65CD" w14:textId="77777777" w:rsidR="00B34235" w:rsidRPr="00A32D98" w:rsidRDefault="00B34235" w:rsidP="00AC69E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A32D98">
              <w:rPr>
                <w:rFonts w:ascii="Times New Roman" w:hAnsi="Times New Roman" w:cs="Times New Roman"/>
                <w:shd w:val="clear" w:color="auto" w:fill="FFFFFF"/>
              </w:rPr>
              <w:t>G</w:t>
            </w:r>
            <w:r w:rsidR="00AC69EF">
              <w:rPr>
                <w:rFonts w:ascii="Times New Roman" w:hAnsi="Times New Roman" w:cs="Times New Roman"/>
                <w:shd w:val="clear" w:color="auto" w:fill="FFFFFF"/>
              </w:rPr>
              <w:t>apdh</w:t>
            </w:r>
          </w:p>
        </w:tc>
        <w:tc>
          <w:tcPr>
            <w:tcW w:w="3910" w:type="dxa"/>
          </w:tcPr>
          <w:p w14:paraId="383450CD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  <w:shd w:val="clear" w:color="auto" w:fill="FFFFFF"/>
              </w:rPr>
              <w:t>TGTTACCAACTGGGACGACA</w:t>
            </w:r>
          </w:p>
        </w:tc>
        <w:tc>
          <w:tcPr>
            <w:tcW w:w="3856" w:type="dxa"/>
          </w:tcPr>
          <w:p w14:paraId="4A0C8E75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  <w:shd w:val="clear" w:color="auto" w:fill="FFFFFF"/>
              </w:rPr>
              <w:t>GGGGTGTTGAAGGTCTCAAA</w:t>
            </w:r>
          </w:p>
        </w:tc>
      </w:tr>
      <w:tr w:rsidR="00B34235" w:rsidRPr="003823FD" w14:paraId="5604F920" w14:textId="77777777" w:rsidTr="00B34235">
        <w:tc>
          <w:tcPr>
            <w:tcW w:w="948" w:type="dxa"/>
          </w:tcPr>
          <w:p w14:paraId="506170A9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32D98">
              <w:rPr>
                <w:rFonts w:ascii="Times New Roman" w:hAnsi="Times New Roman" w:cs="Times New Roman"/>
                <w:i/>
              </w:rPr>
              <w:t>Inhba</w:t>
            </w:r>
          </w:p>
        </w:tc>
        <w:tc>
          <w:tcPr>
            <w:tcW w:w="1190" w:type="dxa"/>
          </w:tcPr>
          <w:p w14:paraId="452BE16E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</w:rPr>
              <w:t>Activin A</w:t>
            </w:r>
          </w:p>
        </w:tc>
        <w:tc>
          <w:tcPr>
            <w:tcW w:w="3910" w:type="dxa"/>
          </w:tcPr>
          <w:p w14:paraId="3F74113A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</w:rPr>
              <w:t>GGAGATAGAGGACGACATTGGC</w:t>
            </w:r>
          </w:p>
        </w:tc>
        <w:tc>
          <w:tcPr>
            <w:tcW w:w="3856" w:type="dxa"/>
          </w:tcPr>
          <w:p w14:paraId="62C5B6DC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  <w:shd w:val="clear" w:color="auto" w:fill="FFFFFF"/>
              </w:rPr>
              <w:t>ACGCTCCACTACTGACAGGTCA</w:t>
            </w:r>
          </w:p>
        </w:tc>
      </w:tr>
      <w:tr w:rsidR="00B34235" w:rsidRPr="003823FD" w14:paraId="7379CBD6" w14:textId="77777777" w:rsidTr="00B34235">
        <w:tc>
          <w:tcPr>
            <w:tcW w:w="948" w:type="dxa"/>
          </w:tcPr>
          <w:p w14:paraId="17D62D59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32D98">
              <w:rPr>
                <w:rFonts w:ascii="Times New Roman" w:hAnsi="Times New Roman" w:cs="Times New Roman"/>
                <w:i/>
              </w:rPr>
              <w:t>Fst</w:t>
            </w:r>
          </w:p>
        </w:tc>
        <w:tc>
          <w:tcPr>
            <w:tcW w:w="1190" w:type="dxa"/>
          </w:tcPr>
          <w:p w14:paraId="0E967851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</w:rPr>
              <w:t>Follistatin</w:t>
            </w:r>
          </w:p>
        </w:tc>
        <w:tc>
          <w:tcPr>
            <w:tcW w:w="3910" w:type="dxa"/>
          </w:tcPr>
          <w:p w14:paraId="3D926BC1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</w:rPr>
              <w:t>GCCAGTGACAATGCCACATACG</w:t>
            </w:r>
          </w:p>
        </w:tc>
        <w:tc>
          <w:tcPr>
            <w:tcW w:w="3856" w:type="dxa"/>
          </w:tcPr>
          <w:p w14:paraId="353CAB06" w14:textId="77777777" w:rsidR="00B34235" w:rsidRPr="00A32D98" w:rsidRDefault="00B34235" w:rsidP="00B34235">
            <w:pPr>
              <w:jc w:val="center"/>
              <w:rPr>
                <w:rFonts w:ascii="Times New Roman" w:hAnsi="Times New Roman" w:cs="Times New Roman"/>
              </w:rPr>
            </w:pPr>
            <w:r w:rsidRPr="00A32D98">
              <w:rPr>
                <w:rFonts w:ascii="Times New Roman" w:hAnsi="Times New Roman" w:cs="Times New Roman"/>
              </w:rPr>
              <w:t>CTTCCTCCGTTTCTTCCGAGATG</w:t>
            </w:r>
          </w:p>
        </w:tc>
      </w:tr>
    </w:tbl>
    <w:p w14:paraId="0663DA1A" w14:textId="77777777" w:rsidR="00B34235" w:rsidRDefault="00B34235" w:rsidP="000569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B2D0FE" w14:textId="77777777" w:rsidR="000569E3" w:rsidRPr="003823FD" w:rsidRDefault="000569E3">
      <w:pPr>
        <w:rPr>
          <w:rFonts w:ascii="Times New Roman" w:hAnsi="Times New Roman" w:cs="Times New Roman"/>
          <w:sz w:val="24"/>
          <w:szCs w:val="24"/>
        </w:rPr>
      </w:pPr>
    </w:p>
    <w:sectPr w:rsidR="000569E3" w:rsidRPr="003823FD" w:rsidSect="007E6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3FD"/>
    <w:rsid w:val="000569E3"/>
    <w:rsid w:val="001F6C8D"/>
    <w:rsid w:val="003823FD"/>
    <w:rsid w:val="00385051"/>
    <w:rsid w:val="007E646E"/>
    <w:rsid w:val="008C0007"/>
    <w:rsid w:val="009A2999"/>
    <w:rsid w:val="00A32D98"/>
    <w:rsid w:val="00AC69EF"/>
    <w:rsid w:val="00AE1611"/>
    <w:rsid w:val="00B34235"/>
    <w:rsid w:val="00CD7693"/>
    <w:rsid w:val="00D90CEF"/>
    <w:rsid w:val="00D925C1"/>
    <w:rsid w:val="00FD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51243"/>
  <w15:chartTrackingRefBased/>
  <w15:docId w15:val="{2CEF936A-0CDF-4007-99ED-371C784F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2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D76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6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76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6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6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6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Hreha, Teri</dc:creator>
  <cp:keywords/>
  <dc:description/>
  <cp:lastModifiedBy>Hunstad, David</cp:lastModifiedBy>
  <cp:revision>3</cp:revision>
  <dcterms:created xsi:type="dcterms:W3CDTF">2020-03-26T22:45:00Z</dcterms:created>
  <dcterms:modified xsi:type="dcterms:W3CDTF">2020-03-26T23:05:00Z</dcterms:modified>
</cp:coreProperties>
</file>