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CFBDC" w14:textId="77777777" w:rsidR="00A35526" w:rsidRPr="00EA7CF2" w:rsidRDefault="00B0308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A7CF2">
        <w:rPr>
          <w:rFonts w:asciiTheme="majorBidi" w:hAnsiTheme="majorBidi" w:cstheme="majorBidi"/>
          <w:b/>
          <w:bCs/>
          <w:sz w:val="24"/>
          <w:szCs w:val="24"/>
        </w:rPr>
        <w:t>Supplementary material</w:t>
      </w:r>
    </w:p>
    <w:p w14:paraId="78B70D92" w14:textId="77777777" w:rsidR="00B03082" w:rsidRPr="00EA7CF2" w:rsidRDefault="00B03082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1909466" w14:textId="77777777" w:rsidR="00B03082" w:rsidRPr="00EA7CF2" w:rsidRDefault="00B56B0E" w:rsidP="00B56B0E">
      <w:r w:rsidRPr="00EA7CF2">
        <w:rPr>
          <w:noProof/>
        </w:rPr>
        <w:drawing>
          <wp:inline distT="0" distB="0" distL="0" distR="0" wp14:anchorId="230E09F4" wp14:editId="6CA0A8E2">
            <wp:extent cx="5251238" cy="3927101"/>
            <wp:effectExtent l="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7606" r="3741"/>
                    <a:stretch/>
                  </pic:blipFill>
                  <pic:spPr>
                    <a:xfrm>
                      <a:off x="0" y="0"/>
                      <a:ext cx="5251238" cy="392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9D85C" w14:textId="77777777" w:rsidR="00B03082" w:rsidRPr="00B03082" w:rsidRDefault="00B03082" w:rsidP="00B56B0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A7CF2">
        <w:rPr>
          <w:rFonts w:ascii="Times New Roman" w:hAnsi="Times New Roman" w:cs="Times New Roman"/>
          <w:bCs/>
          <w:iCs/>
          <w:sz w:val="24"/>
          <w:szCs w:val="24"/>
        </w:rPr>
        <w:t xml:space="preserve">Figure S1. Cytotoxicity </w:t>
      </w:r>
      <w:r w:rsidR="00B56B0E" w:rsidRPr="00EA7CF2">
        <w:rPr>
          <w:rFonts w:ascii="Times New Roman" w:hAnsi="Times New Roman" w:cs="Times New Roman"/>
          <w:bCs/>
          <w:iCs/>
          <w:sz w:val="24"/>
          <w:szCs w:val="24"/>
        </w:rPr>
        <w:t>assessment</w:t>
      </w:r>
      <w:r w:rsidRPr="00EA7CF2">
        <w:rPr>
          <w:rFonts w:ascii="Times New Roman" w:hAnsi="Times New Roman" w:cs="Times New Roman"/>
          <w:bCs/>
          <w:iCs/>
          <w:sz w:val="24"/>
          <w:szCs w:val="24"/>
        </w:rPr>
        <w:t xml:space="preserve"> by MTT assay </w:t>
      </w:r>
      <w:r w:rsidR="00B56B0E" w:rsidRPr="00EA7CF2">
        <w:rPr>
          <w:rFonts w:ascii="Times New Roman" w:hAnsi="Times New Roman" w:cs="Times New Roman"/>
          <w:bCs/>
          <w:iCs/>
          <w:sz w:val="24"/>
          <w:szCs w:val="24"/>
        </w:rPr>
        <w:t>in</w:t>
      </w:r>
      <w:r w:rsidRPr="00EA7CF2">
        <w:rPr>
          <w:rFonts w:ascii="Times New Roman" w:hAnsi="Times New Roman" w:cs="Times New Roman"/>
          <w:bCs/>
          <w:iCs/>
          <w:sz w:val="24"/>
          <w:szCs w:val="24"/>
        </w:rPr>
        <w:t xml:space="preserve"> HEK293</w:t>
      </w:r>
      <w:r w:rsidR="00B56B0E" w:rsidRPr="00EA7CF2">
        <w:rPr>
          <w:rFonts w:ascii="Times New Roman" w:hAnsi="Times New Roman" w:cs="Times New Roman"/>
          <w:bCs/>
          <w:iCs/>
          <w:sz w:val="24"/>
          <w:szCs w:val="24"/>
        </w:rPr>
        <w:t xml:space="preserve"> cell line</w:t>
      </w:r>
    </w:p>
    <w:sectPr w:rsidR="00B03082" w:rsidRPr="00B0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82"/>
    <w:rsid w:val="001B5EE4"/>
    <w:rsid w:val="00A35526"/>
    <w:rsid w:val="00B03082"/>
    <w:rsid w:val="00B56B0E"/>
    <w:rsid w:val="00E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1CBD39"/>
  <w15:chartTrackingRefBased/>
  <w15:docId w15:val="{D47DA812-DCF2-4DFC-B939-4243FDEB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Naimeng Liu</cp:lastModifiedBy>
  <cp:revision>3</cp:revision>
  <dcterms:created xsi:type="dcterms:W3CDTF">2020-06-17T21:18:00Z</dcterms:created>
  <dcterms:modified xsi:type="dcterms:W3CDTF">2020-07-08T11:21:00Z</dcterms:modified>
</cp:coreProperties>
</file>