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both"/>
        <w:outlineLvl w:val="0"/>
        <w:rPr>
          <w:rFonts w:eastAsia="宋体"/>
          <w:b/>
          <w:sz w:val="24"/>
        </w:rPr>
      </w:pPr>
      <w:r>
        <w:rPr>
          <w:rFonts w:eastAsia="宋体"/>
          <w:b/>
          <w:sz w:val="24"/>
        </w:rPr>
        <w:t>Supplementary Figure 1</w:t>
      </w:r>
    </w:p>
    <w:p>
      <w:pPr>
        <w:adjustRightInd w:val="0"/>
        <w:snapToGrid w:val="0"/>
        <w:jc w:val="both"/>
        <w:outlineLvl w:val="0"/>
        <w:rPr>
          <w:rFonts w:eastAsia="宋体"/>
          <w:b/>
          <w:sz w:val="24"/>
        </w:rPr>
      </w:pPr>
    </w:p>
    <w:p>
      <w:pPr>
        <w:adjustRightInd w:val="0"/>
        <w:snapToGrid w:val="0"/>
        <w:jc w:val="both"/>
        <w:rPr>
          <w:sz w:val="24"/>
        </w:rPr>
      </w:pPr>
      <w:r>
        <w:rPr>
          <w:sz w:val="24"/>
        </w:rPr>
        <w:drawing>
          <wp:inline distT="0" distB="0" distL="0" distR="0">
            <wp:extent cx="5270500" cy="2528570"/>
            <wp:effectExtent l="0" t="0" r="635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both"/>
        <w:rPr>
          <w:sz w:val="24"/>
        </w:rPr>
      </w:pPr>
    </w:p>
    <w:p>
      <w:pPr>
        <w:widowControl w:val="0"/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SUPPLEMENTARY FIGURE 1 | Interaction between MLO</w:t>
      </w:r>
      <w:r>
        <w:rPr>
          <w:rFonts w:hint="eastAsia" w:eastAsia="宋体"/>
          <w:sz w:val="24"/>
          <w:lang w:val="en-US" w:eastAsia="zh-CN"/>
        </w:rPr>
        <w:t>10</w:t>
      </w:r>
      <w:r>
        <w:rPr>
          <w:sz w:val="24"/>
        </w:rPr>
        <w:t xml:space="preserve"> and CaMs/CMLs. Co-expression MLO</w:t>
      </w:r>
      <w:r>
        <w:rPr>
          <w:rFonts w:hint="eastAsia" w:eastAsia="宋体"/>
          <w:sz w:val="24"/>
          <w:lang w:val="en-US" w:eastAsia="zh-CN"/>
        </w:rPr>
        <w:t>10</w:t>
      </w:r>
      <w:r>
        <w:rPr>
          <w:sz w:val="24"/>
        </w:rPr>
        <w:t>-CT (Bait) and CaM2, CaM4, CaM6, CaM7, CML8, CML9, CML10, AD-Vector (Prey) in to AH109 strain, respectively. The transformants were cultured on SD-Leu/-Trp medium, and then transferred to SD-Leu/-Trp/-His (1.5 mM 3-AT) medium. Growth of yeast on SD/-Trp/-Leu/-His medium indicates interaction between the two tested proteins.</w:t>
      </w:r>
    </w:p>
    <w:p>
      <w:pPr>
        <w:adjustRightInd w:val="0"/>
        <w:snapToGrid w:val="0"/>
        <w:jc w:val="both"/>
        <w:rPr>
          <w:sz w:val="24"/>
        </w:rPr>
      </w:pPr>
      <w:r>
        <w:rPr>
          <w:sz w:val="24"/>
        </w:rPr>
        <w:br w:type="page"/>
      </w:r>
    </w:p>
    <w:p>
      <w:pPr>
        <w:adjustRightInd w:val="0"/>
        <w:snapToGrid w:val="0"/>
        <w:jc w:val="both"/>
        <w:outlineLvl w:val="0"/>
        <w:rPr>
          <w:b/>
          <w:sz w:val="24"/>
        </w:rPr>
      </w:pPr>
      <w:r>
        <w:rPr>
          <w:rFonts w:eastAsia="宋体"/>
          <w:b/>
          <w:sz w:val="24"/>
        </w:rPr>
        <w:t xml:space="preserve">Supplementary Figure </w:t>
      </w:r>
      <w:r>
        <w:rPr>
          <w:b/>
          <w:sz w:val="24"/>
        </w:rPr>
        <w:t>2</w:t>
      </w:r>
    </w:p>
    <w:p>
      <w:pPr>
        <w:adjustRightInd w:val="0"/>
        <w:snapToGrid w:val="0"/>
        <w:jc w:val="both"/>
        <w:outlineLvl w:val="0"/>
        <w:rPr>
          <w:rFonts w:eastAsia="宋体"/>
          <w:b/>
          <w:sz w:val="24"/>
        </w:rPr>
      </w:pPr>
    </w:p>
    <w:p>
      <w:pPr>
        <w:adjustRightInd w:val="0"/>
        <w:snapToGrid w:val="0"/>
        <w:jc w:val="both"/>
        <w:rPr>
          <w:rFonts w:eastAsia="宋体"/>
          <w:b/>
          <w:sz w:val="24"/>
        </w:rPr>
      </w:pPr>
      <w:r>
        <w:rPr>
          <w:rFonts w:eastAsia="宋体"/>
          <w:b/>
          <w:sz w:val="24"/>
        </w:rPr>
        <w:drawing>
          <wp:inline distT="0" distB="0" distL="0" distR="0">
            <wp:extent cx="5363845" cy="3935730"/>
            <wp:effectExtent l="0" t="0" r="0" b="1270"/>
            <wp:docPr id="2" name="图片 16" descr="Fig S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Fig S1-1.t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79" cy="39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both"/>
        <w:outlineLvl w:val="0"/>
        <w:rPr>
          <w:b/>
          <w:sz w:val="24"/>
        </w:rPr>
      </w:pPr>
    </w:p>
    <w:p>
      <w:pPr>
        <w:widowControl w:val="0"/>
        <w:autoSpaceDE w:val="0"/>
        <w:autoSpaceDN w:val="0"/>
        <w:adjustRightInd w:val="0"/>
        <w:jc w:val="both"/>
        <w:rPr>
          <w:b/>
          <w:sz w:val="24"/>
        </w:rPr>
      </w:pPr>
      <w:r>
        <w:rPr>
          <w:rFonts w:eastAsiaTheme="minorEastAsia"/>
          <w:color w:val="000000"/>
          <w:sz w:val="24"/>
        </w:rPr>
        <w:t>SUPPLEMENTARY FIGURE 2 | Analysis of the CaM-binding domain sequences of MLO10 protein. (A, B) Motif analysis of plant MLO families. The amino acid sequences of MLO proteins were obtained from GenBank</w:t>
      </w:r>
      <w:r>
        <w:rPr>
          <w:rFonts w:eastAsiaTheme="minorEastAsia"/>
          <w:color w:val="000000"/>
          <w:sz w:val="24"/>
          <w:vertAlign w:val="superscript"/>
        </w:rPr>
        <w:t>TM</w:t>
      </w:r>
      <w:r>
        <w:rPr>
          <w:rFonts w:eastAsiaTheme="minorEastAsia"/>
          <w:color w:val="000000"/>
          <w:sz w:val="24"/>
        </w:rPr>
        <w:t xml:space="preserve"> data base searches. Motif Locations (A) and Discovered Motifs (B) were aligned by the MEME software (</w:t>
      </w:r>
      <w:r>
        <w:rPr>
          <w:rFonts w:eastAsiaTheme="minorEastAsia"/>
          <w:i/>
          <w:iCs/>
          <w:color w:val="000000"/>
          <w:sz w:val="24"/>
        </w:rPr>
        <w:t>http://meme-suite.org</w:t>
      </w:r>
      <w:r>
        <w:rPr>
          <w:rFonts w:eastAsiaTheme="minorEastAsia"/>
          <w:color w:val="000000"/>
          <w:sz w:val="24"/>
        </w:rPr>
        <w:t xml:space="preserve">). The GenBankTM accession numbers used in building the phylogenetic tree are as follows: HvMLO (Z83834), OsMLO (AF388195), AtMLO1 (Z95352), and AtMLO7 (AF369568), AtMLO10 (AF369571). Hv, </w:t>
      </w:r>
      <w:r>
        <w:rPr>
          <w:rFonts w:eastAsiaTheme="minorEastAsia"/>
          <w:i/>
          <w:iCs/>
          <w:color w:val="000000"/>
          <w:sz w:val="24"/>
        </w:rPr>
        <w:t>Hordeum vulgare;</w:t>
      </w:r>
      <w:r>
        <w:rPr>
          <w:rFonts w:eastAsiaTheme="minorEastAsia"/>
          <w:color w:val="000000"/>
          <w:sz w:val="24"/>
        </w:rPr>
        <w:t xml:space="preserve"> Os, </w:t>
      </w:r>
      <w:r>
        <w:rPr>
          <w:rFonts w:eastAsiaTheme="minorEastAsia"/>
          <w:i/>
          <w:iCs/>
          <w:color w:val="000000"/>
          <w:sz w:val="24"/>
        </w:rPr>
        <w:t>Oryza sativa</w:t>
      </w:r>
      <w:r>
        <w:rPr>
          <w:rFonts w:eastAsiaTheme="minorEastAsia"/>
          <w:color w:val="000000"/>
          <w:sz w:val="24"/>
        </w:rPr>
        <w:t xml:space="preserve">; At, </w:t>
      </w:r>
      <w:r>
        <w:rPr>
          <w:rFonts w:eastAsiaTheme="minorEastAsia"/>
          <w:i/>
          <w:iCs/>
          <w:color w:val="000000"/>
          <w:sz w:val="24"/>
        </w:rPr>
        <w:t>Arabidopsis thaliana</w:t>
      </w:r>
      <w:r>
        <w:rPr>
          <w:rFonts w:eastAsiaTheme="minorEastAsia"/>
          <w:color w:val="000000"/>
          <w:sz w:val="24"/>
        </w:rPr>
        <w:t>. C. Alignment of the putative CaMBD sequence of MLO10 (Leu453 to Ala467) with the corresponding regions of MLO families that were demonstrated interacting with CaMs. HvMLO (</w:t>
      </w:r>
      <w:r>
        <w:rPr>
          <w:rFonts w:eastAsiaTheme="minorEastAsia"/>
          <w:color w:val="4D4D4D"/>
          <w:sz w:val="24"/>
        </w:rPr>
        <w:t>Kim et al., 2002b</w:t>
      </w:r>
      <w:r>
        <w:rPr>
          <w:rFonts w:eastAsiaTheme="minorEastAsia"/>
          <w:color w:val="000000"/>
          <w:sz w:val="24"/>
        </w:rPr>
        <w:t xml:space="preserve">; </w:t>
      </w:r>
      <w:r>
        <w:rPr>
          <w:rFonts w:eastAsiaTheme="minorEastAsia"/>
          <w:color w:val="4D4D4D"/>
          <w:sz w:val="24"/>
        </w:rPr>
        <w:t>Bhat et al., 2005</w:t>
      </w:r>
      <w:r>
        <w:rPr>
          <w:rFonts w:eastAsiaTheme="minorEastAsia"/>
          <w:color w:val="000000"/>
          <w:sz w:val="24"/>
        </w:rPr>
        <w:t xml:space="preserve">; </w:t>
      </w:r>
      <w:r>
        <w:rPr>
          <w:rFonts w:eastAsiaTheme="minorEastAsia"/>
          <w:color w:val="4D4D4D"/>
          <w:sz w:val="24"/>
        </w:rPr>
        <w:t>Elliott et al., 2005</w:t>
      </w:r>
      <w:r>
        <w:rPr>
          <w:rFonts w:eastAsiaTheme="minorEastAsia"/>
          <w:color w:val="000000"/>
          <w:sz w:val="24"/>
        </w:rPr>
        <w:t xml:space="preserve">; </w:t>
      </w:r>
      <w:r>
        <w:rPr>
          <w:rFonts w:eastAsiaTheme="minorEastAsia"/>
          <w:color w:val="4D4D4D"/>
          <w:sz w:val="24"/>
        </w:rPr>
        <w:t>Bhat et al., 2006</w:t>
      </w:r>
      <w:r>
        <w:rPr>
          <w:rFonts w:eastAsiaTheme="minorEastAsia"/>
          <w:color w:val="000000"/>
          <w:sz w:val="24"/>
        </w:rPr>
        <w:t>); OsMLO (</w:t>
      </w:r>
      <w:r>
        <w:rPr>
          <w:rFonts w:eastAsiaTheme="minorEastAsia"/>
          <w:color w:val="4D4D4D"/>
          <w:sz w:val="24"/>
        </w:rPr>
        <w:t>Kim et al., 2002a</w:t>
      </w:r>
      <w:r>
        <w:rPr>
          <w:rFonts w:eastAsiaTheme="minorEastAsia"/>
          <w:color w:val="000000"/>
          <w:sz w:val="24"/>
        </w:rPr>
        <w:t>); AtMLO1 (</w:t>
      </w:r>
      <w:r>
        <w:rPr>
          <w:rFonts w:eastAsiaTheme="minorEastAsia"/>
          <w:color w:val="4D4D4D"/>
          <w:sz w:val="24"/>
        </w:rPr>
        <w:t>Kim et al., 2002b</w:t>
      </w:r>
      <w:r>
        <w:rPr>
          <w:rFonts w:eastAsiaTheme="minorEastAsia"/>
          <w:color w:val="000000"/>
          <w:sz w:val="24"/>
        </w:rPr>
        <w:t>). The putative Ca</w:t>
      </w:r>
      <w:r>
        <w:rPr>
          <w:rFonts w:eastAsiaTheme="minorEastAsia"/>
          <w:color w:val="000000"/>
          <w:sz w:val="24"/>
          <w:vertAlign w:val="superscript"/>
        </w:rPr>
        <w:t>2+</w:t>
      </w:r>
      <w:r>
        <w:rPr>
          <w:rFonts w:eastAsiaTheme="minorEastAsia"/>
          <w:color w:val="000000"/>
          <w:sz w:val="24"/>
        </w:rPr>
        <w:t>-dependent CaM-binding motif of hydrophobic amino acids were indicated with black arrows (1-4-8-14 motif, as Kim described (</w:t>
      </w:r>
      <w:r>
        <w:rPr>
          <w:rFonts w:eastAsiaTheme="minorEastAsia"/>
          <w:color w:val="4D4D4D"/>
          <w:sz w:val="24"/>
        </w:rPr>
        <w:t>Kim et al., 2002a</w:t>
      </w:r>
      <w:r>
        <w:rPr>
          <w:rFonts w:eastAsiaTheme="minorEastAsia"/>
          <w:color w:val="000000"/>
          <w:sz w:val="24"/>
        </w:rPr>
        <w:t>)).</w:t>
      </w:r>
    </w:p>
    <w:p>
      <w:pPr>
        <w:adjustRightInd w:val="0"/>
        <w:snapToGrid w:val="0"/>
        <w:jc w:val="both"/>
        <w:outlineLvl w:val="0"/>
        <w:rPr>
          <w:rFonts w:eastAsia="宋体"/>
          <w:b/>
          <w:color w:val="FF0000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jc w:val="both"/>
        <w:outlineLvl w:val="0"/>
        <w:rPr>
          <w:rFonts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3</w:t>
      </w:r>
    </w:p>
    <w:p>
      <w:pPr>
        <w:adjustRightInd w:val="0"/>
        <w:snapToGrid w:val="0"/>
        <w:jc w:val="both"/>
        <w:rPr>
          <w:rFonts w:eastAsia="宋体"/>
          <w:b/>
          <w:sz w:val="24"/>
        </w:rPr>
      </w:pPr>
    </w:p>
    <w:p>
      <w:pPr>
        <w:adjustRightInd w:val="0"/>
        <w:snapToGrid w:val="0"/>
        <w:jc w:val="both"/>
        <w:rPr>
          <w:sz w:val="24"/>
        </w:rPr>
      </w:pPr>
      <w:r>
        <w:rPr>
          <w:sz w:val="24"/>
        </w:rPr>
        <w:drawing>
          <wp:inline distT="0" distB="0" distL="0" distR="0">
            <wp:extent cx="5273040" cy="402336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57" cy="40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both"/>
        <w:rPr>
          <w:rFonts w:eastAsiaTheme="minorEastAsia"/>
          <w:sz w:val="24"/>
        </w:rPr>
      </w:pPr>
    </w:p>
    <w:p>
      <w:pPr>
        <w:widowControl w:val="0"/>
        <w:autoSpaceDE w:val="0"/>
        <w:autoSpaceDN w:val="0"/>
        <w:adjustRightInd w:val="0"/>
        <w:jc w:val="both"/>
        <w:rPr>
          <w:rFonts w:eastAsia="宋体"/>
          <w:b/>
          <w:sz w:val="24"/>
        </w:rPr>
      </w:pPr>
      <w:r>
        <w:rPr>
          <w:rFonts w:eastAsiaTheme="minorEastAsia"/>
          <w:sz w:val="24"/>
        </w:rPr>
        <w:t xml:space="preserve">SUPPLEMENTARY FIGURE 3 | Mutation screening of </w:t>
      </w:r>
      <w:r>
        <w:rPr>
          <w:rFonts w:eastAsiaTheme="minorEastAsia"/>
          <w:i/>
          <w:iCs/>
          <w:sz w:val="24"/>
        </w:rPr>
        <w:t>MLO</w:t>
      </w:r>
      <w:r>
        <w:rPr>
          <w:rFonts w:hint="eastAsia" w:eastAsiaTheme="minorEastAsia"/>
          <w:i/>
          <w:iCs/>
          <w:sz w:val="24"/>
          <w:lang w:val="en-US" w:eastAsia="zh-CN"/>
        </w:rPr>
        <w:t>10</w:t>
      </w:r>
      <w:r>
        <w:rPr>
          <w:rFonts w:eastAsiaTheme="minorEastAsia"/>
          <w:sz w:val="24"/>
        </w:rPr>
        <w:t xml:space="preserve"> and </w:t>
      </w:r>
      <w:r>
        <w:rPr>
          <w:rFonts w:eastAsiaTheme="minorEastAsia"/>
          <w:i/>
          <w:iCs/>
          <w:sz w:val="24"/>
        </w:rPr>
        <w:t>CML9</w:t>
      </w:r>
      <w:r>
        <w:rPr>
          <w:rFonts w:eastAsiaTheme="minorEastAsia"/>
          <w:sz w:val="24"/>
        </w:rPr>
        <w:t xml:space="preserve">. (A) Structure of </w:t>
      </w:r>
      <w:r>
        <w:rPr>
          <w:rFonts w:eastAsiaTheme="minorEastAsia"/>
          <w:i/>
          <w:iCs/>
          <w:sz w:val="24"/>
        </w:rPr>
        <w:t>MLO10</w:t>
      </w:r>
      <w:r>
        <w:rPr>
          <w:rFonts w:eastAsiaTheme="minorEastAsia"/>
          <w:sz w:val="24"/>
        </w:rPr>
        <w:t xml:space="preserve"> gene. The black and gray arrows showed the CRISPR-Cas9 mediated gene-editing positions of </w:t>
      </w:r>
      <w:r>
        <w:rPr>
          <w:rFonts w:eastAsiaTheme="minorEastAsia"/>
          <w:i/>
          <w:iCs/>
          <w:sz w:val="24"/>
        </w:rPr>
        <w:t>mlo10-1</w:t>
      </w:r>
      <w:r>
        <w:rPr>
          <w:rFonts w:eastAsiaTheme="minorEastAsia"/>
          <w:sz w:val="24"/>
        </w:rPr>
        <w:t xml:space="preserve"> and</w:t>
      </w:r>
      <w:r>
        <w:rPr>
          <w:rFonts w:eastAsiaTheme="minorEastAsia"/>
          <w:i/>
          <w:iCs/>
          <w:sz w:val="24"/>
        </w:rPr>
        <w:t xml:space="preserve"> mlo10-2</w:t>
      </w:r>
      <w:r>
        <w:rPr>
          <w:rFonts w:eastAsiaTheme="minorEastAsia"/>
          <w:sz w:val="24"/>
        </w:rPr>
        <w:t xml:space="preserve">, respectively. (B) Structure of </w:t>
      </w:r>
      <w:r>
        <w:rPr>
          <w:rFonts w:eastAsiaTheme="minorEastAsia"/>
          <w:i/>
          <w:iCs/>
          <w:sz w:val="24"/>
        </w:rPr>
        <w:t>CML9</w:t>
      </w:r>
      <w:r>
        <w:rPr>
          <w:rFonts w:eastAsiaTheme="minorEastAsia"/>
          <w:sz w:val="24"/>
        </w:rPr>
        <w:t xml:space="preserve"> gene. T-DNA Insertion of </w:t>
      </w:r>
      <w:r>
        <w:rPr>
          <w:rFonts w:eastAsiaTheme="minorEastAsia"/>
          <w:i/>
          <w:iCs/>
          <w:sz w:val="24"/>
        </w:rPr>
        <w:t>cml9-1</w:t>
      </w:r>
      <w:r>
        <w:rPr>
          <w:rFonts w:eastAsiaTheme="minorEastAsia"/>
          <w:sz w:val="24"/>
        </w:rPr>
        <w:t xml:space="preserve"> (SALK_126787C) and </w:t>
      </w:r>
      <w:r>
        <w:rPr>
          <w:rFonts w:eastAsiaTheme="minorEastAsia"/>
          <w:i/>
          <w:iCs/>
          <w:sz w:val="24"/>
        </w:rPr>
        <w:t xml:space="preserve">cml9-2 </w:t>
      </w:r>
      <w:r>
        <w:rPr>
          <w:rFonts w:eastAsiaTheme="minorEastAsia"/>
          <w:sz w:val="24"/>
        </w:rPr>
        <w:t xml:space="preserve">(SALK_006380C). (C) </w:t>
      </w:r>
      <w:r>
        <w:rPr>
          <w:rFonts w:eastAsiaTheme="minorEastAsia"/>
          <w:i/>
          <w:iCs/>
          <w:sz w:val="24"/>
        </w:rPr>
        <w:t>MLO10</w:t>
      </w:r>
      <w:r>
        <w:rPr>
          <w:rFonts w:eastAsiaTheme="minorEastAsia"/>
          <w:sz w:val="24"/>
        </w:rPr>
        <w:t xml:space="preserve"> genomic DNA from </w:t>
      </w:r>
      <w:r>
        <w:rPr>
          <w:rFonts w:eastAsiaTheme="minorEastAsia"/>
          <w:i/>
          <w:iCs/>
          <w:sz w:val="24"/>
        </w:rPr>
        <w:t>mlo10-1</w:t>
      </w:r>
      <w:r>
        <w:rPr>
          <w:rFonts w:eastAsiaTheme="minorEastAsia"/>
          <w:sz w:val="24"/>
        </w:rPr>
        <w:t xml:space="preserve"> and </w:t>
      </w:r>
      <w:r>
        <w:rPr>
          <w:rFonts w:eastAsiaTheme="minorEastAsia"/>
          <w:i/>
          <w:iCs/>
          <w:sz w:val="24"/>
        </w:rPr>
        <w:t>mlo10-2</w:t>
      </w:r>
      <w:r>
        <w:rPr>
          <w:rFonts w:eastAsiaTheme="minorEastAsia"/>
          <w:sz w:val="24"/>
        </w:rPr>
        <w:t xml:space="preserve"> could not be digested by restriction enzyme XhoI. (D, E) Mutations of </w:t>
      </w:r>
      <w:r>
        <w:rPr>
          <w:rFonts w:eastAsiaTheme="minorEastAsia"/>
          <w:i/>
          <w:iCs/>
          <w:sz w:val="24"/>
        </w:rPr>
        <w:t>MLO10</w:t>
      </w:r>
      <w:r>
        <w:rPr>
          <w:rFonts w:eastAsiaTheme="minorEastAsia"/>
          <w:sz w:val="24"/>
        </w:rPr>
        <w:t xml:space="preserve"> in two different alleles (</w:t>
      </w:r>
      <w:r>
        <w:rPr>
          <w:rFonts w:eastAsiaTheme="minorEastAsia"/>
          <w:i/>
          <w:iCs/>
          <w:sz w:val="24"/>
        </w:rPr>
        <w:t>mlo10-1</w:t>
      </w:r>
      <w:r>
        <w:rPr>
          <w:rFonts w:eastAsiaTheme="minorEastAsia"/>
          <w:sz w:val="24"/>
        </w:rPr>
        <w:t xml:space="preserve"> and </w:t>
      </w:r>
      <w:r>
        <w:rPr>
          <w:rFonts w:eastAsiaTheme="minorEastAsia"/>
          <w:i/>
          <w:iCs/>
          <w:sz w:val="24"/>
        </w:rPr>
        <w:t>mlo10-2</w:t>
      </w:r>
      <w:r>
        <w:rPr>
          <w:rFonts w:eastAsiaTheme="minorEastAsia"/>
          <w:sz w:val="24"/>
        </w:rPr>
        <w:t xml:space="preserve">). (F) Upper </w:t>
      </w:r>
      <w:r>
        <w:rPr>
          <w:rFonts w:eastAsia="AdvOT6e5d2ec0+fb"/>
          <w:sz w:val="24"/>
        </w:rPr>
        <w:t>fi</w:t>
      </w:r>
      <w:r>
        <w:rPr>
          <w:rFonts w:eastAsiaTheme="minorEastAsia"/>
          <w:sz w:val="24"/>
        </w:rPr>
        <w:t xml:space="preserve">gure shows genomic DNA band of </w:t>
      </w:r>
      <w:r>
        <w:rPr>
          <w:rFonts w:eastAsiaTheme="minorEastAsia"/>
          <w:i/>
          <w:iCs/>
          <w:sz w:val="24"/>
        </w:rPr>
        <w:t>CML9</w:t>
      </w:r>
      <w:r>
        <w:rPr>
          <w:rFonts w:eastAsiaTheme="minorEastAsia"/>
          <w:sz w:val="24"/>
        </w:rPr>
        <w:t xml:space="preserve">, lower </w:t>
      </w:r>
      <w:r>
        <w:rPr>
          <w:rFonts w:eastAsia="AdvOT6e5d2ec0+fb"/>
          <w:sz w:val="24"/>
        </w:rPr>
        <w:t>fi</w:t>
      </w:r>
      <w:r>
        <w:rPr>
          <w:rFonts w:eastAsiaTheme="minorEastAsia"/>
          <w:sz w:val="24"/>
        </w:rPr>
        <w:t xml:space="preserve">gure shows insertion of T-DNA. (G) Upper </w:t>
      </w:r>
      <w:r>
        <w:rPr>
          <w:rFonts w:eastAsia="AdvOT6e5d2ec0+fb"/>
          <w:sz w:val="24"/>
        </w:rPr>
        <w:t>fi</w:t>
      </w:r>
      <w:r>
        <w:rPr>
          <w:rFonts w:eastAsiaTheme="minorEastAsia"/>
          <w:sz w:val="24"/>
        </w:rPr>
        <w:t xml:space="preserve">gure shows </w:t>
      </w:r>
      <w:r>
        <w:rPr>
          <w:rFonts w:eastAsiaTheme="minorEastAsia"/>
          <w:i/>
          <w:iCs/>
          <w:sz w:val="24"/>
        </w:rPr>
        <w:t>CML9</w:t>
      </w:r>
      <w:r>
        <w:rPr>
          <w:rFonts w:eastAsiaTheme="minorEastAsia"/>
          <w:sz w:val="24"/>
        </w:rPr>
        <w:t xml:space="preserve"> band at RNA level, lower </w:t>
      </w:r>
      <w:r>
        <w:rPr>
          <w:rFonts w:eastAsia="AdvOT6e5d2ec0+fb"/>
          <w:sz w:val="24"/>
        </w:rPr>
        <w:t>fi</w:t>
      </w:r>
      <w:r>
        <w:rPr>
          <w:rFonts w:eastAsiaTheme="minorEastAsia"/>
          <w:sz w:val="24"/>
        </w:rPr>
        <w:t xml:space="preserve">gure shows transcription level of </w:t>
      </w:r>
      <w:r>
        <w:rPr>
          <w:rFonts w:eastAsiaTheme="minorEastAsia"/>
          <w:i/>
          <w:iCs/>
          <w:sz w:val="24"/>
        </w:rPr>
        <w:t>ACTIN2</w:t>
      </w:r>
      <w:r>
        <w:rPr>
          <w:rFonts w:eastAsiaTheme="minorEastAsia"/>
          <w:sz w:val="24"/>
        </w:rPr>
        <w:t>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6e5d2ec0+fb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40"/>
    <w:rsid w:val="00001A8F"/>
    <w:rsid w:val="00133610"/>
    <w:rsid w:val="00195140"/>
    <w:rsid w:val="003B4C68"/>
    <w:rsid w:val="003E76CE"/>
    <w:rsid w:val="005E78D7"/>
    <w:rsid w:val="00B12839"/>
    <w:rsid w:val="00C524D4"/>
    <w:rsid w:val="00C56DA9"/>
    <w:rsid w:val="00C61FA8"/>
    <w:rsid w:val="00D36AFF"/>
    <w:rsid w:val="00F94E05"/>
    <w:rsid w:val="0E6A2301"/>
    <w:rsid w:val="3CE95F0B"/>
    <w:rsid w:val="4D09544B"/>
    <w:rsid w:val="5917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kern w:val="0"/>
      <w:sz w:val="2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paragraph" w:styleId="8">
    <w:name w:val="No Spacing"/>
    <w:qFormat/>
    <w:uiPriority w:val="1"/>
    <w:pPr>
      <w:widowControl w:val="0"/>
      <w:spacing w:before="480" w:after="360"/>
      <w:jc w:val="center"/>
      <w:outlineLvl w:val="0"/>
    </w:pPr>
    <w:rPr>
      <w:rFonts w:ascii="Times New Roman" w:hAnsi="Times New Roman" w:eastAsia="黑体" w:cstheme="minorBidi"/>
      <w:kern w:val="2"/>
      <w:sz w:val="32"/>
      <w:szCs w:val="22"/>
      <w:lang w:val="en-US" w:eastAsia="zh-CN" w:bidi="ar-SA"/>
    </w:rPr>
  </w:style>
  <w:style w:type="character" w:customStyle="1" w:styleId="9">
    <w:name w:val="页眉 字符"/>
    <w:basedOn w:val="6"/>
    <w:link w:val="4"/>
    <w:uiPriority w:val="99"/>
    <w:rPr>
      <w:rFonts w:ascii="Times New Roman" w:hAnsi="Times New Roman" w:eastAsia="Times New Roman" w:cs="Times New Roman"/>
      <w:kern w:val="0"/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rFonts w:ascii="Times New Roman" w:hAnsi="Times New Roman" w:eastAsia="Times New Roman" w:cs="Times New Roman"/>
      <w:kern w:val="0"/>
      <w:sz w:val="18"/>
      <w:szCs w:val="18"/>
    </w:rPr>
  </w:style>
  <w:style w:type="character" w:customStyle="1" w:styleId="11">
    <w:name w:val="批注框文本 字符"/>
    <w:basedOn w:val="6"/>
    <w:link w:val="2"/>
    <w:semiHidden/>
    <w:uiPriority w:val="99"/>
    <w:rPr>
      <w:rFonts w:ascii="Times New Roman" w:hAnsi="Times New Roman" w:eastAsia="Times New Roman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327</Words>
  <Characters>1868</Characters>
  <Lines>15</Lines>
  <Paragraphs>4</Paragraphs>
  <TotalTime>76</TotalTime>
  <ScaleCrop>false</ScaleCrop>
  <LinksUpToDate>false</LinksUpToDate>
  <CharactersWithSpaces>2191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2020-07-18T16:48:00Z</dcterms:created>
  <dc:creator>zhangcarlman</dc:creator>
  <cp:lastModifiedBy>Liangyu LIU</cp:lastModifiedBy>
  <dcterms:modified xsi:type="dcterms:W3CDTF">2020-07-19T15:43:28Z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