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E149" w14:textId="27BFF942" w:rsidR="00F228E4" w:rsidRPr="00B25857" w:rsidRDefault="00FC1C6E" w:rsidP="00F228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57">
        <w:rPr>
          <w:rFonts w:ascii="Times New Roman" w:hAnsi="Times New Roman" w:cs="Times New Roman"/>
          <w:b/>
          <w:sz w:val="24"/>
          <w:szCs w:val="24"/>
        </w:rPr>
        <w:t>Appendix 2</w:t>
      </w:r>
      <w:r w:rsidR="00F228E4" w:rsidRPr="00B25857">
        <w:rPr>
          <w:rFonts w:ascii="Times New Roman" w:hAnsi="Times New Roman" w:cs="Times New Roman"/>
          <w:b/>
          <w:sz w:val="24"/>
          <w:szCs w:val="24"/>
        </w:rPr>
        <w:t>: Effects of Imputation</w:t>
      </w:r>
    </w:p>
    <w:p w14:paraId="198E73F4" w14:textId="7A8B9024" w:rsidR="00F228E4" w:rsidRPr="00B25857" w:rsidRDefault="00F228E4" w:rsidP="00F228E4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25857">
        <w:rPr>
          <w:rFonts w:ascii="Times New Roman" w:hAnsi="Times New Roman" w:cs="Times New Roman"/>
          <w:bCs/>
          <w:sz w:val="24"/>
          <w:szCs w:val="24"/>
        </w:rPr>
        <w:t xml:space="preserve">To determine whether main study findings were significantly altered by methods of correcting for missing data, the results of longitudinal analyses (in which LMM implicitly account for missing data) and cross-section analyses (in which missing values are imputed using the fitted LMM) were compared to similar analyses performing pairwise deletion (PD; removing only subjects with missing values from time point being analyzed). We did not compare against listwise deletion (LD; removing subjects with missing data from any time point), as there was insufficient complete longitudinal data to </w:t>
      </w:r>
      <w:r w:rsidR="006F3408">
        <w:rPr>
          <w:rFonts w:ascii="Times New Roman" w:hAnsi="Times New Roman" w:cs="Times New Roman"/>
          <w:bCs/>
          <w:sz w:val="24"/>
          <w:szCs w:val="24"/>
        </w:rPr>
        <w:t>permit full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408">
        <w:rPr>
          <w:rFonts w:ascii="Times New Roman" w:hAnsi="Times New Roman" w:cs="Times New Roman"/>
          <w:bCs/>
          <w:sz w:val="24"/>
          <w:szCs w:val="24"/>
        </w:rPr>
        <w:t xml:space="preserve">bootstrapped </w:t>
      </w:r>
      <w:r w:rsidRPr="00B25857">
        <w:rPr>
          <w:rFonts w:ascii="Times New Roman" w:hAnsi="Times New Roman" w:cs="Times New Roman"/>
          <w:bCs/>
          <w:sz w:val="24"/>
          <w:szCs w:val="24"/>
        </w:rPr>
        <w:t>parameter estimation.  Longitudinal effects were modelled at each post-acute time point (SUB, RT</w:t>
      </w:r>
      <w:r w:rsidR="006F3408">
        <w:rPr>
          <w:rFonts w:ascii="Times New Roman" w:hAnsi="Times New Roman" w:cs="Times New Roman"/>
          <w:bCs/>
          <w:sz w:val="24"/>
          <w:szCs w:val="24"/>
        </w:rPr>
        <w:t>P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, 1MO and 1YR) by performing simple General Linear Model (GLM) </w:t>
      </w:r>
      <w:r w:rsidR="0088616F">
        <w:rPr>
          <w:rFonts w:ascii="Times New Roman" w:hAnsi="Times New Roman" w:cs="Times New Roman"/>
          <w:bCs/>
          <w:sz w:val="24"/>
          <w:szCs w:val="24"/>
        </w:rPr>
        <w:t xml:space="preserve">analyses of 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the BOLD change relative to ACU. Cross-sectional analyses were performed in the same manner as for imputed data. </w:t>
      </w:r>
      <w:r w:rsidR="0088616F">
        <w:rPr>
          <w:rFonts w:ascii="Times New Roman" w:hAnsi="Times New Roman" w:cs="Times New Roman"/>
          <w:bCs/>
          <w:sz w:val="24"/>
          <w:szCs w:val="24"/>
        </w:rPr>
        <w:t>In both bases</w:t>
      </w:r>
      <w:r w:rsidRPr="00B25857">
        <w:rPr>
          <w:rFonts w:ascii="Times New Roman" w:hAnsi="Times New Roman" w:cs="Times New Roman"/>
          <w:bCs/>
          <w:sz w:val="24"/>
          <w:szCs w:val="24"/>
        </w:rPr>
        <w:t>, missing values were excluded prior to analys</w:t>
      </w:r>
      <w:r w:rsidR="0088616F">
        <w:rPr>
          <w:rFonts w:ascii="Times New Roman" w:hAnsi="Times New Roman" w:cs="Times New Roman"/>
          <w:bCs/>
          <w:sz w:val="24"/>
          <w:szCs w:val="24"/>
        </w:rPr>
        <w:t>i</w:t>
      </w:r>
      <w:r w:rsidRPr="00B25857">
        <w:rPr>
          <w:rFonts w:ascii="Times New Roman" w:hAnsi="Times New Roman" w:cs="Times New Roman"/>
          <w:bCs/>
          <w:sz w:val="24"/>
          <w:szCs w:val="24"/>
        </w:rPr>
        <w:t>s</w:t>
      </w:r>
      <w:r w:rsidR="0088616F">
        <w:rPr>
          <w:rFonts w:ascii="Times New Roman" w:hAnsi="Times New Roman" w:cs="Times New Roman"/>
          <w:bCs/>
          <w:sz w:val="24"/>
          <w:szCs w:val="24"/>
        </w:rPr>
        <w:t>,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based on </w:t>
      </w:r>
      <w:r w:rsidR="0088616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25857">
        <w:rPr>
          <w:rFonts w:ascii="Times New Roman" w:hAnsi="Times New Roman" w:cs="Times New Roman"/>
          <w:bCs/>
          <w:sz w:val="24"/>
          <w:szCs w:val="24"/>
        </w:rPr>
        <w:t>PD approach.</w:t>
      </w:r>
    </w:p>
    <w:p w14:paraId="0E51DD60" w14:textId="2551A5A6" w:rsidR="00F228E4" w:rsidRPr="00B25857" w:rsidRDefault="00F228E4" w:rsidP="00B25857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25857">
        <w:rPr>
          <w:rFonts w:ascii="Times New Roman" w:hAnsi="Times New Roman" w:cs="Times New Roman"/>
          <w:bCs/>
          <w:sz w:val="24"/>
          <w:szCs w:val="24"/>
        </w:rPr>
        <w:t xml:space="preserve">As shown in supplemental Table S2 below,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the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non-imputed approach shows similar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coefficient signs and comparable magnitudes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as the main study findings of Table 2, for both longitudinal and cross-sectional analyses.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However, t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he PD approach tends to show </w:t>
      </w:r>
      <w:r w:rsidR="006F3408">
        <w:rPr>
          <w:rFonts w:ascii="Times New Roman" w:hAnsi="Times New Roman" w:cs="Times New Roman"/>
          <w:bCs/>
          <w:sz w:val="24"/>
          <w:szCs w:val="24"/>
        </w:rPr>
        <w:t>wider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 xml:space="preserve"> error bounds and </w:t>
      </w:r>
      <w:r w:rsidRPr="00B25857">
        <w:rPr>
          <w:rFonts w:ascii="Times New Roman" w:hAnsi="Times New Roman" w:cs="Times New Roman"/>
          <w:bCs/>
          <w:sz w:val="24"/>
          <w:szCs w:val="24"/>
        </w:rPr>
        <w:t>reduced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857">
        <w:rPr>
          <w:rFonts w:ascii="Times New Roman" w:hAnsi="Times New Roman" w:cs="Times New Roman"/>
          <w:bCs/>
          <w:sz w:val="24"/>
          <w:szCs w:val="24"/>
        </w:rPr>
        <w:t>effect sizes (e.g., smaller bootstrap ratios) compared to impute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d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methods, with modest reductions for longitudinal analysis and greater reductions for cross-sectional analysis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This indicates</w:t>
      </w:r>
      <w:r w:rsidRPr="00B25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 xml:space="preserve">that the direction of effect is </w:t>
      </w:r>
      <w:r w:rsidRPr="00B25857">
        <w:rPr>
          <w:rFonts w:ascii="Times New Roman" w:hAnsi="Times New Roman" w:cs="Times New Roman"/>
          <w:bCs/>
          <w:sz w:val="24"/>
          <w:szCs w:val="24"/>
        </w:rPr>
        <w:t>not heavily dependent on the method chosen to handle missing data</w:t>
      </w:r>
      <w:r w:rsidR="00FC1C6E" w:rsidRPr="00B25857">
        <w:rPr>
          <w:rFonts w:ascii="Times New Roman" w:hAnsi="Times New Roman" w:cs="Times New Roman"/>
          <w:bCs/>
          <w:sz w:val="24"/>
          <w:szCs w:val="24"/>
        </w:rPr>
        <w:t>, but there is a substantial decrease in sensitivity for non-imputed analysis.</w:t>
      </w:r>
    </w:p>
    <w:p w14:paraId="7417ACBF" w14:textId="77777777" w:rsidR="00B25857" w:rsidRDefault="00B25857" w:rsidP="00B25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A4E05" w14:textId="77777777" w:rsidR="00B25857" w:rsidRDefault="00B25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77C44A" w14:textId="4B4B1465" w:rsidR="00B25857" w:rsidRPr="008F230C" w:rsidRDefault="00B25857" w:rsidP="00B258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8F58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longitudinal effects of concussion on BOLD response, </w:t>
      </w:r>
      <w:r w:rsidRPr="00B25857">
        <w:rPr>
          <w:rFonts w:ascii="Times New Roman" w:hAnsi="Times New Roman" w:cs="Times New Roman"/>
          <w:bCs/>
          <w:sz w:val="24"/>
          <w:szCs w:val="24"/>
        </w:rPr>
        <w:t>averaged over significant task time points (35 to 55 s)</w:t>
      </w:r>
      <w:r w:rsidRPr="00B25857">
        <w:rPr>
          <w:rFonts w:ascii="Times New Roman" w:eastAsiaTheme="minorEastAsia" w:hAnsi="Times New Roman" w:cs="Times New Roman"/>
          <w:sz w:val="24"/>
          <w:szCs w:val="24"/>
        </w:rPr>
        <w:t>, with pairwise deletion (PD) of missing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. (left) Statistics from longitudinal general linear model (GLM) analyses, including regression coefficients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hAnsi="Times New Roman" w:cs="Times New Roman"/>
          <w:bCs/>
          <w:sz w:val="24"/>
          <w:szCs w:val="24"/>
        </w:rPr>
        <w:t>, 95% confidence intervals (95% CIs), bootstrap ratios (BSRs) and p-values. (right) Statistics from bootstrapped 2-sample cross-sectional analyses, including mean, 95%CI, BSRs and p-values. Longitudinal tests compare imaging sessions (SUB, RTP, 1MO, 1YR) to ACU, whereas cross-sectional tests compare imaging sessions (ACU, SUB, RTP, 1MO, 1YR) to athletic controls.</w:t>
      </w:r>
    </w:p>
    <w:tbl>
      <w:tblPr>
        <w:tblpPr w:leftFromText="180" w:rightFromText="180" w:vertAnchor="page" w:horzAnchor="margin" w:tblpXSpec="center" w:tblpY="4734"/>
        <w:tblW w:w="8341" w:type="dxa"/>
        <w:tblLook w:val="04A0" w:firstRow="1" w:lastRow="0" w:firstColumn="1" w:lastColumn="0" w:noHBand="0" w:noVBand="1"/>
      </w:tblPr>
      <w:tblGrid>
        <w:gridCol w:w="771"/>
        <w:gridCol w:w="672"/>
        <w:gridCol w:w="1384"/>
        <w:gridCol w:w="689"/>
        <w:gridCol w:w="872"/>
        <w:gridCol w:w="804"/>
        <w:gridCol w:w="1446"/>
        <w:gridCol w:w="732"/>
        <w:gridCol w:w="971"/>
      </w:tblGrid>
      <w:tr w:rsidR="00B25857" w:rsidRPr="00CB6C6D" w14:paraId="10D11EAC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A74" w14:textId="77777777" w:rsidR="00B25857" w:rsidRPr="00CB6C6D" w:rsidRDefault="00B25857" w:rsidP="00B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F03B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lang w:eastAsia="en-CA"/>
              </w:rPr>
              <w:t>Longitudinal (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GLM</w:t>
            </w:r>
            <w:r w:rsidRPr="000E7A65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C3FA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lang w:eastAsia="en-CA"/>
              </w:rPr>
              <w:t>Cross-sectional (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GLM</w:t>
            </w:r>
            <w:r w:rsidRPr="000E7A65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B25857" w:rsidRPr="00CB6C6D" w14:paraId="49A4919E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F96" w14:textId="77777777" w:rsidR="00B25857" w:rsidRPr="00CB6C6D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D2B0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  <w:t>b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7192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95%CI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BA65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BSR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BB0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  <w:t>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2537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  <w:t>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8691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95%CI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75D7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BSR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09" w14:textId="77777777" w:rsidR="00B25857" w:rsidRPr="000E7A65" w:rsidRDefault="00B25857" w:rsidP="00B2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CA"/>
              </w:rPr>
              <w:t>p</w:t>
            </w:r>
          </w:p>
        </w:tc>
      </w:tr>
      <w:tr w:rsidR="00B25857" w:rsidRPr="00CB6C6D" w14:paraId="1E089E7C" w14:textId="77777777" w:rsidTr="00B25857">
        <w:trPr>
          <w:trHeight w:val="2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313" w14:textId="77777777" w:rsidR="00B25857" w:rsidRPr="00CB6C6D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B6C6D">
              <w:rPr>
                <w:rFonts w:ascii="Calibri" w:eastAsia="Times New Roman" w:hAnsi="Calibri" w:cs="Calibri"/>
                <w:color w:val="000000"/>
                <w:lang w:eastAsia="en-CA"/>
              </w:rPr>
              <w:t>ACU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039" w14:textId="77777777" w:rsidR="00B25857" w:rsidRPr="000E7A65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020" w14:textId="77777777" w:rsidR="00B25857" w:rsidRPr="000E7A65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F0F1" w14:textId="77777777" w:rsidR="00B25857" w:rsidRPr="000E7A65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28F" w14:textId="77777777" w:rsidR="00B25857" w:rsidRPr="000E7A65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E7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CF3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0C9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842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2A1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B25857" w:rsidRPr="00CB6C6D" w14:paraId="07DB1F53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646" w14:textId="77777777" w:rsidR="00B25857" w:rsidRPr="00CB6C6D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B6C6D">
              <w:rPr>
                <w:rFonts w:ascii="Calibri" w:eastAsia="Times New Roman" w:hAnsi="Calibri" w:cs="Calibri"/>
                <w:color w:val="000000"/>
                <w:lang w:eastAsia="en-CA"/>
              </w:rPr>
              <w:t>SUB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35A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16E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4A5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3CE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C2F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4C6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7A2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451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</w:t>
            </w:r>
          </w:p>
        </w:tc>
      </w:tr>
      <w:tr w:rsidR="00B25857" w:rsidRPr="00CB6C6D" w14:paraId="43D4A1C2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9F5" w14:textId="77777777" w:rsidR="00B25857" w:rsidRPr="00CB6C6D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B6C6D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ECB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613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90F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C7E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1A8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99A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E2E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E42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</w:tr>
      <w:tr w:rsidR="00B25857" w:rsidRPr="00CB6C6D" w14:paraId="5951A427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9C4" w14:textId="77777777" w:rsidR="00B25857" w:rsidRPr="00CB6C6D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B6C6D">
              <w:rPr>
                <w:rFonts w:ascii="Calibri" w:eastAsia="Times New Roman" w:hAnsi="Calibri" w:cs="Calibri"/>
                <w:color w:val="000000"/>
                <w:lang w:eastAsia="en-CA"/>
              </w:rPr>
              <w:t>1MO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953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5D1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027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7366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0A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26F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A215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D96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B26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</w:tr>
      <w:tr w:rsidR="00B25857" w:rsidRPr="00CB6C6D" w14:paraId="0F806FEC" w14:textId="77777777" w:rsidTr="00B25857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60B" w14:textId="77777777" w:rsidR="00B25857" w:rsidRPr="00CB6C6D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B6C6D">
              <w:rPr>
                <w:rFonts w:ascii="Calibri" w:eastAsia="Times New Roman" w:hAnsi="Calibri" w:cs="Calibri"/>
                <w:color w:val="000000"/>
                <w:lang w:eastAsia="en-CA"/>
              </w:rPr>
              <w:t>1YR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B0B8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830C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351B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3.93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D2A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94B9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6FB4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, 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EE7D" w14:textId="77777777" w:rsidR="00B25857" w:rsidRPr="00434BC2" w:rsidRDefault="00B25857" w:rsidP="00B2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754" w14:textId="77777777" w:rsidR="00B25857" w:rsidRPr="00434BC2" w:rsidRDefault="00B25857" w:rsidP="00B2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34BC2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</w:tr>
    </w:tbl>
    <w:p w14:paraId="42EAB070" w14:textId="68487F93" w:rsidR="00182BD6" w:rsidRDefault="00182BD6"/>
    <w:p w14:paraId="405311CE" w14:textId="3CCCD02E" w:rsidR="00B25857" w:rsidRDefault="00B25857"/>
    <w:sectPr w:rsidR="00B2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D6"/>
    <w:rsid w:val="00016D46"/>
    <w:rsid w:val="00182BD6"/>
    <w:rsid w:val="00314B05"/>
    <w:rsid w:val="003825C7"/>
    <w:rsid w:val="006F3408"/>
    <w:rsid w:val="007F79D6"/>
    <w:rsid w:val="0088616F"/>
    <w:rsid w:val="00922B23"/>
    <w:rsid w:val="00B25857"/>
    <w:rsid w:val="00E13771"/>
    <w:rsid w:val="00F228E4"/>
    <w:rsid w:val="00FB4862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841"/>
  <w15:chartTrackingRefBased/>
  <w15:docId w15:val="{D1DFA924-9A06-48E5-82B5-0411972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 Churchill</cp:lastModifiedBy>
  <cp:revision>2</cp:revision>
  <dcterms:created xsi:type="dcterms:W3CDTF">2020-06-30T04:13:00Z</dcterms:created>
  <dcterms:modified xsi:type="dcterms:W3CDTF">2020-06-30T04:13:00Z</dcterms:modified>
</cp:coreProperties>
</file>