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26321004" w:rsidR="00654E8F" w:rsidRPr="00EC1DB2" w:rsidRDefault="00654E8F" w:rsidP="0001436A">
      <w:pPr>
        <w:pStyle w:val="SupplementaryMaterial"/>
        <w:rPr>
          <w:b w:val="0"/>
        </w:rPr>
      </w:pPr>
      <w:r w:rsidRPr="00EC1DB2">
        <w:t>Supplementary Material</w:t>
      </w:r>
    </w:p>
    <w:p w14:paraId="3BD5A427" w14:textId="77777777" w:rsidR="00EA3D3C" w:rsidRPr="00EC1DB2" w:rsidRDefault="00654E8F" w:rsidP="0001436A">
      <w:pPr>
        <w:pStyle w:val="Heading1"/>
      </w:pPr>
      <w:r w:rsidRPr="00EC1DB2">
        <w:t>Supplementary Data</w:t>
      </w:r>
    </w:p>
    <w:p w14:paraId="47B135B1" w14:textId="42AE104B" w:rsidR="00287E09" w:rsidRPr="00EC1DB2" w:rsidRDefault="001229B0" w:rsidP="00F02DB3">
      <w:pPr>
        <w:pStyle w:val="Heading2"/>
        <w:numPr>
          <w:ilvl w:val="0"/>
          <w:numId w:val="0"/>
        </w:numPr>
        <w:adjustRightInd w:val="0"/>
        <w:snapToGrid w:val="0"/>
        <w:jc w:val="both"/>
      </w:pPr>
      <w:r w:rsidRPr="00EC1DB2">
        <w:t xml:space="preserve">1.1     </w:t>
      </w:r>
      <w:r w:rsidR="00287E09" w:rsidRPr="00EC1DB2">
        <w:t>The composition and proportion of herb in BTS</w:t>
      </w:r>
    </w:p>
    <w:p w14:paraId="669B7796" w14:textId="558CAC04" w:rsidR="001229B0" w:rsidRPr="00EC1DB2" w:rsidRDefault="00230ACB" w:rsidP="00287E09">
      <w:pPr>
        <w:jc w:val="both"/>
        <w:rPr>
          <w:lang w:eastAsia="ko-KR"/>
        </w:rPr>
      </w:pPr>
      <w:r w:rsidRPr="00EC1DB2">
        <w:rPr>
          <w:rFonts w:cs="Times New Roman"/>
          <w:szCs w:val="24"/>
        </w:rPr>
        <w:t>BTS</w:t>
      </w:r>
      <w:r w:rsidRPr="00EC1DB2">
        <w:rPr>
          <w:rStyle w:val="name2"/>
          <w:rFonts w:cs="Times New Roman"/>
          <w:iCs/>
          <w:szCs w:val="24"/>
        </w:rPr>
        <w:t xml:space="preserve"> </w:t>
      </w:r>
      <w:r w:rsidRPr="00EC1DB2">
        <w:rPr>
          <w:rFonts w:eastAsia="Malgun Gothic" w:cs="Times New Roman"/>
          <w:szCs w:val="24"/>
        </w:rPr>
        <w:t xml:space="preserve">was </w:t>
      </w:r>
      <w:proofErr w:type="gramStart"/>
      <w:r w:rsidRPr="00EC1DB2">
        <w:rPr>
          <w:rFonts w:eastAsia="Malgun Gothic" w:cs="Times New Roman"/>
          <w:szCs w:val="24"/>
        </w:rPr>
        <w:t>purchased</w:t>
      </w:r>
      <w:proofErr w:type="gramEnd"/>
      <w:r w:rsidRPr="00EC1DB2">
        <w:rPr>
          <w:rFonts w:eastAsia="Malgun Gothic" w:cs="Times New Roman"/>
          <w:szCs w:val="24"/>
        </w:rPr>
        <w:t xml:space="preserve"> from </w:t>
      </w:r>
      <w:proofErr w:type="spellStart"/>
      <w:r w:rsidRPr="00EC1DB2">
        <w:rPr>
          <w:rFonts w:cs="Times New Roman"/>
          <w:szCs w:val="24"/>
        </w:rPr>
        <w:t>Hanpoong</w:t>
      </w:r>
      <w:proofErr w:type="spellEnd"/>
      <w:r w:rsidRPr="00EC1DB2">
        <w:rPr>
          <w:rFonts w:cs="Times New Roman"/>
          <w:szCs w:val="24"/>
        </w:rPr>
        <w:t xml:space="preserve"> Pharm and Foods Co., Ltd. (</w:t>
      </w:r>
      <w:proofErr w:type="spellStart"/>
      <w:r w:rsidRPr="00EC1DB2">
        <w:rPr>
          <w:rFonts w:cs="Times New Roman"/>
          <w:szCs w:val="24"/>
        </w:rPr>
        <w:t>Jeonju</w:t>
      </w:r>
      <w:proofErr w:type="spellEnd"/>
      <w:r w:rsidRPr="00EC1DB2">
        <w:rPr>
          <w:rFonts w:cs="Times New Roman"/>
          <w:szCs w:val="24"/>
        </w:rPr>
        <w:t xml:space="preserve">, Korea). </w:t>
      </w:r>
      <w:proofErr w:type="gramStart"/>
      <w:r w:rsidRPr="00EC1DB2">
        <w:rPr>
          <w:rFonts w:cs="Times New Roman"/>
          <w:szCs w:val="24"/>
        </w:rPr>
        <w:t>The plant materials were authenticated by Dr. Goya Choi</w:t>
      </w:r>
      <w:proofErr w:type="gramEnd"/>
      <w:r w:rsidRPr="00EC1DB2">
        <w:rPr>
          <w:rFonts w:cs="Times New Roman"/>
          <w:szCs w:val="24"/>
        </w:rPr>
        <w:t xml:space="preserve"> (</w:t>
      </w:r>
      <w:r w:rsidR="00F237B5" w:rsidRPr="00EC1DB2">
        <w:rPr>
          <w:rFonts w:cs="Times New Roman"/>
          <w:szCs w:val="24"/>
        </w:rPr>
        <w:t>Herbal Medicine Resources Research Center</w:t>
      </w:r>
      <w:r w:rsidRPr="00EC1DB2">
        <w:rPr>
          <w:rFonts w:cs="Times New Roman"/>
          <w:szCs w:val="24"/>
        </w:rPr>
        <w:t>, Korea Institu</w:t>
      </w:r>
      <w:r w:rsidR="00F237B5" w:rsidRPr="00EC1DB2">
        <w:rPr>
          <w:rFonts w:cs="Times New Roman"/>
          <w:szCs w:val="24"/>
        </w:rPr>
        <w:t xml:space="preserve">te of Oriental Medicine, </w:t>
      </w:r>
      <w:proofErr w:type="spellStart"/>
      <w:r w:rsidR="00F237B5" w:rsidRPr="00EC1DB2">
        <w:rPr>
          <w:rFonts w:cs="Times New Roman" w:hint="eastAsia"/>
          <w:szCs w:val="24"/>
          <w:lang w:eastAsia="ko-KR"/>
        </w:rPr>
        <w:t>Naju</w:t>
      </w:r>
      <w:proofErr w:type="spellEnd"/>
      <w:r w:rsidRPr="00EC1DB2">
        <w:rPr>
          <w:rFonts w:cs="Times New Roman"/>
          <w:szCs w:val="24"/>
        </w:rPr>
        <w:t xml:space="preserve">, Korea) based on their morphological characteristics. The voucher specimens were deposited in the herbarium of </w:t>
      </w:r>
      <w:r w:rsidR="00F237B5" w:rsidRPr="00EC1DB2">
        <w:rPr>
          <w:rFonts w:cs="Times New Roman"/>
          <w:szCs w:val="24"/>
        </w:rPr>
        <w:t>Herbal Medicine Resources Research Center</w:t>
      </w:r>
      <w:r w:rsidRPr="00EC1DB2">
        <w:rPr>
          <w:rFonts w:cs="Times New Roman"/>
          <w:szCs w:val="24"/>
        </w:rPr>
        <w:t xml:space="preserve">, Korea Institute of Oriental Medicine. Assurance of quality control for all the materials was </w:t>
      </w:r>
      <w:proofErr w:type="gramStart"/>
      <w:r w:rsidRPr="00EC1DB2">
        <w:rPr>
          <w:rFonts w:cs="Times New Roman"/>
          <w:szCs w:val="24"/>
        </w:rPr>
        <w:t>validated</w:t>
      </w:r>
      <w:proofErr w:type="gramEnd"/>
      <w:r w:rsidRPr="00EC1DB2">
        <w:rPr>
          <w:rFonts w:cs="Times New Roman"/>
          <w:szCs w:val="24"/>
        </w:rPr>
        <w:t xml:space="preserve"> according to the Korean Herbal Pharmacopoeia (Korea Food and Drug Administration, 2002). All the botanical names are checked using </w:t>
      </w:r>
      <w:hyperlink r:id="rId8" w:history="1">
        <w:r w:rsidRPr="00EC1DB2">
          <w:rPr>
            <w:rStyle w:val="Hyperlink"/>
            <w:rFonts w:cs="Times New Roman"/>
            <w:color w:val="auto"/>
            <w:szCs w:val="24"/>
          </w:rPr>
          <w:t>www.theplantlist.org</w:t>
        </w:r>
      </w:hyperlink>
      <w:r w:rsidRPr="00EC1DB2">
        <w:rPr>
          <w:rFonts w:cs="Times New Roman"/>
          <w:szCs w:val="24"/>
        </w:rPr>
        <w:t xml:space="preserve"> and listed in </w:t>
      </w:r>
      <w:r w:rsidRPr="00EC1DB2">
        <w:rPr>
          <w:rFonts w:eastAsia="Malgun Gothic" w:cs="Times New Roman"/>
          <w:szCs w:val="24"/>
        </w:rPr>
        <w:t xml:space="preserve">Supplementary </w:t>
      </w:r>
      <w:r w:rsidRPr="00EC1DB2">
        <w:rPr>
          <w:rFonts w:cs="Times New Roman"/>
          <w:szCs w:val="24"/>
        </w:rPr>
        <w:t>Table 1.</w:t>
      </w:r>
    </w:p>
    <w:p w14:paraId="22EBA50B" w14:textId="52A9892E" w:rsidR="005862F8" w:rsidRPr="00EC1DB2" w:rsidRDefault="001229B0" w:rsidP="00F02DB3">
      <w:pPr>
        <w:pStyle w:val="Heading2"/>
        <w:numPr>
          <w:ilvl w:val="0"/>
          <w:numId w:val="0"/>
        </w:numPr>
        <w:adjustRightInd w:val="0"/>
        <w:snapToGrid w:val="0"/>
        <w:jc w:val="both"/>
      </w:pPr>
      <w:r w:rsidRPr="00EC1DB2">
        <w:t xml:space="preserve">1.2     </w:t>
      </w:r>
      <w:r w:rsidR="005862F8" w:rsidRPr="00EC1DB2">
        <w:t>High-performance liquid chromatography (HPLC) analysis of BTS</w:t>
      </w:r>
    </w:p>
    <w:p w14:paraId="45275902" w14:textId="2FA021FF" w:rsidR="005862F8" w:rsidRPr="00EC1DB2" w:rsidRDefault="005862F8" w:rsidP="00287E09">
      <w:pPr>
        <w:jc w:val="both"/>
        <w:rPr>
          <w:rFonts w:ascii="Arial" w:eastAsia="Malgun Gothic" w:hAnsi="Arial" w:cs="Arial"/>
          <w:szCs w:val="24"/>
        </w:rPr>
      </w:pPr>
      <w:r w:rsidRPr="00EC1DB2">
        <w:rPr>
          <w:rFonts w:eastAsia="Malgun Gothic" w:cs="Times New Roman"/>
          <w:szCs w:val="24"/>
        </w:rPr>
        <w:t xml:space="preserve">HPLC analysis of the major components in the BTS decoction was performed using a Shimadzu Prominence LC–20A system (Kyoto, Japan) equipped with a photodiode array (PDA) detector. Chromatographic data were measured, </w:t>
      </w:r>
      <w:proofErr w:type="gramStart"/>
      <w:r w:rsidRPr="00EC1DB2">
        <w:rPr>
          <w:rFonts w:eastAsia="Malgun Gothic" w:cs="Times New Roman"/>
          <w:szCs w:val="24"/>
        </w:rPr>
        <w:t>acquired</w:t>
      </w:r>
      <w:proofErr w:type="gramEnd"/>
      <w:r w:rsidRPr="00EC1DB2">
        <w:rPr>
          <w:rFonts w:eastAsia="Malgun Gothic" w:cs="Times New Roman"/>
          <w:szCs w:val="24"/>
        </w:rPr>
        <w:t xml:space="preserve">, and processed using </w:t>
      </w:r>
      <w:proofErr w:type="spellStart"/>
      <w:r w:rsidRPr="00EC1DB2">
        <w:rPr>
          <w:rFonts w:eastAsia="Malgun Gothic" w:cs="Times New Roman"/>
          <w:szCs w:val="24"/>
        </w:rPr>
        <w:t>LCsolution</w:t>
      </w:r>
      <w:proofErr w:type="spellEnd"/>
      <w:r w:rsidRPr="00EC1DB2">
        <w:rPr>
          <w:rFonts w:eastAsia="Malgun Gothic" w:cs="Times New Roman"/>
          <w:szCs w:val="24"/>
        </w:rPr>
        <w:t xml:space="preserve"> software (Version 1.24, SP1, Kyoto, Japan). Gallic acid (PubChem CID: 370, purity 99.0%) and benzoic acid (PubChem CID: 243, purity 99.9%) were </w:t>
      </w:r>
      <w:proofErr w:type="gramStart"/>
      <w:r w:rsidRPr="00EC1DB2">
        <w:rPr>
          <w:rFonts w:eastAsia="Malgun Gothic" w:cs="Times New Roman"/>
          <w:szCs w:val="24"/>
        </w:rPr>
        <w:t>purchased</w:t>
      </w:r>
      <w:proofErr w:type="gramEnd"/>
      <w:r w:rsidRPr="00EC1DB2">
        <w:rPr>
          <w:rFonts w:eastAsia="Malgun Gothic" w:cs="Times New Roman"/>
          <w:szCs w:val="24"/>
        </w:rPr>
        <w:t xml:space="preserve"> from Merck </w:t>
      </w:r>
      <w:proofErr w:type="spellStart"/>
      <w:r w:rsidRPr="00EC1DB2">
        <w:rPr>
          <w:rFonts w:eastAsia="Malgun Gothic" w:cs="Times New Roman"/>
          <w:szCs w:val="24"/>
        </w:rPr>
        <w:t>KGaA</w:t>
      </w:r>
      <w:proofErr w:type="spellEnd"/>
      <w:r w:rsidRPr="00EC1DB2">
        <w:rPr>
          <w:rFonts w:eastAsia="Malgun Gothic" w:cs="Times New Roman"/>
          <w:szCs w:val="24"/>
        </w:rPr>
        <w:t xml:space="preserve"> (Darmstadt, Germany). </w:t>
      </w:r>
      <w:proofErr w:type="spellStart"/>
      <w:r w:rsidRPr="00EC1DB2">
        <w:rPr>
          <w:rFonts w:eastAsia="Malgun Gothic" w:cs="Times New Roman"/>
          <w:szCs w:val="24"/>
        </w:rPr>
        <w:t>Geniposide</w:t>
      </w:r>
      <w:proofErr w:type="spellEnd"/>
      <w:r w:rsidRPr="00EC1DB2">
        <w:rPr>
          <w:rFonts w:eastAsia="Malgun Gothic" w:cs="Times New Roman"/>
          <w:szCs w:val="24"/>
        </w:rPr>
        <w:t xml:space="preserve"> (PubChem CID: 107848, purity 98.0%), </w:t>
      </w:r>
      <w:proofErr w:type="spellStart"/>
      <w:r w:rsidRPr="00EC1DB2">
        <w:rPr>
          <w:rFonts w:eastAsia="Malgun Gothic" w:cs="Times New Roman"/>
          <w:szCs w:val="24"/>
        </w:rPr>
        <w:t>albiflorin</w:t>
      </w:r>
      <w:proofErr w:type="spellEnd"/>
      <w:r w:rsidRPr="00EC1DB2">
        <w:rPr>
          <w:rFonts w:eastAsia="Malgun Gothic" w:cs="Times New Roman"/>
          <w:szCs w:val="24"/>
        </w:rPr>
        <w:t xml:space="preserve"> (PubChem CID: 51346141, purity 99.8%), paeoniflorin (PubChem CID: 442534, purity 98.8%), </w:t>
      </w:r>
      <w:proofErr w:type="spellStart"/>
      <w:r w:rsidRPr="00EC1DB2">
        <w:rPr>
          <w:rFonts w:eastAsia="Malgun Gothic" w:cs="Times New Roman"/>
          <w:szCs w:val="24"/>
        </w:rPr>
        <w:t>liquiritin</w:t>
      </w:r>
      <w:proofErr w:type="spellEnd"/>
      <w:r w:rsidRPr="00EC1DB2">
        <w:rPr>
          <w:rFonts w:eastAsia="Malgun Gothic" w:cs="Times New Roman"/>
          <w:szCs w:val="24"/>
        </w:rPr>
        <w:t xml:space="preserve"> (PubChem CID: 503737, purity 99.6%), baicalin (PubChem CID: 64982, purity 98.0%), and glycyrrhizin (PubChem CID: 14982, purity 99.0%) were obtained from Wako (Osaka, Japan). </w:t>
      </w:r>
      <w:proofErr w:type="spellStart"/>
      <w:r w:rsidRPr="00EC1DB2">
        <w:rPr>
          <w:rFonts w:eastAsia="Malgun Gothic" w:cs="Times New Roman"/>
          <w:szCs w:val="24"/>
        </w:rPr>
        <w:t>Liquiritin</w:t>
      </w:r>
      <w:proofErr w:type="spellEnd"/>
      <w:r w:rsidRPr="00EC1DB2">
        <w:rPr>
          <w:rFonts w:eastAsia="Malgun Gothic" w:cs="Times New Roman"/>
          <w:szCs w:val="24"/>
        </w:rPr>
        <w:t xml:space="preserve"> </w:t>
      </w:r>
      <w:proofErr w:type="spellStart"/>
      <w:r w:rsidRPr="00EC1DB2">
        <w:rPr>
          <w:rFonts w:eastAsia="Malgun Gothic" w:cs="Times New Roman"/>
          <w:szCs w:val="24"/>
        </w:rPr>
        <w:t>apioside</w:t>
      </w:r>
      <w:proofErr w:type="spellEnd"/>
      <w:r w:rsidRPr="00EC1DB2">
        <w:rPr>
          <w:rFonts w:eastAsia="Malgun Gothic" w:cs="Times New Roman"/>
          <w:szCs w:val="24"/>
        </w:rPr>
        <w:t xml:space="preserve"> (PubChem CID: 10076238, purity 98.0%), nodakenin (PubChem CID: 73191, purity 99.5%), and wogonoside (PubChem CID: 3084961, purity 98.2%) were purchased from Shanghai Sunny Biotech (Shanghai, China), </w:t>
      </w:r>
      <w:proofErr w:type="spellStart"/>
      <w:r w:rsidRPr="00EC1DB2">
        <w:rPr>
          <w:rFonts w:eastAsia="Malgun Gothic" w:cs="Times New Roman"/>
          <w:szCs w:val="24"/>
        </w:rPr>
        <w:t>ChemFaces</w:t>
      </w:r>
      <w:proofErr w:type="spellEnd"/>
      <w:r w:rsidRPr="00EC1DB2">
        <w:rPr>
          <w:rFonts w:eastAsia="Malgun Gothic" w:cs="Times New Roman"/>
          <w:szCs w:val="24"/>
        </w:rPr>
        <w:t xml:space="preserve"> Biochemical (Wuhan, China), and </w:t>
      </w:r>
      <w:proofErr w:type="spellStart"/>
      <w:r w:rsidRPr="00EC1DB2">
        <w:rPr>
          <w:rFonts w:eastAsia="Malgun Gothic" w:cs="Times New Roman"/>
          <w:szCs w:val="24"/>
        </w:rPr>
        <w:t>Tauto</w:t>
      </w:r>
      <w:proofErr w:type="spellEnd"/>
      <w:r w:rsidRPr="00EC1DB2">
        <w:rPr>
          <w:rFonts w:eastAsia="Malgun Gothic" w:cs="Times New Roman"/>
          <w:szCs w:val="24"/>
        </w:rPr>
        <w:t xml:space="preserve"> Biotech (Shanghai, China), respectively. The 11 marker compounds were separated on a Waters </w:t>
      </w:r>
      <w:proofErr w:type="spellStart"/>
      <w:r w:rsidRPr="00EC1DB2">
        <w:rPr>
          <w:rFonts w:eastAsia="Malgun Gothic" w:cs="Times New Roman"/>
          <w:szCs w:val="24"/>
        </w:rPr>
        <w:t>SunFire</w:t>
      </w:r>
      <w:proofErr w:type="spellEnd"/>
      <w:r w:rsidRPr="00EC1DB2">
        <w:rPr>
          <w:rFonts w:eastAsia="Malgun Gothic" w:cs="Times New Roman"/>
          <w:szCs w:val="24"/>
        </w:rPr>
        <w:t xml:space="preserve"> C</w:t>
      </w:r>
      <w:r w:rsidRPr="00EC1DB2">
        <w:rPr>
          <w:rFonts w:eastAsia="Malgun Gothic" w:cs="Times New Roman"/>
          <w:szCs w:val="24"/>
          <w:vertAlign w:val="subscript"/>
        </w:rPr>
        <w:t>18</w:t>
      </w:r>
      <w:r w:rsidRPr="00EC1DB2">
        <w:rPr>
          <w:rFonts w:eastAsia="Malgun Gothic" w:cs="Times New Roman"/>
          <w:szCs w:val="24"/>
        </w:rPr>
        <w:t xml:space="preserve"> column (250 × 4.6 mm, 5 </w:t>
      </w:r>
      <w:r w:rsidRPr="00EC1DB2">
        <w:rPr>
          <w:rFonts w:eastAsia="Malgun Gothic" w:cs="Times New Roman"/>
          <w:szCs w:val="24"/>
        </w:rPr>
        <w:sym w:font="Symbol" w:char="F06D"/>
      </w:r>
      <w:r w:rsidRPr="00EC1DB2">
        <w:rPr>
          <w:rFonts w:eastAsia="Malgun Gothic" w:cs="Times New Roman"/>
          <w:szCs w:val="24"/>
        </w:rPr>
        <w:t xml:space="preserve">m, Milford, MA, USA) and </w:t>
      </w:r>
      <w:proofErr w:type="gramStart"/>
      <w:r w:rsidRPr="00EC1DB2">
        <w:rPr>
          <w:rFonts w:eastAsia="Malgun Gothic" w:cs="Times New Roman"/>
          <w:szCs w:val="24"/>
        </w:rPr>
        <w:t>maintained</w:t>
      </w:r>
      <w:proofErr w:type="gramEnd"/>
      <w:r w:rsidRPr="00EC1DB2">
        <w:rPr>
          <w:rFonts w:eastAsia="Malgun Gothic" w:cs="Times New Roman"/>
          <w:szCs w:val="24"/>
        </w:rPr>
        <w:t xml:space="preserve"> at 40°C. The mobile phases consisted of water (A) and acetonitrile </w:t>
      </w:r>
      <w:r w:rsidRPr="00EC1DB2">
        <w:rPr>
          <w:rFonts w:cs="Times New Roman"/>
          <w:szCs w:val="24"/>
        </w:rPr>
        <w:t>(J. T. Baker, Phillipsburg, NJ, USA)</w:t>
      </w:r>
      <w:r w:rsidRPr="00EC1DB2">
        <w:rPr>
          <w:rFonts w:eastAsia="Malgun Gothic" w:cs="Times New Roman"/>
          <w:szCs w:val="24"/>
        </w:rPr>
        <w:t xml:space="preserve"> (B), both </w:t>
      </w:r>
      <w:proofErr w:type="gramStart"/>
      <w:r w:rsidRPr="00EC1DB2">
        <w:rPr>
          <w:rFonts w:eastAsia="Malgun Gothic" w:cs="Times New Roman"/>
          <w:szCs w:val="24"/>
        </w:rPr>
        <w:t>containing</w:t>
      </w:r>
      <w:proofErr w:type="gramEnd"/>
      <w:r w:rsidRPr="00EC1DB2">
        <w:rPr>
          <w:rFonts w:eastAsia="Malgun Gothic" w:cs="Times New Roman"/>
          <w:szCs w:val="24"/>
        </w:rPr>
        <w:t xml:space="preserve"> 1.0% (v/v) acetic acid </w:t>
      </w:r>
      <w:r w:rsidRPr="00EC1DB2">
        <w:rPr>
          <w:rFonts w:cs="Times New Roman"/>
          <w:szCs w:val="24"/>
        </w:rPr>
        <w:t xml:space="preserve">(Merck </w:t>
      </w:r>
      <w:proofErr w:type="spellStart"/>
      <w:r w:rsidRPr="00EC1DB2">
        <w:rPr>
          <w:rFonts w:cs="Times New Roman"/>
          <w:szCs w:val="24"/>
        </w:rPr>
        <w:t>KGaA</w:t>
      </w:r>
      <w:proofErr w:type="spellEnd"/>
      <w:r w:rsidRPr="00EC1DB2">
        <w:rPr>
          <w:rFonts w:cs="Times New Roman"/>
          <w:szCs w:val="24"/>
        </w:rPr>
        <w:t>)</w:t>
      </w:r>
      <w:r w:rsidRPr="00EC1DB2">
        <w:rPr>
          <w:rFonts w:eastAsia="Malgun Gothic" w:cs="Times New Roman"/>
          <w:szCs w:val="24"/>
        </w:rPr>
        <w:t xml:space="preserve">. The gradient elution of the mobile phase was as follows: 5 to 70% B for 0–40 min, 70 to 100% B for 40–45 min, 100% B for 45–50 min, and 100 to 5% B for 50–55 min. The </w:t>
      </w:r>
      <w:proofErr w:type="gramStart"/>
      <w:r w:rsidRPr="00EC1DB2">
        <w:rPr>
          <w:rFonts w:eastAsia="Malgun Gothic" w:cs="Times New Roman"/>
          <w:szCs w:val="24"/>
        </w:rPr>
        <w:t>flow-rate</w:t>
      </w:r>
      <w:proofErr w:type="gramEnd"/>
      <w:r w:rsidRPr="00EC1DB2">
        <w:rPr>
          <w:rFonts w:eastAsia="Malgun Gothic" w:cs="Times New Roman"/>
          <w:szCs w:val="24"/>
        </w:rPr>
        <w:t xml:space="preserve"> and injection volume were 1.0 mL/min and 10 </w:t>
      </w:r>
      <w:r w:rsidRPr="00EC1DB2">
        <w:rPr>
          <w:rFonts w:eastAsia="Malgun Gothic" w:cs="Times New Roman"/>
          <w:szCs w:val="24"/>
        </w:rPr>
        <w:sym w:font="Symbol" w:char="F06D"/>
      </w:r>
      <w:r w:rsidRPr="00EC1DB2">
        <w:rPr>
          <w:rFonts w:eastAsia="Malgun Gothic" w:cs="Times New Roman"/>
          <w:szCs w:val="24"/>
        </w:rPr>
        <w:t>L, respectively.</w:t>
      </w:r>
      <w:r w:rsidR="00F02DB3" w:rsidRPr="00EC1DB2">
        <w:rPr>
          <w:rFonts w:eastAsia="Malgun Gothic" w:cs="Times New Roman"/>
          <w:szCs w:val="24"/>
        </w:rPr>
        <w:t xml:space="preserve"> The retention times and amounts of </w:t>
      </w:r>
      <w:r w:rsidR="00F02DB3" w:rsidRPr="00EC1DB2">
        <w:rPr>
          <w:rFonts w:cs="Times New Roman"/>
          <w:szCs w:val="24"/>
        </w:rPr>
        <w:t>the 11</w:t>
      </w:r>
      <w:r w:rsidR="00F02DB3" w:rsidRPr="00EC1DB2">
        <w:rPr>
          <w:rFonts w:eastAsia="Gulim" w:cs="Times New Roman"/>
          <w:szCs w:val="24"/>
        </w:rPr>
        <w:t xml:space="preserve"> marker compounds</w:t>
      </w:r>
      <w:r w:rsidR="00F02DB3" w:rsidRPr="00EC1DB2">
        <w:rPr>
          <w:rFonts w:eastAsia="Malgun Gothic" w:cs="Times New Roman"/>
          <w:szCs w:val="24"/>
        </w:rPr>
        <w:t xml:space="preserve"> in BTS are shown in Supplementary </w:t>
      </w:r>
      <w:r w:rsidR="00F02DB3" w:rsidRPr="00EC1DB2">
        <w:rPr>
          <w:rFonts w:cs="Times New Roman"/>
          <w:szCs w:val="24"/>
        </w:rPr>
        <w:t>Figure 1</w:t>
      </w:r>
      <w:r w:rsidR="00F02DB3" w:rsidRPr="00EC1DB2">
        <w:rPr>
          <w:rFonts w:eastAsia="Malgun Gothic" w:cs="Times New Roman"/>
          <w:szCs w:val="24"/>
        </w:rPr>
        <w:t>.</w:t>
      </w:r>
    </w:p>
    <w:p w14:paraId="0D4A4D76" w14:textId="169BBA94" w:rsidR="0070388B" w:rsidRPr="00EC1DB2" w:rsidRDefault="0070388B" w:rsidP="0070388B">
      <w:pPr>
        <w:rPr>
          <w:rFonts w:cs="Times New Roman"/>
          <w:b/>
          <w:szCs w:val="24"/>
        </w:rPr>
      </w:pPr>
      <w:r w:rsidRPr="00EC1DB2">
        <w:rPr>
          <w:rFonts w:cs="Times New Roman"/>
          <w:b/>
          <w:szCs w:val="24"/>
        </w:rPr>
        <w:t>1.3 Primary mouse microglial (</w:t>
      </w:r>
      <w:proofErr w:type="spellStart"/>
      <w:r w:rsidRPr="00EC1DB2">
        <w:rPr>
          <w:rFonts w:cs="Times New Roman"/>
          <w:b/>
          <w:szCs w:val="24"/>
        </w:rPr>
        <w:t>MMcg</w:t>
      </w:r>
      <w:proofErr w:type="spellEnd"/>
      <w:r w:rsidRPr="00EC1DB2">
        <w:rPr>
          <w:rFonts w:cs="Times New Roman"/>
          <w:b/>
          <w:szCs w:val="24"/>
        </w:rPr>
        <w:t>) cells and culture conditions</w:t>
      </w:r>
    </w:p>
    <w:p w14:paraId="768A7112" w14:textId="70CA1CA9" w:rsidR="0070388B" w:rsidRPr="00EC1DB2" w:rsidRDefault="0070388B" w:rsidP="0070388B">
      <w:pPr>
        <w:rPr>
          <w:rFonts w:cs="Times New Roman"/>
          <w:szCs w:val="24"/>
        </w:rPr>
      </w:pPr>
      <w:r w:rsidRPr="00EC1DB2">
        <w:rPr>
          <w:rFonts w:cs="Times New Roman"/>
          <w:szCs w:val="24"/>
        </w:rPr>
        <w:t xml:space="preserve">Neonatal primary </w:t>
      </w:r>
      <w:proofErr w:type="spellStart"/>
      <w:r w:rsidRPr="00EC1DB2">
        <w:rPr>
          <w:rFonts w:cs="Times New Roman"/>
          <w:szCs w:val="24"/>
        </w:rPr>
        <w:t>MMcg</w:t>
      </w:r>
      <w:proofErr w:type="spellEnd"/>
      <w:r w:rsidRPr="00EC1DB2">
        <w:rPr>
          <w:rFonts w:cs="Times New Roman"/>
          <w:szCs w:val="24"/>
        </w:rPr>
        <w:t xml:space="preserve"> cells and microglial culture media were supplied as a kit (code # M8816K-10n) from Cell Applications (San Diego, CA, USA, M8816K-10n). Frozen </w:t>
      </w:r>
      <w:proofErr w:type="spellStart"/>
      <w:r w:rsidRPr="00EC1DB2">
        <w:rPr>
          <w:rFonts w:cs="Times New Roman"/>
          <w:szCs w:val="24"/>
        </w:rPr>
        <w:t>MMcg</w:t>
      </w:r>
      <w:proofErr w:type="spellEnd"/>
      <w:r w:rsidRPr="00EC1DB2">
        <w:rPr>
          <w:rFonts w:cs="Times New Roman"/>
          <w:szCs w:val="24"/>
        </w:rPr>
        <w:t xml:space="preserve"> cells were thawed and resuspended in culture medium as described in the manufacture’s guide. Cells were </w:t>
      </w:r>
      <w:r w:rsidR="000A0D55" w:rsidRPr="00EC1DB2">
        <w:rPr>
          <w:rFonts w:cs="Times New Roman"/>
          <w:szCs w:val="24"/>
        </w:rPr>
        <w:t xml:space="preserve">seeded </w:t>
      </w:r>
      <w:r w:rsidRPr="00EC1DB2">
        <w:rPr>
          <w:rFonts w:cs="Times New Roman"/>
          <w:szCs w:val="24"/>
        </w:rPr>
        <w:t>at a density 40,000 per cm</w:t>
      </w:r>
      <w:r w:rsidRPr="00EC1DB2">
        <w:rPr>
          <w:rFonts w:cs="Times New Roman"/>
          <w:szCs w:val="24"/>
          <w:vertAlign w:val="superscript"/>
        </w:rPr>
        <w:t>2</w:t>
      </w:r>
      <w:r w:rsidRPr="00EC1DB2">
        <w:rPr>
          <w:rFonts w:cs="Times New Roman"/>
          <w:szCs w:val="24"/>
        </w:rPr>
        <w:t xml:space="preserve"> in a 24-well plate. After 24 h, the culture medium was </w:t>
      </w:r>
      <w:proofErr w:type="gramStart"/>
      <w:r w:rsidR="005E445F" w:rsidRPr="00EC1DB2">
        <w:rPr>
          <w:rFonts w:cs="Times New Roman"/>
          <w:szCs w:val="24"/>
        </w:rPr>
        <w:t>renewed</w:t>
      </w:r>
      <w:proofErr w:type="gramEnd"/>
      <w:r w:rsidRPr="00EC1DB2">
        <w:rPr>
          <w:rFonts w:cs="Times New Roman"/>
          <w:szCs w:val="24"/>
        </w:rPr>
        <w:t xml:space="preserve"> and the cells were used for experiments 3 days after initial </w:t>
      </w:r>
      <w:r w:rsidR="00565CF3" w:rsidRPr="00EC1DB2">
        <w:rPr>
          <w:rFonts w:cs="Times New Roman"/>
          <w:szCs w:val="24"/>
        </w:rPr>
        <w:t>seeding</w:t>
      </w:r>
      <w:r w:rsidRPr="00EC1DB2">
        <w:rPr>
          <w:rFonts w:cs="Times New Roman"/>
          <w:szCs w:val="24"/>
        </w:rPr>
        <w:t xml:space="preserve">. </w:t>
      </w:r>
      <w:r w:rsidR="005E445F" w:rsidRPr="00EC1DB2">
        <w:rPr>
          <w:rFonts w:cs="Times New Roman"/>
          <w:szCs w:val="24"/>
        </w:rPr>
        <w:t>C</w:t>
      </w:r>
      <w:r w:rsidRPr="00EC1DB2">
        <w:rPr>
          <w:rFonts w:cs="Times New Roman"/>
          <w:szCs w:val="24"/>
        </w:rPr>
        <w:t xml:space="preserve">ells were pretreated with BTS (400 </w:t>
      </w:r>
      <w:r w:rsidR="005E445F" w:rsidRPr="00EC1DB2">
        <w:rPr>
          <w:rFonts w:cs="Times New Roman"/>
          <w:szCs w:val="24"/>
        </w:rPr>
        <w:t>µ</w:t>
      </w:r>
      <w:r w:rsidRPr="00EC1DB2">
        <w:rPr>
          <w:rFonts w:cs="Times New Roman"/>
          <w:szCs w:val="24"/>
        </w:rPr>
        <w:t>g/mL) 1 h before LPS (100 ng/mL) exposure. The levels of NO and inflammatory cytokines like IL-1</w:t>
      </w:r>
      <w:r w:rsidR="005E445F" w:rsidRPr="00EC1DB2">
        <w:rPr>
          <w:rFonts w:cs="Times New Roman"/>
          <w:szCs w:val="24"/>
        </w:rPr>
        <w:t>β</w:t>
      </w:r>
      <w:r w:rsidRPr="00EC1DB2">
        <w:rPr>
          <w:rFonts w:cs="Times New Roman"/>
          <w:szCs w:val="24"/>
        </w:rPr>
        <w:t>, IL-6, and TNF</w:t>
      </w:r>
      <w:r w:rsidR="009217D6" w:rsidRPr="00EC1DB2">
        <w:rPr>
          <w:rFonts w:cs="Times New Roman"/>
          <w:szCs w:val="24"/>
        </w:rPr>
        <w:t>-</w:t>
      </w:r>
      <w:r w:rsidR="005E445F" w:rsidRPr="00EC1DB2">
        <w:rPr>
          <w:rFonts w:cs="Times New Roman"/>
          <w:szCs w:val="24"/>
        </w:rPr>
        <w:t>α</w:t>
      </w:r>
      <w:r w:rsidRPr="00EC1DB2">
        <w:rPr>
          <w:rFonts w:cs="Times New Roman"/>
          <w:szCs w:val="24"/>
        </w:rPr>
        <w:t xml:space="preserve"> secreted in</w:t>
      </w:r>
      <w:r w:rsidR="00F0138C" w:rsidRPr="00EC1DB2">
        <w:rPr>
          <w:rFonts w:cs="Times New Roman"/>
          <w:szCs w:val="24"/>
        </w:rPr>
        <w:t>to</w:t>
      </w:r>
      <w:r w:rsidRPr="00EC1DB2">
        <w:rPr>
          <w:rFonts w:cs="Times New Roman"/>
          <w:szCs w:val="24"/>
        </w:rPr>
        <w:t xml:space="preserve"> the culture medium were determined 24 h after LPS treatment as described in the Methods section.</w:t>
      </w:r>
    </w:p>
    <w:p w14:paraId="3820AB23" w14:textId="456F1558" w:rsidR="0070388B" w:rsidRPr="00EC1DB2" w:rsidRDefault="0070388B" w:rsidP="0070388B">
      <w:pPr>
        <w:rPr>
          <w:rFonts w:cs="Times New Roman"/>
          <w:b/>
          <w:szCs w:val="24"/>
        </w:rPr>
      </w:pPr>
      <w:r w:rsidRPr="00EC1DB2">
        <w:rPr>
          <w:rFonts w:cs="Times New Roman"/>
          <w:b/>
          <w:szCs w:val="24"/>
        </w:rPr>
        <w:lastRenderedPageBreak/>
        <w:t>1.4 HO-1 knockdown and quantitative real-time PCR</w:t>
      </w:r>
    </w:p>
    <w:p w14:paraId="58523142" w14:textId="451540EA" w:rsidR="0070388B" w:rsidRPr="00EC1DB2" w:rsidRDefault="0070388B" w:rsidP="0070388B">
      <w:pPr>
        <w:rPr>
          <w:rFonts w:cs="Times New Roman"/>
          <w:sz w:val="22"/>
        </w:rPr>
      </w:pPr>
      <w:r w:rsidRPr="00EC1DB2">
        <w:rPr>
          <w:rFonts w:cs="Times New Roman"/>
          <w:szCs w:val="24"/>
        </w:rPr>
        <w:t xml:space="preserve">Knockdown of endogenous HO-1 expression in BV2 cells was mediated by siRNA transfection. The siRNA targeting mouse HO-1 (sc-35555, siHO-1) and negative control siRNA (sc-37007, </w:t>
      </w:r>
      <w:proofErr w:type="spellStart"/>
      <w:r w:rsidRPr="00EC1DB2">
        <w:rPr>
          <w:rFonts w:cs="Times New Roman"/>
          <w:szCs w:val="24"/>
        </w:rPr>
        <w:t>siCtrl</w:t>
      </w:r>
      <w:proofErr w:type="spellEnd"/>
      <w:r w:rsidRPr="00EC1DB2">
        <w:rPr>
          <w:rFonts w:cs="Times New Roman"/>
          <w:szCs w:val="24"/>
        </w:rPr>
        <w:t xml:space="preserve">) were </w:t>
      </w:r>
      <w:proofErr w:type="gramStart"/>
      <w:r w:rsidRPr="00EC1DB2">
        <w:rPr>
          <w:rFonts w:cs="Times New Roman"/>
          <w:szCs w:val="24"/>
        </w:rPr>
        <w:t>purchased</w:t>
      </w:r>
      <w:proofErr w:type="gramEnd"/>
      <w:r w:rsidRPr="00EC1DB2">
        <w:rPr>
          <w:rFonts w:cs="Times New Roman"/>
          <w:szCs w:val="24"/>
        </w:rPr>
        <w:t xml:space="preserve"> from Santa Cruz Biotechnology (Santa Cruz, CA, USA). The siRNAs were introduced into BV2 cells using the </w:t>
      </w:r>
      <w:proofErr w:type="spellStart"/>
      <w:r w:rsidRPr="00EC1DB2">
        <w:rPr>
          <w:rFonts w:cs="Times New Roman"/>
          <w:szCs w:val="24"/>
        </w:rPr>
        <w:t>RNAiMax</w:t>
      </w:r>
      <w:proofErr w:type="spellEnd"/>
      <w:r w:rsidRPr="00EC1DB2">
        <w:rPr>
          <w:rFonts w:cs="Times New Roman"/>
          <w:szCs w:val="24"/>
        </w:rPr>
        <w:t xml:space="preserve"> transfection reagent (Thermo Fisher Scientific, Carlsbad, CA, USA) and Opti-MEM transfection medium (Thermo Fisher Scientific) </w:t>
      </w:r>
      <w:r w:rsidR="005E445F" w:rsidRPr="00EC1DB2">
        <w:rPr>
          <w:rFonts w:cs="Times New Roman"/>
          <w:szCs w:val="24"/>
        </w:rPr>
        <w:t>according to the</w:t>
      </w:r>
      <w:r w:rsidRPr="00EC1DB2">
        <w:rPr>
          <w:rFonts w:cs="Times New Roman"/>
          <w:szCs w:val="24"/>
        </w:rPr>
        <w:t xml:space="preserve"> manufacture</w:t>
      </w:r>
      <w:r w:rsidR="005E445F" w:rsidRPr="00EC1DB2">
        <w:rPr>
          <w:rFonts w:cs="Times New Roman"/>
          <w:szCs w:val="24"/>
        </w:rPr>
        <w:t>r</w:t>
      </w:r>
      <w:r w:rsidRPr="00EC1DB2">
        <w:rPr>
          <w:rFonts w:cs="Times New Roman"/>
          <w:szCs w:val="24"/>
        </w:rPr>
        <w:t>’s</w:t>
      </w:r>
      <w:r w:rsidR="005E445F" w:rsidRPr="00EC1DB2">
        <w:rPr>
          <w:rFonts w:cs="Times New Roman"/>
          <w:szCs w:val="24"/>
        </w:rPr>
        <w:t xml:space="preserve"> instructions</w:t>
      </w:r>
      <w:r w:rsidRPr="00EC1DB2">
        <w:rPr>
          <w:rFonts w:cs="Times New Roman"/>
          <w:szCs w:val="24"/>
        </w:rPr>
        <w:t xml:space="preserve">. Mixtures of siHO-1 or </w:t>
      </w:r>
      <w:proofErr w:type="spellStart"/>
      <w:r w:rsidRPr="00EC1DB2">
        <w:rPr>
          <w:rFonts w:cs="Times New Roman"/>
          <w:szCs w:val="24"/>
        </w:rPr>
        <w:t>siCtrl</w:t>
      </w:r>
      <w:proofErr w:type="spellEnd"/>
      <w:r w:rsidRPr="00EC1DB2">
        <w:rPr>
          <w:rFonts w:cs="Times New Roman"/>
          <w:szCs w:val="24"/>
        </w:rPr>
        <w:t>, and transfection reagent w</w:t>
      </w:r>
      <w:r w:rsidR="005E445F" w:rsidRPr="00EC1DB2">
        <w:rPr>
          <w:rFonts w:cs="Times New Roman"/>
          <w:szCs w:val="24"/>
        </w:rPr>
        <w:t>ere</w:t>
      </w:r>
      <w:r w:rsidRPr="00EC1DB2">
        <w:rPr>
          <w:rFonts w:cs="Times New Roman"/>
          <w:szCs w:val="24"/>
        </w:rPr>
        <w:t xml:space="preserve"> prepared in a 6-well culture plate. BV2 cells (2.5 x 10</w:t>
      </w:r>
      <w:r w:rsidRPr="00EC1DB2">
        <w:rPr>
          <w:rFonts w:cs="Times New Roman"/>
          <w:szCs w:val="24"/>
          <w:vertAlign w:val="superscript"/>
        </w:rPr>
        <w:t>5</w:t>
      </w:r>
      <w:r w:rsidRPr="00EC1DB2">
        <w:rPr>
          <w:rFonts w:cs="Times New Roman"/>
          <w:szCs w:val="24"/>
        </w:rPr>
        <w:t xml:space="preserve"> cells per well) were </w:t>
      </w:r>
      <w:r w:rsidR="00B076D5" w:rsidRPr="00EC1DB2">
        <w:rPr>
          <w:rFonts w:cs="Times New Roman"/>
          <w:szCs w:val="24"/>
          <w:lang w:eastAsia="ko-KR"/>
        </w:rPr>
        <w:t xml:space="preserve"> </w:t>
      </w:r>
      <w:proofErr w:type="spellStart"/>
      <w:r w:rsidR="00B076D5" w:rsidRPr="00EC1DB2">
        <w:rPr>
          <w:rFonts w:cs="Times New Roman"/>
          <w:szCs w:val="24"/>
          <w:lang w:eastAsia="ko-KR"/>
        </w:rPr>
        <w:t>were</w:t>
      </w:r>
      <w:proofErr w:type="spellEnd"/>
      <w:r w:rsidR="00B076D5" w:rsidRPr="00EC1DB2">
        <w:rPr>
          <w:rFonts w:cs="Times New Roman"/>
          <w:szCs w:val="24"/>
          <w:lang w:eastAsia="ko-KR"/>
        </w:rPr>
        <w:t xml:space="preserve"> distributed on</w:t>
      </w:r>
      <w:r w:rsidRPr="00EC1DB2">
        <w:rPr>
          <w:rFonts w:cs="Times New Roman"/>
          <w:szCs w:val="24"/>
        </w:rPr>
        <w:t xml:space="preserve"> </w:t>
      </w:r>
      <w:r w:rsidR="00B076D5" w:rsidRPr="00EC1DB2">
        <w:rPr>
          <w:rFonts w:cs="Times New Roman"/>
          <w:szCs w:val="24"/>
        </w:rPr>
        <w:t xml:space="preserve">the </w:t>
      </w:r>
      <w:r w:rsidRPr="00EC1DB2">
        <w:rPr>
          <w:rFonts w:cs="Times New Roman"/>
          <w:szCs w:val="24"/>
        </w:rPr>
        <w:t>siRNA/transfection reagent mix</w:t>
      </w:r>
      <w:r w:rsidR="005E445F" w:rsidRPr="00EC1DB2">
        <w:rPr>
          <w:rFonts w:cs="Times New Roman"/>
          <w:szCs w:val="24"/>
        </w:rPr>
        <w:t>es</w:t>
      </w:r>
      <w:r w:rsidRPr="00EC1DB2">
        <w:rPr>
          <w:rFonts w:cs="Times New Roman"/>
          <w:szCs w:val="24"/>
        </w:rPr>
        <w:t xml:space="preserve"> and incubated in a humidified CO</w:t>
      </w:r>
      <w:r w:rsidRPr="00EC1DB2">
        <w:rPr>
          <w:rFonts w:cs="Times New Roman"/>
          <w:szCs w:val="24"/>
          <w:vertAlign w:val="subscript"/>
        </w:rPr>
        <w:t>2</w:t>
      </w:r>
      <w:r w:rsidRPr="00EC1DB2">
        <w:rPr>
          <w:rFonts w:cs="Times New Roman"/>
          <w:szCs w:val="24"/>
        </w:rPr>
        <w:t xml:space="preserve"> incubator at 37°C. Forty eight hours after siRNA transfection, cells were pretreated with 400 </w:t>
      </w:r>
      <w:r w:rsidR="005E445F" w:rsidRPr="00EC1DB2">
        <w:rPr>
          <w:rFonts w:cs="Times New Roman"/>
          <w:szCs w:val="24"/>
        </w:rPr>
        <w:t>µ</w:t>
      </w:r>
      <w:r w:rsidRPr="00EC1DB2">
        <w:rPr>
          <w:rFonts w:cs="Times New Roman"/>
          <w:szCs w:val="24"/>
        </w:rPr>
        <w:t>g/mL BTS for 1 h and then exposed to 100 ng/mL LPS for 6 h (quantitative PCR) or 24 h (western blot). Quantitative real-time PCR using total RNAs and western blotting using whole cell lysates were performed as described in the Methods section.</w:t>
      </w:r>
    </w:p>
    <w:p w14:paraId="1D1AA9AA" w14:textId="77777777" w:rsidR="005862F8" w:rsidRPr="00EC1DB2" w:rsidRDefault="005862F8" w:rsidP="005862F8"/>
    <w:p w14:paraId="52B8EC53" w14:textId="46EDE0DE" w:rsidR="00287E09" w:rsidRPr="00EC1DB2" w:rsidRDefault="00654E8F" w:rsidP="00F02DB3">
      <w:pPr>
        <w:pStyle w:val="Heading1"/>
        <w:pageBreakBefore/>
      </w:pPr>
      <w:r w:rsidRPr="00EC1DB2">
        <w:lastRenderedPageBreak/>
        <w:t xml:space="preserve">Supplementary </w:t>
      </w:r>
      <w:r w:rsidR="001229B0" w:rsidRPr="00EC1DB2">
        <w:t xml:space="preserve">Tables and Figures </w:t>
      </w:r>
    </w:p>
    <w:p w14:paraId="5BD0EDD2" w14:textId="5D60686B" w:rsidR="00287E09" w:rsidRPr="00EC1DB2" w:rsidRDefault="008E5C48" w:rsidP="008E5C48">
      <w:pPr>
        <w:pStyle w:val="Heading2"/>
      </w:pPr>
      <w:r w:rsidRPr="00EC1DB2">
        <w:t>Supplementary</w:t>
      </w:r>
      <w:r w:rsidR="001229B0" w:rsidRPr="00EC1DB2">
        <w:t xml:space="preserve"> </w:t>
      </w:r>
      <w:r w:rsidR="001229B0" w:rsidRPr="00EC1DB2">
        <w:rPr>
          <w:rFonts w:eastAsiaTheme="minorEastAsia" w:hint="eastAsia"/>
          <w:lang w:eastAsia="ko-KR"/>
        </w:rPr>
        <w:t>Table</w:t>
      </w:r>
      <w:r w:rsidRPr="00EC1DB2">
        <w:t>s</w:t>
      </w:r>
    </w:p>
    <w:p w14:paraId="5A65AF54" w14:textId="7E28270D" w:rsidR="008168EB" w:rsidRPr="00EC1DB2" w:rsidRDefault="00FC75F2" w:rsidP="00287E09">
      <w:pPr>
        <w:rPr>
          <w:rFonts w:cs="Times New Roman"/>
          <w:b/>
          <w:szCs w:val="24"/>
        </w:rPr>
      </w:pPr>
      <w:r w:rsidRPr="00EC1DB2">
        <w:rPr>
          <w:b/>
        </w:rPr>
        <w:t>Supplementary</w:t>
      </w:r>
      <w:r w:rsidRPr="00EC1DB2">
        <w:rPr>
          <w:rFonts w:cs="Times New Roman"/>
          <w:b/>
          <w:szCs w:val="24"/>
        </w:rPr>
        <w:t xml:space="preserve"> </w:t>
      </w:r>
      <w:r w:rsidR="008168EB" w:rsidRPr="00EC1DB2">
        <w:rPr>
          <w:rFonts w:cs="Times New Roman"/>
          <w:b/>
          <w:szCs w:val="24"/>
        </w:rPr>
        <w:t>Table 1. The composition and proportion of herb</w:t>
      </w:r>
      <w:r w:rsidRPr="00EC1DB2">
        <w:rPr>
          <w:rFonts w:cs="Times New Roman" w:hint="eastAsia"/>
          <w:b/>
          <w:szCs w:val="24"/>
          <w:lang w:eastAsia="ko-KR"/>
        </w:rPr>
        <w:t>s</w:t>
      </w:r>
      <w:r w:rsidR="008168EB" w:rsidRPr="00EC1DB2">
        <w:rPr>
          <w:rFonts w:cs="Times New Roman"/>
          <w:b/>
          <w:szCs w:val="24"/>
        </w:rPr>
        <w:t xml:space="preserve"> in BTS</w:t>
      </w:r>
    </w:p>
    <w:tbl>
      <w:tblPr>
        <w:tblStyle w:val="21"/>
        <w:tblpPr w:leftFromText="142" w:rightFromText="142" w:vertAnchor="page" w:horzAnchor="margin" w:tblpY="2831"/>
        <w:tblW w:w="0" w:type="auto"/>
        <w:tblLook w:val="04A0" w:firstRow="1" w:lastRow="0" w:firstColumn="1" w:lastColumn="0" w:noHBand="0" w:noVBand="1"/>
      </w:tblPr>
      <w:tblGrid>
        <w:gridCol w:w="4111"/>
        <w:gridCol w:w="2552"/>
        <w:gridCol w:w="1275"/>
        <w:gridCol w:w="1740"/>
      </w:tblGrid>
      <w:tr w:rsidR="00EC1DB2" w:rsidRPr="00EC1DB2" w14:paraId="7DEBEDB0" w14:textId="77777777" w:rsidTr="00AD72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FC80167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Botanical name</w:t>
            </w:r>
          </w:p>
        </w:tc>
        <w:tc>
          <w:tcPr>
            <w:tcW w:w="255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6EA83CB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Herbal name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DCEBF23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Dosage(g)</w:t>
            </w:r>
          </w:p>
        </w:tc>
        <w:tc>
          <w:tcPr>
            <w:tcW w:w="174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F878AFE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 w:hint="eastAsia"/>
                <w:sz w:val="20"/>
                <w:szCs w:val="20"/>
              </w:rPr>
              <w:t xml:space="preserve">Voucher </w:t>
            </w:r>
            <w:r w:rsidRPr="00EC1DB2">
              <w:rPr>
                <w:rFonts w:eastAsia="Malgun Gothic" w:cs="Times New Roman"/>
                <w:sz w:val="20"/>
                <w:szCs w:val="20"/>
              </w:rPr>
              <w:t>No.</w:t>
            </w:r>
          </w:p>
        </w:tc>
      </w:tr>
      <w:tr w:rsidR="00EC1DB2" w:rsidRPr="00EC1DB2" w14:paraId="10505BD7" w14:textId="77777777" w:rsidTr="00AD7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single" w:sz="4" w:space="0" w:color="auto"/>
              <w:bottom w:val="nil"/>
            </w:tcBorders>
            <w:vAlign w:val="center"/>
          </w:tcPr>
          <w:p w14:paraId="5F0A7AB6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9" w:history="1"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Angelica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gigas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>Nakai</w:t>
              </w:r>
              <w:proofErr w:type="spellEnd"/>
            </w:hyperlink>
          </w:p>
        </w:tc>
        <w:tc>
          <w:tcPr>
            <w:tcW w:w="2552" w:type="dxa"/>
            <w:tcBorders>
              <w:top w:val="single" w:sz="4" w:space="0" w:color="auto"/>
              <w:bottom w:val="nil"/>
            </w:tcBorders>
            <w:vAlign w:val="center"/>
          </w:tcPr>
          <w:p w14:paraId="30128909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Angelica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gigas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  <w:vAlign w:val="center"/>
          </w:tcPr>
          <w:p w14:paraId="521FEDD8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single" w:sz="4" w:space="0" w:color="auto"/>
              <w:bottom w:val="nil"/>
            </w:tcBorders>
            <w:vAlign w:val="center"/>
          </w:tcPr>
          <w:p w14:paraId="2DF44D90" w14:textId="2685FF23" w:rsidR="00F02DB3" w:rsidRPr="00EC1DB2" w:rsidRDefault="00E80B86" w:rsidP="00E80B86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9-19-0332</w:t>
            </w:r>
          </w:p>
        </w:tc>
      </w:tr>
      <w:tr w:rsidR="00EC1DB2" w:rsidRPr="00EC1DB2" w14:paraId="2F497505" w14:textId="77777777" w:rsidTr="00AD72F2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75E0085D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10" w:history="1"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Paeonia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lactiflora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Pall.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EADE002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Paeonia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lactiflora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F7768E4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02FFED91" w14:textId="0017A79E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9-19-0333</w:t>
            </w:r>
          </w:p>
        </w:tc>
      </w:tr>
      <w:tr w:rsidR="00EC1DB2" w:rsidRPr="00EC1DB2" w14:paraId="6B09A700" w14:textId="77777777" w:rsidTr="00AD7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301B1424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b w:val="0"/>
                <w:i/>
                <w:iCs/>
                <w:sz w:val="20"/>
                <w:szCs w:val="20"/>
              </w:rPr>
              <w:t>Cnidium</w:t>
            </w:r>
            <w:proofErr w:type="spellEnd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EC1DB2">
              <w:rPr>
                <w:rFonts w:eastAsia="Malgun Gothic" w:cs="Times New Roman"/>
                <w:b w:val="0"/>
                <w:i/>
                <w:iCs/>
                <w:sz w:val="20"/>
                <w:szCs w:val="20"/>
              </w:rPr>
              <w:t>officinale</w:t>
            </w:r>
            <w:proofErr w:type="spellEnd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 xml:space="preserve"> Makino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19E072F6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Cnidium</w:t>
            </w:r>
            <w:proofErr w:type="spellEnd"/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officinale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2A6FE97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6B81BBAC" w14:textId="4CCA333E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9-19-0334</w:t>
            </w:r>
          </w:p>
        </w:tc>
      </w:tr>
      <w:tr w:rsidR="00EC1DB2" w:rsidRPr="00EC1DB2" w14:paraId="4E4EC0E4" w14:textId="77777777" w:rsidTr="00AD72F2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6C588C08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11" w:history="1"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Gardenia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jasminoides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>J.Ellis</w:t>
              </w:r>
              <w:proofErr w:type="spellEnd"/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1C00F171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Gardenia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jasminoides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6B3B2A21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57CC2906" w14:textId="38CB6A61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9-19-0335</w:t>
            </w:r>
          </w:p>
        </w:tc>
      </w:tr>
      <w:tr w:rsidR="00EC1DB2" w:rsidRPr="00EC1DB2" w14:paraId="40599FD4" w14:textId="77777777" w:rsidTr="00AD7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3E4AD261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12" w:history="1"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Forsythia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viridissima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>Lindl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>.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5775AE20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Forsythia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viridissima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8A5E820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6FC7000B" w14:textId="6629CB6B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9-19-0336</w:t>
            </w:r>
          </w:p>
        </w:tc>
      </w:tr>
      <w:tr w:rsidR="00EC1DB2" w:rsidRPr="00EC1DB2" w14:paraId="33629DC8" w14:textId="77777777" w:rsidTr="00AD72F2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49556F57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13" w:history="1"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Mentha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arvensis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L.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6D9D48F3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>Mentha arvensis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6048524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3674A174" w14:textId="6D3F3808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9-19-0337</w:t>
            </w:r>
          </w:p>
        </w:tc>
      </w:tr>
      <w:tr w:rsidR="00EC1DB2" w:rsidRPr="00EC1DB2" w14:paraId="3C32AA57" w14:textId="77777777" w:rsidTr="00AD7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694BD5CC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14" w:history="1"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Zingiber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officinale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Roscoe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1D55F2A4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Zingiber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officinale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54A36E7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0B28EDAD" w14:textId="3ED94B49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9-19-0338</w:t>
            </w:r>
          </w:p>
        </w:tc>
      </w:tr>
      <w:tr w:rsidR="00EC1DB2" w:rsidRPr="00EC1DB2" w14:paraId="40369F73" w14:textId="77777777" w:rsidTr="00AD72F2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7EBD90B0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15" w:history="1"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Schizonepeta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tenuifolia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(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>Benth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.)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>Briq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>.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49649BE9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Schizonepeta</w:t>
            </w:r>
            <w:proofErr w:type="spellEnd"/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tenuifolia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3BE09BE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1C889E89" w14:textId="1FE33FAA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9-19-0339</w:t>
            </w:r>
          </w:p>
        </w:tc>
      </w:tr>
      <w:tr w:rsidR="00EC1DB2" w:rsidRPr="00EC1DB2" w14:paraId="3C953A93" w14:textId="77777777" w:rsidTr="00AD7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0A8FC2AA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b w:val="0"/>
                <w:i/>
                <w:iCs/>
                <w:sz w:val="20"/>
                <w:szCs w:val="20"/>
              </w:rPr>
              <w:t>Saposhnikovia</w:t>
            </w:r>
            <w:proofErr w:type="spellEnd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EC1DB2">
              <w:rPr>
                <w:rFonts w:eastAsia="Malgun Gothic" w:cs="Times New Roman"/>
                <w:b w:val="0"/>
                <w:i/>
                <w:iCs/>
                <w:sz w:val="20"/>
                <w:szCs w:val="20"/>
              </w:rPr>
              <w:t>divaricata</w:t>
            </w:r>
            <w:proofErr w:type="spellEnd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 xml:space="preserve"> (</w:t>
            </w:r>
            <w:proofErr w:type="spellStart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>Turcz</w:t>
            </w:r>
            <w:proofErr w:type="spellEnd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 xml:space="preserve">.) </w:t>
            </w:r>
            <w:proofErr w:type="spellStart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>Schischk</w:t>
            </w:r>
            <w:proofErr w:type="spellEnd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>.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482BBCF6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Saposhnikovia</w:t>
            </w:r>
            <w:proofErr w:type="spellEnd"/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divaricata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0FD14F7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181A1B47" w14:textId="73AE6460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9-19-0340</w:t>
            </w:r>
          </w:p>
        </w:tc>
      </w:tr>
      <w:tr w:rsidR="00EC1DB2" w:rsidRPr="00EC1DB2" w14:paraId="27B1E288" w14:textId="77777777" w:rsidTr="00AD72F2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43F4F3B1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r w:rsidRPr="00EC1DB2">
              <w:rPr>
                <w:rFonts w:eastAsia="Malgun Gothic" w:cs="Times New Roman"/>
                <w:b w:val="0"/>
                <w:i/>
                <w:iCs/>
                <w:sz w:val="20"/>
                <w:szCs w:val="20"/>
              </w:rPr>
              <w:t>Ephedra</w:t>
            </w:r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EC1DB2">
              <w:rPr>
                <w:rFonts w:eastAsia="Malgun Gothic" w:cs="Times New Roman"/>
                <w:b w:val="0"/>
                <w:i/>
                <w:iCs/>
                <w:sz w:val="20"/>
                <w:szCs w:val="20"/>
              </w:rPr>
              <w:t>sinica</w:t>
            </w:r>
            <w:proofErr w:type="spellEnd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 xml:space="preserve"> </w:t>
            </w:r>
            <w:proofErr w:type="spellStart"/>
            <w:r w:rsidRPr="00EC1DB2">
              <w:rPr>
                <w:rFonts w:eastAsia="Malgun Gothic" w:cs="Times New Roman"/>
                <w:b w:val="0"/>
                <w:sz w:val="20"/>
                <w:szCs w:val="20"/>
              </w:rPr>
              <w:t>Stapf</w:t>
            </w:r>
            <w:proofErr w:type="spellEnd"/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735A26C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Ephedra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sinica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FA4C9E6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103.6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7FE24D06" w14:textId="4DE82846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9-19-0341</w:t>
            </w:r>
          </w:p>
        </w:tc>
      </w:tr>
      <w:tr w:rsidR="00EC1DB2" w:rsidRPr="00EC1DB2" w14:paraId="5B1A6C0A" w14:textId="77777777" w:rsidTr="00AD7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6E4C3EEA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16" w:history="1"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Rheum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undulatum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L.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7E168A18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Rheum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undulatum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41BCBAEC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129.5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005BC17C" w14:textId="3ED709A0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9-19-0342</w:t>
            </w:r>
          </w:p>
        </w:tc>
      </w:tr>
      <w:tr w:rsidR="00EC1DB2" w:rsidRPr="00EC1DB2" w14:paraId="326B3DDA" w14:textId="77777777" w:rsidTr="00AD72F2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1FAFAC1B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b w:val="0"/>
                <w:i/>
                <w:sz w:val="20"/>
                <w:szCs w:val="20"/>
              </w:rPr>
              <w:t>Natrii</w:t>
            </w:r>
            <w:proofErr w:type="spellEnd"/>
            <w:r w:rsidRPr="00EC1DB2">
              <w:rPr>
                <w:rFonts w:eastAsia="Malgun Gothic" w:cs="Times New Roman"/>
                <w:b w:val="0"/>
                <w:i/>
                <w:sz w:val="20"/>
                <w:szCs w:val="20"/>
              </w:rPr>
              <w:t xml:space="preserve"> sulfas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316A3BF6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Natrii</w:t>
            </w:r>
            <w:proofErr w:type="spellEnd"/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 sulfas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38B1007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129.5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18F2B735" w14:textId="0A7F58C0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9-19-0343</w:t>
            </w:r>
          </w:p>
        </w:tc>
      </w:tr>
      <w:tr w:rsidR="00EC1DB2" w:rsidRPr="00EC1DB2" w14:paraId="7284C503" w14:textId="77777777" w:rsidTr="00AD7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5730A69E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  <w:lang w:val="fr-CH"/>
              </w:rPr>
            </w:pPr>
            <w:hyperlink r:id="rId17" w:history="1"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  <w:lang w:val="fr-CH"/>
                </w:rPr>
                <w:t>Atractylodes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  <w:lang w:val="fr-CH"/>
                </w:rPr>
                <w:t>japonica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>Koidz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 xml:space="preserve">. </w:t>
              </w:r>
              <w:proofErr w:type="gramStart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>ex</w:t>
              </w:r>
              <w:proofErr w:type="gram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>Kitam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>.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0074CDC0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Atractylodes</w:t>
            </w:r>
            <w:proofErr w:type="spellEnd"/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 japonica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1C05E3C4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173.5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28FFA5B4" w14:textId="122E770E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9-19-0344</w:t>
            </w:r>
          </w:p>
        </w:tc>
      </w:tr>
      <w:tr w:rsidR="00EC1DB2" w:rsidRPr="00EC1DB2" w14:paraId="7A9F2A72" w14:textId="77777777" w:rsidTr="00AD72F2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6A870BBF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  <w:lang w:val="fr-CH"/>
              </w:rPr>
            </w:pPr>
            <w:hyperlink r:id="rId18" w:history="1"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  <w:lang w:val="fr-CH"/>
                </w:rPr>
                <w:t>Platycodon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  <w:lang w:val="fr-CH"/>
                </w:rPr>
                <w:t>grandiflorus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  <w:lang w:val="fr-CH"/>
                </w:rPr>
                <w:t xml:space="preserve"> (Jacq.) A.DC.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59DA8629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Platycodon</w:t>
            </w:r>
            <w:proofErr w:type="spellEnd"/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 grandiflorum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F59C2B0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173.5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218EB414" w14:textId="720ACC23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9-19-0345</w:t>
            </w:r>
          </w:p>
        </w:tc>
      </w:tr>
      <w:tr w:rsidR="00EC1DB2" w:rsidRPr="00EC1DB2" w14:paraId="4ED69780" w14:textId="77777777" w:rsidTr="00AD7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472C46AF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19" w:history="1"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Scutellaria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baicalensis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Georgi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08A07760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Scutellaria</w:t>
            </w:r>
            <w:proofErr w:type="spellEnd"/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baicalensis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0F106283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173.5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029FFDC1" w14:textId="40D49D91" w:rsidR="00F02DB3" w:rsidRPr="00EC1DB2" w:rsidRDefault="00E80B86" w:rsidP="00E80B86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9-19-0346</w:t>
            </w:r>
          </w:p>
        </w:tc>
      </w:tr>
      <w:tr w:rsidR="00EC1DB2" w:rsidRPr="00EC1DB2" w14:paraId="4FEB7D6E" w14:textId="77777777" w:rsidTr="00AD72F2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197EE0CC" w14:textId="77777777" w:rsidR="00F02DB3" w:rsidRPr="00EC1DB2" w:rsidRDefault="00B654B6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hyperlink r:id="rId20" w:history="1"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Glycyrrhiza</w:t>
              </w:r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</w:t>
              </w:r>
              <w:proofErr w:type="spellStart"/>
              <w:r w:rsidR="00F02DB3" w:rsidRPr="00EC1DB2">
                <w:rPr>
                  <w:rFonts w:eastAsia="Malgun Gothic" w:cs="Times New Roman"/>
                  <w:b w:val="0"/>
                  <w:i/>
                  <w:iCs/>
                  <w:sz w:val="20"/>
                  <w:szCs w:val="20"/>
                </w:rPr>
                <w:t>uralensis</w:t>
              </w:r>
              <w:proofErr w:type="spellEnd"/>
              <w:r w:rsidR="00F02DB3" w:rsidRPr="00EC1DB2">
                <w:rPr>
                  <w:rFonts w:eastAsia="Malgun Gothic" w:cs="Times New Roman"/>
                  <w:b w:val="0"/>
                  <w:sz w:val="20"/>
                  <w:szCs w:val="20"/>
                </w:rPr>
                <w:t xml:space="preserve"> Fisch.</w:t>
              </w:r>
            </w:hyperlink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3382ADAE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 xml:space="preserve">Glycyrrhiza </w:t>
            </w:r>
            <w:proofErr w:type="spellStart"/>
            <w:r w:rsidRPr="00EC1DB2">
              <w:rPr>
                <w:rFonts w:eastAsia="Malgun Gothic" w:cs="Times New Roman"/>
                <w:i/>
                <w:sz w:val="20"/>
                <w:szCs w:val="20"/>
              </w:rPr>
              <w:t>uralensis</w:t>
            </w:r>
            <w:proofErr w:type="spellEnd"/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374DAF33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173.5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3A46F9D7" w14:textId="4E236647" w:rsidR="00F02DB3" w:rsidRPr="00EC1DB2" w:rsidRDefault="00E80B86" w:rsidP="00E80B86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9-19-0347</w:t>
            </w:r>
          </w:p>
        </w:tc>
      </w:tr>
      <w:tr w:rsidR="00EC1DB2" w:rsidRPr="00EC1DB2" w14:paraId="114269EE" w14:textId="77777777" w:rsidTr="00AD72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nil"/>
            </w:tcBorders>
            <w:vAlign w:val="center"/>
          </w:tcPr>
          <w:p w14:paraId="1837B403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r w:rsidRPr="00EC1DB2">
              <w:rPr>
                <w:rFonts w:eastAsia="Malgun Gothic" w:cs="Times New Roman"/>
                <w:b w:val="0"/>
                <w:i/>
                <w:sz w:val="20"/>
                <w:szCs w:val="20"/>
              </w:rPr>
              <w:t>Talcum</w:t>
            </w:r>
          </w:p>
        </w:tc>
        <w:tc>
          <w:tcPr>
            <w:tcW w:w="2552" w:type="dxa"/>
            <w:tcBorders>
              <w:top w:val="nil"/>
              <w:bottom w:val="nil"/>
            </w:tcBorders>
            <w:vAlign w:val="center"/>
          </w:tcPr>
          <w:p w14:paraId="2C01A2C5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>Talcum</w:t>
            </w: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55CE2493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173.5</w:t>
            </w:r>
          </w:p>
        </w:tc>
        <w:tc>
          <w:tcPr>
            <w:tcW w:w="1740" w:type="dxa"/>
            <w:tcBorders>
              <w:top w:val="nil"/>
              <w:bottom w:val="nil"/>
            </w:tcBorders>
            <w:vAlign w:val="center"/>
          </w:tcPr>
          <w:p w14:paraId="605E0067" w14:textId="68C89E83" w:rsidR="00F02DB3" w:rsidRPr="00EC1DB2" w:rsidRDefault="00E80B86" w:rsidP="00E80B86">
            <w:pPr>
              <w:widowControl w:val="0"/>
              <w:wordWrap w:val="0"/>
              <w:autoSpaceDE w:val="0"/>
              <w:autoSpaceDN w:val="0"/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9-19-0348</w:t>
            </w:r>
          </w:p>
        </w:tc>
      </w:tr>
      <w:tr w:rsidR="00EC1DB2" w:rsidRPr="00EC1DB2" w14:paraId="608C3250" w14:textId="77777777" w:rsidTr="00AD72F2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tcBorders>
              <w:top w:val="nil"/>
              <w:bottom w:val="single" w:sz="12" w:space="0" w:color="auto"/>
            </w:tcBorders>
            <w:vAlign w:val="center"/>
          </w:tcPr>
          <w:p w14:paraId="3BE68243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rPr>
                <w:rFonts w:eastAsia="Malgun Gothic" w:cs="Times New Roman"/>
                <w:b w:val="0"/>
                <w:sz w:val="20"/>
                <w:szCs w:val="20"/>
              </w:rPr>
            </w:pPr>
            <w:r w:rsidRPr="00EC1DB2">
              <w:rPr>
                <w:rFonts w:eastAsia="Malgun Gothic" w:cs="Times New Roman"/>
                <w:b w:val="0"/>
                <w:i/>
                <w:sz w:val="20"/>
                <w:szCs w:val="20"/>
              </w:rPr>
              <w:t>Gypsum</w:t>
            </w:r>
          </w:p>
        </w:tc>
        <w:tc>
          <w:tcPr>
            <w:tcW w:w="2552" w:type="dxa"/>
            <w:tcBorders>
              <w:top w:val="nil"/>
              <w:bottom w:val="single" w:sz="12" w:space="0" w:color="auto"/>
            </w:tcBorders>
            <w:vAlign w:val="center"/>
          </w:tcPr>
          <w:p w14:paraId="15202407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i/>
                <w:sz w:val="20"/>
                <w:szCs w:val="20"/>
              </w:rPr>
            </w:pPr>
            <w:r w:rsidRPr="00EC1DB2">
              <w:rPr>
                <w:rFonts w:eastAsia="Malgun Gothic" w:cs="Times New Roman"/>
                <w:i/>
                <w:sz w:val="20"/>
                <w:szCs w:val="20"/>
              </w:rPr>
              <w:t>Gypsum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vAlign w:val="center"/>
          </w:tcPr>
          <w:p w14:paraId="0D12D24C" w14:textId="77777777" w:rsidR="00F02DB3" w:rsidRPr="00EC1DB2" w:rsidRDefault="00F02DB3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259</w:t>
            </w:r>
          </w:p>
        </w:tc>
        <w:tc>
          <w:tcPr>
            <w:tcW w:w="1740" w:type="dxa"/>
            <w:tcBorders>
              <w:top w:val="nil"/>
              <w:bottom w:val="single" w:sz="12" w:space="0" w:color="auto"/>
            </w:tcBorders>
            <w:vAlign w:val="center"/>
          </w:tcPr>
          <w:p w14:paraId="261A7877" w14:textId="716CD68B" w:rsidR="00F02DB3" w:rsidRPr="00EC1DB2" w:rsidRDefault="00E80B86" w:rsidP="00F02DB3">
            <w:pPr>
              <w:widowControl w:val="0"/>
              <w:wordWrap w:val="0"/>
              <w:autoSpaceDE w:val="0"/>
              <w:autoSpaceDN w:val="0"/>
              <w:spacing w:before="0"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Malgun Gothic" w:cs="Times New Roman"/>
                <w:sz w:val="20"/>
                <w:szCs w:val="20"/>
              </w:rPr>
            </w:pPr>
            <w:r w:rsidRPr="00EC1DB2">
              <w:rPr>
                <w:rFonts w:eastAsia="Malgun Gothic" w:cs="Times New Roman"/>
                <w:sz w:val="20"/>
                <w:szCs w:val="20"/>
              </w:rPr>
              <w:t>9-19-0349</w:t>
            </w:r>
          </w:p>
        </w:tc>
      </w:tr>
    </w:tbl>
    <w:p w14:paraId="7137B85B" w14:textId="1A3B7562" w:rsidR="008E5C48" w:rsidRPr="00EC1DB2" w:rsidRDefault="008E5C48" w:rsidP="008168EB"/>
    <w:p w14:paraId="6754D378" w14:textId="22E9A2BC" w:rsidR="00994A3D" w:rsidRPr="00EC1DB2" w:rsidRDefault="008E5C48" w:rsidP="001229B0">
      <w:pPr>
        <w:pStyle w:val="Heading2"/>
        <w:pageBreakBefore/>
        <w:numPr>
          <w:ilvl w:val="0"/>
          <w:numId w:val="0"/>
        </w:numPr>
        <w:adjustRightInd w:val="0"/>
        <w:snapToGrid w:val="0"/>
        <w:jc w:val="both"/>
      </w:pPr>
      <w:r w:rsidRPr="00EC1DB2">
        <w:lastRenderedPageBreak/>
        <w:t xml:space="preserve">2.2     </w:t>
      </w:r>
      <w:r w:rsidR="00994A3D" w:rsidRPr="00EC1DB2">
        <w:t>Supplementary Figures</w:t>
      </w:r>
    </w:p>
    <w:p w14:paraId="3A5023A8" w14:textId="08CDBD19" w:rsidR="001229B0" w:rsidRPr="00EC1DB2" w:rsidRDefault="008E5C48" w:rsidP="001229B0">
      <w:pPr>
        <w:keepNext/>
        <w:jc w:val="center"/>
        <w:rPr>
          <w:rFonts w:cs="Times New Roman"/>
          <w:szCs w:val="24"/>
        </w:rPr>
      </w:pPr>
      <w:r w:rsidRPr="00EC1DB2">
        <w:rPr>
          <w:rFonts w:cs="Times New Roman"/>
          <w:noProof/>
          <w:szCs w:val="24"/>
          <w:lang w:eastAsia="ko-KR"/>
        </w:rPr>
        <w:drawing>
          <wp:inline distT="0" distB="0" distL="0" distR="0" wp14:anchorId="35222668" wp14:editId="5A1D2181">
            <wp:extent cx="5788623" cy="7181850"/>
            <wp:effectExtent l="0" t="0" r="317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9" cy="721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5BC41" w14:textId="124E2247" w:rsidR="00DE23E8" w:rsidRPr="00EC1DB2" w:rsidRDefault="00994A3D" w:rsidP="001229B0">
      <w:pPr>
        <w:jc w:val="both"/>
        <w:rPr>
          <w:rFonts w:eastAsia="Gulim" w:cs="Times New Roman"/>
          <w:szCs w:val="24"/>
        </w:rPr>
      </w:pPr>
      <w:r w:rsidRPr="00EC1DB2">
        <w:rPr>
          <w:rFonts w:cs="Times New Roman"/>
          <w:b/>
          <w:szCs w:val="24"/>
        </w:rPr>
        <w:t xml:space="preserve">Supplementary Figure </w:t>
      </w:r>
      <w:r w:rsidRPr="00EC1DB2">
        <w:rPr>
          <w:rFonts w:cs="Times New Roman"/>
          <w:b/>
          <w:szCs w:val="24"/>
        </w:rPr>
        <w:fldChar w:fldCharType="begin"/>
      </w:r>
      <w:r w:rsidRPr="00EC1DB2">
        <w:rPr>
          <w:rFonts w:cs="Times New Roman"/>
          <w:b/>
          <w:szCs w:val="24"/>
        </w:rPr>
        <w:instrText xml:space="preserve"> SEQ Figure \* ARABIC </w:instrText>
      </w:r>
      <w:r w:rsidRPr="00EC1DB2">
        <w:rPr>
          <w:rFonts w:cs="Times New Roman"/>
          <w:b/>
          <w:szCs w:val="24"/>
        </w:rPr>
        <w:fldChar w:fldCharType="separate"/>
      </w:r>
      <w:r w:rsidR="00F03A23" w:rsidRPr="00EC1DB2">
        <w:rPr>
          <w:rFonts w:cs="Times New Roman"/>
          <w:b/>
          <w:noProof/>
          <w:szCs w:val="24"/>
        </w:rPr>
        <w:t>1</w:t>
      </w:r>
      <w:r w:rsidRPr="00EC1DB2">
        <w:rPr>
          <w:rFonts w:cs="Times New Roman"/>
          <w:b/>
          <w:szCs w:val="24"/>
        </w:rPr>
        <w:fldChar w:fldCharType="end"/>
      </w:r>
      <w:r w:rsidRPr="00EC1DB2">
        <w:rPr>
          <w:rFonts w:cs="Times New Roman"/>
          <w:b/>
          <w:szCs w:val="24"/>
        </w:rPr>
        <w:t>.</w:t>
      </w:r>
      <w:r w:rsidRPr="00EC1DB2">
        <w:rPr>
          <w:rFonts w:cs="Times New Roman"/>
          <w:szCs w:val="24"/>
        </w:rPr>
        <w:t xml:space="preserve"> </w:t>
      </w:r>
      <w:r w:rsidR="001229B0" w:rsidRPr="00EC1DB2">
        <w:rPr>
          <w:rFonts w:eastAsia="Gulim" w:cs="Times New Roman"/>
          <w:b/>
          <w:szCs w:val="24"/>
        </w:rPr>
        <w:t>Three-dimensional chromatogram of BTS sample according to HPLC-PDA.</w:t>
      </w:r>
      <w:r w:rsidR="001229B0" w:rsidRPr="00EC1DB2">
        <w:rPr>
          <w:rFonts w:eastAsia="Gulim" w:cs="Times New Roman"/>
          <w:szCs w:val="24"/>
        </w:rPr>
        <w:t xml:space="preserve"> (A) Three-dimensional HPLC chromatogram of BTS. (B) Identification of marker components from BTS.</w:t>
      </w:r>
    </w:p>
    <w:p w14:paraId="4F557FCF" w14:textId="25246045" w:rsidR="0070388B" w:rsidRPr="00EC1DB2" w:rsidRDefault="009E08C6" w:rsidP="001229B0">
      <w:pPr>
        <w:jc w:val="both"/>
        <w:rPr>
          <w:rFonts w:eastAsia="Gulim" w:cs="Times New Roman"/>
          <w:szCs w:val="24"/>
        </w:rPr>
      </w:pPr>
      <w:r w:rsidRPr="00EC1DB2">
        <w:rPr>
          <w:rFonts w:eastAsia="Gulim" w:cs="Times New Roman"/>
          <w:noProof/>
          <w:szCs w:val="24"/>
          <w:lang w:eastAsia="ko-KR"/>
        </w:rPr>
        <w:lastRenderedPageBreak/>
        <w:drawing>
          <wp:inline distT="0" distB="0" distL="0" distR="0" wp14:anchorId="1B7E02BE" wp14:editId="012E67DE">
            <wp:extent cx="6208395" cy="4187911"/>
            <wp:effectExtent l="0" t="0" r="1905" b="3175"/>
            <wp:docPr id="4" name="그림 4" descr="C:\Users\KIOM_USER\Desktop\그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OM_USER\Desktop\그림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8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0BF2C" w14:textId="33D2A7BB" w:rsidR="0070388B" w:rsidRPr="00EC1DB2" w:rsidRDefault="0070388B" w:rsidP="009E08C6">
      <w:pPr>
        <w:spacing w:line="360" w:lineRule="auto"/>
      </w:pPr>
      <w:r w:rsidRPr="00EC1DB2">
        <w:rPr>
          <w:rFonts w:cs="Times New Roman"/>
          <w:b/>
          <w:szCs w:val="24"/>
        </w:rPr>
        <w:t>Supplementary Figure 2.</w:t>
      </w:r>
      <w:r w:rsidRPr="00EC1DB2">
        <w:rPr>
          <w:rFonts w:cs="Times New Roman"/>
          <w:szCs w:val="24"/>
        </w:rPr>
        <w:t xml:space="preserve"> </w:t>
      </w:r>
      <w:r w:rsidR="00C557B5" w:rsidRPr="00EC1DB2">
        <w:rPr>
          <w:rFonts w:cs="Times New Roman"/>
          <w:szCs w:val="24"/>
        </w:rPr>
        <w:t>E</w:t>
      </w:r>
      <w:r w:rsidR="009F7BA4" w:rsidRPr="00EC1DB2">
        <w:rPr>
          <w:rFonts w:cs="Times New Roman"/>
          <w:szCs w:val="24"/>
        </w:rPr>
        <w:t>ffect</w:t>
      </w:r>
      <w:r w:rsidRPr="00EC1DB2">
        <w:rPr>
          <w:rFonts w:cs="Times New Roman"/>
          <w:szCs w:val="24"/>
        </w:rPr>
        <w:t xml:space="preserve"> </w:t>
      </w:r>
      <w:r w:rsidR="00C557B5" w:rsidRPr="00EC1DB2">
        <w:rPr>
          <w:rFonts w:cs="Times New Roman"/>
          <w:szCs w:val="24"/>
        </w:rPr>
        <w:t xml:space="preserve">of BTS </w:t>
      </w:r>
      <w:r w:rsidRPr="00EC1DB2">
        <w:rPr>
          <w:rFonts w:cs="Times New Roman"/>
          <w:szCs w:val="24"/>
        </w:rPr>
        <w:t xml:space="preserve">on </w:t>
      </w:r>
      <w:r w:rsidR="009F7BA4" w:rsidRPr="00EC1DB2">
        <w:rPr>
          <w:rFonts w:cs="Times New Roman"/>
          <w:szCs w:val="24"/>
        </w:rPr>
        <w:t xml:space="preserve">the </w:t>
      </w:r>
      <w:r w:rsidRPr="00EC1DB2">
        <w:rPr>
          <w:rFonts w:cs="Times New Roman"/>
          <w:szCs w:val="24"/>
        </w:rPr>
        <w:t>production of inflammatory modulators in mouse primary microglial (</w:t>
      </w:r>
      <w:proofErr w:type="spellStart"/>
      <w:r w:rsidRPr="00EC1DB2">
        <w:rPr>
          <w:rFonts w:cs="Times New Roman"/>
          <w:szCs w:val="24"/>
        </w:rPr>
        <w:t>MMcg</w:t>
      </w:r>
      <w:proofErr w:type="spellEnd"/>
      <w:r w:rsidRPr="00EC1DB2">
        <w:rPr>
          <w:rFonts w:cs="Times New Roman"/>
          <w:szCs w:val="24"/>
        </w:rPr>
        <w:t xml:space="preserve">) cells. </w:t>
      </w:r>
      <w:r w:rsidR="009F7BA4" w:rsidRPr="00EC1DB2">
        <w:rPr>
          <w:rFonts w:cs="Times New Roman"/>
          <w:szCs w:val="24"/>
        </w:rPr>
        <w:t>P</w:t>
      </w:r>
      <w:r w:rsidRPr="00EC1DB2">
        <w:rPr>
          <w:rFonts w:cs="Times New Roman"/>
          <w:szCs w:val="24"/>
        </w:rPr>
        <w:t xml:space="preserve">rimary </w:t>
      </w:r>
      <w:proofErr w:type="spellStart"/>
      <w:r w:rsidRPr="00EC1DB2">
        <w:rPr>
          <w:rFonts w:cs="Times New Roman"/>
          <w:szCs w:val="24"/>
        </w:rPr>
        <w:t>MMcg</w:t>
      </w:r>
      <w:proofErr w:type="spellEnd"/>
      <w:r w:rsidRPr="00EC1DB2">
        <w:rPr>
          <w:rFonts w:cs="Times New Roman"/>
          <w:szCs w:val="24"/>
        </w:rPr>
        <w:t xml:space="preserve"> cells were pretreated with BTS (final 400 </w:t>
      </w:r>
      <w:r w:rsidRPr="00EC1DB2">
        <w:rPr>
          <w:rFonts w:ascii="Symbol" w:hAnsi="Symbol" w:cs="Times New Roman"/>
          <w:szCs w:val="24"/>
        </w:rPr>
        <w:t></w:t>
      </w:r>
      <w:r w:rsidRPr="00EC1DB2">
        <w:rPr>
          <w:rFonts w:cs="Times New Roman"/>
          <w:szCs w:val="24"/>
        </w:rPr>
        <w:t xml:space="preserve">g/mL) for 1 h and then exposed to LPS (100 ng/mL). </w:t>
      </w:r>
      <w:proofErr w:type="gramStart"/>
      <w:r w:rsidR="00F4575F" w:rsidRPr="00EC1DB2">
        <w:rPr>
          <w:rFonts w:cs="Times New Roman"/>
          <w:szCs w:val="24"/>
        </w:rPr>
        <w:t>Twenty four</w:t>
      </w:r>
      <w:proofErr w:type="gramEnd"/>
      <w:r w:rsidR="00F4575F" w:rsidRPr="00EC1DB2">
        <w:rPr>
          <w:rFonts w:cs="Times New Roman"/>
          <w:szCs w:val="24"/>
        </w:rPr>
        <w:t xml:space="preserve"> hours after LPS treatment, the extracellular levels of NO, IL-1</w:t>
      </w:r>
      <w:r w:rsidR="00F4575F" w:rsidRPr="00EC1DB2">
        <w:rPr>
          <w:rFonts w:ascii="Symbol" w:hAnsi="Symbol" w:cs="Times New Roman"/>
          <w:szCs w:val="24"/>
        </w:rPr>
        <w:t></w:t>
      </w:r>
      <w:r w:rsidR="00F4575F" w:rsidRPr="00EC1DB2">
        <w:rPr>
          <w:rFonts w:cs="Times New Roman"/>
          <w:szCs w:val="24"/>
        </w:rPr>
        <w:t>, TNF-</w:t>
      </w:r>
      <w:r w:rsidR="00F4575F" w:rsidRPr="00EC1DB2">
        <w:rPr>
          <w:rFonts w:ascii="Symbol" w:hAnsi="Symbol" w:cs="Times New Roman"/>
          <w:szCs w:val="24"/>
        </w:rPr>
        <w:t></w:t>
      </w:r>
      <w:r w:rsidR="00F4575F" w:rsidRPr="00EC1DB2">
        <w:rPr>
          <w:rFonts w:cs="Times New Roman"/>
          <w:szCs w:val="24"/>
        </w:rPr>
        <w:t xml:space="preserve">, and IL-6 were determined. The data </w:t>
      </w:r>
      <w:proofErr w:type="gramStart"/>
      <w:r w:rsidR="00F4575F" w:rsidRPr="00EC1DB2">
        <w:rPr>
          <w:rFonts w:cs="Times New Roman"/>
          <w:szCs w:val="24"/>
        </w:rPr>
        <w:t>represent</w:t>
      </w:r>
      <w:proofErr w:type="gramEnd"/>
      <w:r w:rsidR="00F4575F" w:rsidRPr="00EC1DB2">
        <w:rPr>
          <w:rFonts w:cs="Times New Roman"/>
          <w:szCs w:val="24"/>
        </w:rPr>
        <w:t xml:space="preserve"> the mean ± SD of experiments in duplicate. </w:t>
      </w:r>
      <w:r w:rsidRPr="00EC1DB2">
        <w:rPr>
          <w:rFonts w:cs="Times New Roman"/>
          <w:szCs w:val="24"/>
        </w:rPr>
        <w:t xml:space="preserve">The data represent the mean ± SD of </w:t>
      </w:r>
      <w:r w:rsidR="000F4A52" w:rsidRPr="00EC1DB2">
        <w:rPr>
          <w:rFonts w:cs="Times New Roman"/>
          <w:szCs w:val="24"/>
        </w:rPr>
        <w:t>experiments in duplicate</w:t>
      </w:r>
      <w:r w:rsidR="00F4575F" w:rsidRPr="00EC1DB2">
        <w:rPr>
          <w:rFonts w:cs="Times New Roman"/>
          <w:szCs w:val="24"/>
        </w:rPr>
        <w:t xml:space="preserve"> (</w:t>
      </w:r>
      <w:r w:rsidR="00F4575F" w:rsidRPr="00EC1DB2">
        <w:rPr>
          <w:rFonts w:cs="Times New Roman"/>
          <w:i/>
        </w:rPr>
        <w:t>t</w:t>
      </w:r>
      <w:r w:rsidR="00F4575F" w:rsidRPr="00EC1DB2">
        <w:rPr>
          <w:rFonts w:cs="Times New Roman"/>
        </w:rPr>
        <w:t>-test: #p</w:t>
      </w:r>
      <w:r w:rsidR="009E08C6" w:rsidRPr="00EC1DB2">
        <w:rPr>
          <w:rFonts w:cs="Times New Roman"/>
        </w:rPr>
        <w:t>, ###p &lt; 0.001</w:t>
      </w:r>
      <w:r w:rsidR="00F4575F" w:rsidRPr="00EC1DB2">
        <w:rPr>
          <w:rFonts w:cs="Times New Roman"/>
        </w:rPr>
        <w:t xml:space="preserve"> &lt; 0.05 vs. untreated control; </w:t>
      </w:r>
      <w:r w:rsidR="009E08C6" w:rsidRPr="00EC1DB2">
        <w:rPr>
          <w:rFonts w:cs="Times New Roman"/>
        </w:rPr>
        <w:t xml:space="preserve">*p &lt; 0.05, </w:t>
      </w:r>
      <w:r w:rsidR="00F4575F" w:rsidRPr="00EC1DB2">
        <w:rPr>
          <w:rFonts w:cs="Times New Roman"/>
        </w:rPr>
        <w:t xml:space="preserve">**p &lt; 0.01, </w:t>
      </w:r>
      <w:r w:rsidR="009E08C6" w:rsidRPr="00EC1DB2">
        <w:rPr>
          <w:rFonts w:cs="Times New Roman"/>
        </w:rPr>
        <w:t xml:space="preserve">***p &lt; 0.001 </w:t>
      </w:r>
      <w:r w:rsidR="00F4575F" w:rsidRPr="00EC1DB2">
        <w:rPr>
          <w:rFonts w:cs="Times New Roman"/>
        </w:rPr>
        <w:t>vs. LPS-treated control).</w:t>
      </w:r>
    </w:p>
    <w:p w14:paraId="735BC12D" w14:textId="188D7FA7" w:rsidR="00FC75F2" w:rsidRPr="00EC1DB2" w:rsidRDefault="00FC75F2" w:rsidP="0070388B">
      <w:pPr>
        <w:spacing w:line="360" w:lineRule="auto"/>
        <w:rPr>
          <w:rFonts w:cs="Times New Roman"/>
          <w:b/>
          <w:szCs w:val="24"/>
        </w:rPr>
      </w:pPr>
      <w:r w:rsidRPr="00EC1DB2">
        <w:rPr>
          <w:rFonts w:cs="Times New Roman"/>
          <w:b/>
          <w:noProof/>
          <w:szCs w:val="24"/>
          <w:lang w:eastAsia="ko-KR"/>
        </w:rPr>
        <w:lastRenderedPageBreak/>
        <w:drawing>
          <wp:inline distT="0" distB="0" distL="0" distR="0" wp14:anchorId="63B1C09B" wp14:editId="15126919">
            <wp:extent cx="6476053" cy="4730567"/>
            <wp:effectExtent l="0" t="0" r="127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963" cy="473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39948" w14:textId="487FEA63" w:rsidR="0070388B" w:rsidRPr="00EC1DB2" w:rsidRDefault="0070388B" w:rsidP="0070388B">
      <w:pPr>
        <w:spacing w:line="360" w:lineRule="auto"/>
        <w:rPr>
          <w:rFonts w:cs="Times New Roman"/>
          <w:szCs w:val="24"/>
        </w:rPr>
      </w:pPr>
      <w:r w:rsidRPr="00EC1DB2">
        <w:rPr>
          <w:rFonts w:cs="Times New Roman"/>
          <w:b/>
          <w:szCs w:val="24"/>
        </w:rPr>
        <w:t>Supplementary Figure 3.</w:t>
      </w:r>
      <w:r w:rsidRPr="00EC1DB2">
        <w:rPr>
          <w:rFonts w:cs="Times New Roman"/>
          <w:szCs w:val="24"/>
        </w:rPr>
        <w:t xml:space="preserve"> HO-1</w:t>
      </w:r>
      <w:r w:rsidR="00BA799E" w:rsidRPr="00EC1DB2">
        <w:rPr>
          <w:rFonts w:cs="Times New Roman"/>
          <w:szCs w:val="24"/>
        </w:rPr>
        <w:t xml:space="preserve"> is </w:t>
      </w:r>
      <w:r w:rsidRPr="00EC1DB2">
        <w:rPr>
          <w:rFonts w:cs="Times New Roman"/>
          <w:szCs w:val="24"/>
        </w:rPr>
        <w:t xml:space="preserve">a key regulator </w:t>
      </w:r>
      <w:r w:rsidR="009F7BA4" w:rsidRPr="00EC1DB2">
        <w:rPr>
          <w:rFonts w:cs="Times New Roman"/>
          <w:szCs w:val="24"/>
        </w:rPr>
        <w:t>of BTS</w:t>
      </w:r>
      <w:r w:rsidRPr="00EC1DB2">
        <w:rPr>
          <w:rFonts w:cs="Times New Roman"/>
          <w:szCs w:val="24"/>
        </w:rPr>
        <w:t xml:space="preserve"> anti-inflammatory potential in BV2 cells. BV2 cells were transfected with siRNA targeting endogenous HO-1 (siHO-1) or control siRNA (</w:t>
      </w:r>
      <w:proofErr w:type="spellStart"/>
      <w:r w:rsidRPr="00EC1DB2">
        <w:rPr>
          <w:rFonts w:cs="Times New Roman"/>
          <w:szCs w:val="24"/>
        </w:rPr>
        <w:t>siCtrl</w:t>
      </w:r>
      <w:proofErr w:type="spellEnd"/>
      <w:r w:rsidRPr="00EC1DB2">
        <w:rPr>
          <w:rFonts w:cs="Times New Roman"/>
          <w:szCs w:val="24"/>
        </w:rPr>
        <w:t xml:space="preserve">) at 10 </w:t>
      </w:r>
      <w:r w:rsidRPr="00EC1DB2">
        <w:rPr>
          <w:rFonts w:ascii="Symbol" w:hAnsi="Symbol" w:cs="Times New Roman"/>
          <w:szCs w:val="24"/>
        </w:rPr>
        <w:t></w:t>
      </w:r>
      <w:r w:rsidRPr="00EC1DB2">
        <w:rPr>
          <w:rFonts w:cs="Times New Roman"/>
          <w:szCs w:val="24"/>
        </w:rPr>
        <w:t xml:space="preserve">M. After 48 h, cells were pretreated with BTS (400 </w:t>
      </w:r>
      <w:r w:rsidRPr="00EC1DB2">
        <w:rPr>
          <w:rFonts w:ascii="Symbol" w:hAnsi="Symbol" w:cs="Times New Roman"/>
          <w:szCs w:val="24"/>
        </w:rPr>
        <w:t></w:t>
      </w:r>
      <w:r w:rsidRPr="00EC1DB2">
        <w:rPr>
          <w:rFonts w:cs="Times New Roman"/>
          <w:szCs w:val="24"/>
        </w:rPr>
        <w:t xml:space="preserve">g/mL) for 1 h and then exposed to LPS (100 ng/mL). (A) Intracellular HO-1 expression was determined by western blotting 24 h after LPS challenge. (B) The relative expression of </w:t>
      </w:r>
      <w:r w:rsidR="00E9437F" w:rsidRPr="00EC1DB2">
        <w:rPr>
          <w:rFonts w:cs="Times New Roman"/>
          <w:i/>
          <w:szCs w:val="24"/>
        </w:rPr>
        <w:t>Hmox1</w:t>
      </w:r>
      <w:r w:rsidRPr="00EC1DB2">
        <w:rPr>
          <w:rFonts w:cs="Times New Roman"/>
          <w:szCs w:val="24"/>
        </w:rPr>
        <w:t xml:space="preserve">, </w:t>
      </w:r>
      <w:r w:rsidR="00E9437F" w:rsidRPr="00EC1DB2">
        <w:rPr>
          <w:rFonts w:cs="Times New Roman"/>
          <w:i/>
          <w:szCs w:val="24"/>
        </w:rPr>
        <w:t>Nos2</w:t>
      </w:r>
      <w:r w:rsidRPr="00EC1DB2">
        <w:rPr>
          <w:rFonts w:cs="Times New Roman"/>
          <w:szCs w:val="24"/>
        </w:rPr>
        <w:t xml:space="preserve">, </w:t>
      </w:r>
      <w:r w:rsidR="00E9437F" w:rsidRPr="00EC1DB2">
        <w:rPr>
          <w:rFonts w:cs="Times New Roman"/>
          <w:i/>
          <w:szCs w:val="24"/>
        </w:rPr>
        <w:t>Cox2</w:t>
      </w:r>
      <w:r w:rsidRPr="00EC1DB2">
        <w:rPr>
          <w:rFonts w:cs="Times New Roman"/>
          <w:szCs w:val="24"/>
        </w:rPr>
        <w:t xml:space="preserve">, </w:t>
      </w:r>
      <w:r w:rsidR="00E9437F" w:rsidRPr="00EC1DB2">
        <w:rPr>
          <w:rFonts w:eastAsia="Gulim" w:cs="Times New Roman"/>
          <w:i/>
          <w:szCs w:val="24"/>
        </w:rPr>
        <w:t>Il1b</w:t>
      </w:r>
      <w:r w:rsidRPr="00EC1DB2">
        <w:rPr>
          <w:rFonts w:cs="Times New Roman"/>
          <w:szCs w:val="24"/>
        </w:rPr>
        <w:t xml:space="preserve">, </w:t>
      </w:r>
      <w:proofErr w:type="spellStart"/>
      <w:r w:rsidR="00E9437F" w:rsidRPr="00EC1DB2">
        <w:rPr>
          <w:rFonts w:eastAsia="Gulim" w:cs="Times New Roman"/>
          <w:i/>
          <w:szCs w:val="24"/>
        </w:rPr>
        <w:t>Tnfa</w:t>
      </w:r>
      <w:proofErr w:type="spellEnd"/>
      <w:r w:rsidRPr="00EC1DB2">
        <w:rPr>
          <w:rFonts w:cs="Times New Roman"/>
          <w:szCs w:val="24"/>
        </w:rPr>
        <w:t xml:space="preserve">, and </w:t>
      </w:r>
      <w:r w:rsidR="00E9437F" w:rsidRPr="00EC1DB2">
        <w:rPr>
          <w:rFonts w:cs="Times New Roman"/>
          <w:i/>
          <w:szCs w:val="24"/>
        </w:rPr>
        <w:t>Il6</w:t>
      </w:r>
      <w:r w:rsidRPr="00EC1DB2">
        <w:rPr>
          <w:rFonts w:cs="Times New Roman"/>
          <w:szCs w:val="24"/>
        </w:rPr>
        <w:t xml:space="preserve"> </w:t>
      </w:r>
      <w:r w:rsidR="009F7BA4" w:rsidRPr="00EC1DB2">
        <w:rPr>
          <w:rFonts w:cs="Times New Roman"/>
          <w:szCs w:val="24"/>
        </w:rPr>
        <w:t xml:space="preserve">mRNAs </w:t>
      </w:r>
      <w:r w:rsidRPr="00EC1DB2">
        <w:rPr>
          <w:rFonts w:cs="Times New Roman"/>
          <w:szCs w:val="24"/>
        </w:rPr>
        <w:t xml:space="preserve">was determined by quantitative real-time PCR using gene-specific primer sets as described in the Methods section. The data represent the mean ± SD of </w:t>
      </w:r>
      <w:r w:rsidR="00C557B5" w:rsidRPr="00EC1DB2">
        <w:rPr>
          <w:rFonts w:cs="Times New Roman"/>
          <w:szCs w:val="24"/>
        </w:rPr>
        <w:t>four replicates</w:t>
      </w:r>
      <w:r w:rsidRPr="00EC1DB2">
        <w:rPr>
          <w:rFonts w:cs="Times New Roman"/>
          <w:szCs w:val="24"/>
        </w:rPr>
        <w:t xml:space="preserve"> (one-way ANOVA: </w:t>
      </w:r>
      <w:r w:rsidR="009E08C6" w:rsidRPr="00EC1DB2">
        <w:rPr>
          <w:rFonts w:cs="Times New Roman"/>
          <w:szCs w:val="24"/>
        </w:rPr>
        <w:t>#p &lt; 0.05</w:t>
      </w:r>
      <w:r w:rsidRPr="00EC1DB2">
        <w:rPr>
          <w:rFonts w:cs="Times New Roman"/>
          <w:szCs w:val="24"/>
        </w:rPr>
        <w:t xml:space="preserve">, ##p &lt; 0.01, </w:t>
      </w:r>
      <w:r w:rsidR="009E08C6" w:rsidRPr="00EC1DB2">
        <w:rPr>
          <w:rFonts w:cs="Times New Roman"/>
          <w:szCs w:val="24"/>
        </w:rPr>
        <w:t xml:space="preserve">###p &lt; 0.001 </w:t>
      </w:r>
      <w:r w:rsidRPr="00EC1DB2">
        <w:rPr>
          <w:rFonts w:cs="Times New Roman"/>
          <w:szCs w:val="24"/>
        </w:rPr>
        <w:t xml:space="preserve">vs. untreated control; </w:t>
      </w:r>
      <w:r w:rsidR="009E08C6" w:rsidRPr="00EC1DB2">
        <w:rPr>
          <w:rFonts w:eastAsia="TimesNewRomanPSMT" w:cs="Times New Roman"/>
          <w:szCs w:val="24"/>
        </w:rPr>
        <w:t xml:space="preserve">*p &lt; 0.05, </w:t>
      </w:r>
      <w:r w:rsidRPr="00EC1DB2">
        <w:rPr>
          <w:rFonts w:cs="Times New Roman"/>
          <w:szCs w:val="24"/>
        </w:rPr>
        <w:t>**p &lt; 0.01</w:t>
      </w:r>
      <w:r w:rsidR="00956369" w:rsidRPr="00EC1DB2">
        <w:rPr>
          <w:rFonts w:cs="Times New Roman"/>
          <w:szCs w:val="24"/>
        </w:rPr>
        <w:t xml:space="preserve">, </w:t>
      </w:r>
      <w:r w:rsidR="009E08C6" w:rsidRPr="00EC1DB2">
        <w:rPr>
          <w:rFonts w:cs="Times New Roman"/>
          <w:szCs w:val="24"/>
        </w:rPr>
        <w:t>***p &lt; 0.001</w:t>
      </w:r>
      <w:r w:rsidR="00FC1086" w:rsidRPr="00EC1DB2">
        <w:rPr>
          <w:rFonts w:cs="Times New Roman"/>
          <w:szCs w:val="24"/>
        </w:rPr>
        <w:t xml:space="preserve"> </w:t>
      </w:r>
      <w:r w:rsidRPr="00EC1DB2">
        <w:rPr>
          <w:rFonts w:cs="Times New Roman"/>
          <w:szCs w:val="24"/>
        </w:rPr>
        <w:t>vs. LPS-treated control</w:t>
      </w:r>
      <w:r w:rsidR="009F7BA4" w:rsidRPr="00EC1DB2">
        <w:rPr>
          <w:rFonts w:cs="Times New Roman"/>
          <w:szCs w:val="24"/>
        </w:rPr>
        <w:t>)</w:t>
      </w:r>
      <w:r w:rsidRPr="00EC1DB2">
        <w:rPr>
          <w:rFonts w:cs="Times New Roman"/>
          <w:szCs w:val="24"/>
        </w:rPr>
        <w:t>.</w:t>
      </w:r>
    </w:p>
    <w:p w14:paraId="701F7697" w14:textId="77777777" w:rsidR="0070388B" w:rsidRPr="00EC1DB2" w:rsidRDefault="0070388B" w:rsidP="001229B0">
      <w:pPr>
        <w:jc w:val="both"/>
        <w:rPr>
          <w:rFonts w:eastAsia="Gulim" w:cs="Times New Roman"/>
          <w:szCs w:val="24"/>
        </w:rPr>
      </w:pPr>
    </w:p>
    <w:sectPr w:rsidR="0070388B" w:rsidRPr="00EC1DB2" w:rsidSect="0093429D">
      <w:headerReference w:type="even" r:id="rId24"/>
      <w:footerReference w:type="even" r:id="rId25"/>
      <w:footerReference w:type="default" r:id="rId26"/>
      <w:headerReference w:type="first" r:id="rId2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60FA0" w14:textId="77777777" w:rsidR="00B654B6" w:rsidRDefault="00B654B6" w:rsidP="00117666">
      <w:pPr>
        <w:spacing w:after="0"/>
      </w:pPr>
      <w:r>
        <w:separator/>
      </w:r>
    </w:p>
  </w:endnote>
  <w:endnote w:type="continuationSeparator" w:id="0">
    <w:p w14:paraId="6F8480BE" w14:textId="77777777" w:rsidR="00B654B6" w:rsidRDefault="00B654B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NewRomanPSMT">
    <w:altName w:val="맑은 고딕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2D1A94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F7EF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2D1A94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F7EF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D0097E" w:rsidRDefault="00C52A7B">
    <w:pPr>
      <w:rPr>
        <w:b/>
        <w:sz w:val="20"/>
        <w:szCs w:val="24"/>
      </w:rPr>
    </w:pPr>
    <w:r w:rsidRPr="00D0097E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3DCEBB8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F7EF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3DCEBB8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F7EF6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BAF507" w14:textId="77777777" w:rsidR="00B654B6" w:rsidRDefault="00B654B6" w:rsidP="00117666">
      <w:pPr>
        <w:spacing w:after="0"/>
      </w:pPr>
      <w:r>
        <w:separator/>
      </w:r>
    </w:p>
  </w:footnote>
  <w:footnote w:type="continuationSeparator" w:id="0">
    <w:p w14:paraId="165F95A9" w14:textId="77777777" w:rsidR="00B654B6" w:rsidRDefault="00B654B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Pr="00D0097E" w:rsidRDefault="0093429D" w:rsidP="0093429D">
    <w:r w:rsidRPr="00D0097E">
      <w:rPr>
        <w:b/>
        <w:noProof/>
        <w:color w:val="A6A6A6" w:themeColor="background1" w:themeShade="A6"/>
        <w:lang w:eastAsia="ko-K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D0097E">
      <w:rPr>
        <w:b/>
      </w:rPr>
      <w:ptab w:relativeTo="margin" w:alignment="center" w:leader="none"/>
    </w:r>
    <w:r w:rsidR="00C52A7B" w:rsidRPr="00D0097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DateAndTim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fr-CH" w:vendorID="64" w:dllVersion="0" w:nlCheck="1" w:checkStyle="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417C"/>
    <w:rsid w:val="00052A14"/>
    <w:rsid w:val="00054BCD"/>
    <w:rsid w:val="00077D53"/>
    <w:rsid w:val="00087313"/>
    <w:rsid w:val="000A0D55"/>
    <w:rsid w:val="000C01CE"/>
    <w:rsid w:val="000F4A52"/>
    <w:rsid w:val="00105FD9"/>
    <w:rsid w:val="00110908"/>
    <w:rsid w:val="00114245"/>
    <w:rsid w:val="00117666"/>
    <w:rsid w:val="001229B0"/>
    <w:rsid w:val="00131641"/>
    <w:rsid w:val="001549D3"/>
    <w:rsid w:val="00160065"/>
    <w:rsid w:val="00177D84"/>
    <w:rsid w:val="00226D14"/>
    <w:rsid w:val="00230ACB"/>
    <w:rsid w:val="00264662"/>
    <w:rsid w:val="00267D18"/>
    <w:rsid w:val="00274347"/>
    <w:rsid w:val="002868E2"/>
    <w:rsid w:val="002869C3"/>
    <w:rsid w:val="00287E09"/>
    <w:rsid w:val="002936E4"/>
    <w:rsid w:val="002A48D8"/>
    <w:rsid w:val="002B4A57"/>
    <w:rsid w:val="002C2484"/>
    <w:rsid w:val="002C74CA"/>
    <w:rsid w:val="003123F4"/>
    <w:rsid w:val="003544FB"/>
    <w:rsid w:val="003C0196"/>
    <w:rsid w:val="003C6B99"/>
    <w:rsid w:val="003D2F2D"/>
    <w:rsid w:val="00401590"/>
    <w:rsid w:val="00447801"/>
    <w:rsid w:val="00452E9C"/>
    <w:rsid w:val="004735C8"/>
    <w:rsid w:val="00476125"/>
    <w:rsid w:val="004947A6"/>
    <w:rsid w:val="00494FFD"/>
    <w:rsid w:val="004961FF"/>
    <w:rsid w:val="0050629E"/>
    <w:rsid w:val="005135E7"/>
    <w:rsid w:val="00517A89"/>
    <w:rsid w:val="005250F2"/>
    <w:rsid w:val="00565CF3"/>
    <w:rsid w:val="005862F8"/>
    <w:rsid w:val="00593EEA"/>
    <w:rsid w:val="005A5EEE"/>
    <w:rsid w:val="005D5E62"/>
    <w:rsid w:val="005E445F"/>
    <w:rsid w:val="006276B6"/>
    <w:rsid w:val="006375C7"/>
    <w:rsid w:val="00641BC4"/>
    <w:rsid w:val="00654E8F"/>
    <w:rsid w:val="00660D05"/>
    <w:rsid w:val="006744A1"/>
    <w:rsid w:val="006820B1"/>
    <w:rsid w:val="00696CA0"/>
    <w:rsid w:val="006B7D14"/>
    <w:rsid w:val="006C752B"/>
    <w:rsid w:val="00701727"/>
    <w:rsid w:val="0070388B"/>
    <w:rsid w:val="0070566C"/>
    <w:rsid w:val="00714C50"/>
    <w:rsid w:val="00725A7D"/>
    <w:rsid w:val="007501BE"/>
    <w:rsid w:val="00790BB3"/>
    <w:rsid w:val="007C206C"/>
    <w:rsid w:val="007D6B0D"/>
    <w:rsid w:val="008168EB"/>
    <w:rsid w:val="00817DD6"/>
    <w:rsid w:val="0083759F"/>
    <w:rsid w:val="00862EE6"/>
    <w:rsid w:val="00885156"/>
    <w:rsid w:val="008E5C48"/>
    <w:rsid w:val="00900D16"/>
    <w:rsid w:val="009151AA"/>
    <w:rsid w:val="009217D6"/>
    <w:rsid w:val="00922222"/>
    <w:rsid w:val="0093429D"/>
    <w:rsid w:val="00943573"/>
    <w:rsid w:val="00956369"/>
    <w:rsid w:val="00964134"/>
    <w:rsid w:val="00970F7D"/>
    <w:rsid w:val="009756AA"/>
    <w:rsid w:val="00994A3D"/>
    <w:rsid w:val="009C2B12"/>
    <w:rsid w:val="009E08C6"/>
    <w:rsid w:val="009F7BA4"/>
    <w:rsid w:val="00A10E0E"/>
    <w:rsid w:val="00A174D9"/>
    <w:rsid w:val="00A60C56"/>
    <w:rsid w:val="00A622FD"/>
    <w:rsid w:val="00AA3D7E"/>
    <w:rsid w:val="00AA4D24"/>
    <w:rsid w:val="00AB5857"/>
    <w:rsid w:val="00AB6715"/>
    <w:rsid w:val="00AD72F2"/>
    <w:rsid w:val="00B076D5"/>
    <w:rsid w:val="00B1671E"/>
    <w:rsid w:val="00B20800"/>
    <w:rsid w:val="00B25EB8"/>
    <w:rsid w:val="00B37F4D"/>
    <w:rsid w:val="00B654B6"/>
    <w:rsid w:val="00B83B1F"/>
    <w:rsid w:val="00BA125F"/>
    <w:rsid w:val="00BA799E"/>
    <w:rsid w:val="00BF5C04"/>
    <w:rsid w:val="00C52A7B"/>
    <w:rsid w:val="00C557B5"/>
    <w:rsid w:val="00C56BAF"/>
    <w:rsid w:val="00C679AA"/>
    <w:rsid w:val="00C75972"/>
    <w:rsid w:val="00C97AF6"/>
    <w:rsid w:val="00CB2C6B"/>
    <w:rsid w:val="00CD066B"/>
    <w:rsid w:val="00CE4FEE"/>
    <w:rsid w:val="00CF3386"/>
    <w:rsid w:val="00CF7EF6"/>
    <w:rsid w:val="00D0097E"/>
    <w:rsid w:val="00D060CF"/>
    <w:rsid w:val="00D6782E"/>
    <w:rsid w:val="00DB59C3"/>
    <w:rsid w:val="00DC259A"/>
    <w:rsid w:val="00DE23E8"/>
    <w:rsid w:val="00E13033"/>
    <w:rsid w:val="00E40018"/>
    <w:rsid w:val="00E52377"/>
    <w:rsid w:val="00E537AD"/>
    <w:rsid w:val="00E64E17"/>
    <w:rsid w:val="00E80B86"/>
    <w:rsid w:val="00E8216B"/>
    <w:rsid w:val="00E866C9"/>
    <w:rsid w:val="00E9437F"/>
    <w:rsid w:val="00EA3D3C"/>
    <w:rsid w:val="00EC090A"/>
    <w:rsid w:val="00EC1DB2"/>
    <w:rsid w:val="00ED20B5"/>
    <w:rsid w:val="00EE7F2F"/>
    <w:rsid w:val="00F0138C"/>
    <w:rsid w:val="00F02DB3"/>
    <w:rsid w:val="00F03A23"/>
    <w:rsid w:val="00F237B5"/>
    <w:rsid w:val="00F44E6D"/>
    <w:rsid w:val="00F4575F"/>
    <w:rsid w:val="00F46900"/>
    <w:rsid w:val="00F61D89"/>
    <w:rsid w:val="00F87B81"/>
    <w:rsid w:val="00FC1086"/>
    <w:rsid w:val="00FC7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name2">
    <w:name w:val="name2"/>
    <w:rsid w:val="008168EB"/>
  </w:style>
  <w:style w:type="character" w:customStyle="1" w:styleId="authorship">
    <w:name w:val="authorship"/>
    <w:rsid w:val="008168EB"/>
  </w:style>
  <w:style w:type="table" w:styleId="PlainTable2">
    <w:name w:val="Plain Table 2"/>
    <w:basedOn w:val="TableNormal"/>
    <w:uiPriority w:val="42"/>
    <w:rsid w:val="008168EB"/>
    <w:pPr>
      <w:spacing w:after="0" w:line="240" w:lineRule="auto"/>
      <w:jc w:val="both"/>
    </w:pPr>
    <w:rPr>
      <w:kern w:val="2"/>
      <w:sz w:val="20"/>
      <w:lang w:eastAsia="ko-K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21">
    <w:name w:val="일반 표 21"/>
    <w:basedOn w:val="TableNormal"/>
    <w:next w:val="PlainTable2"/>
    <w:uiPriority w:val="42"/>
    <w:rsid w:val="008168EB"/>
    <w:pPr>
      <w:spacing w:after="0" w:line="240" w:lineRule="auto"/>
      <w:jc w:val="both"/>
    </w:pPr>
    <w:rPr>
      <w:kern w:val="2"/>
      <w:sz w:val="20"/>
      <w:lang w:eastAsia="ko-KR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11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plantlist.org" TargetMode="External"/><Relationship Id="rId13" Type="http://schemas.openxmlformats.org/officeDocument/2006/relationships/hyperlink" Target="http://www.theplantlist.org/tpl1.1/record/kew-124385" TargetMode="External"/><Relationship Id="rId18" Type="http://schemas.openxmlformats.org/officeDocument/2006/relationships/hyperlink" Target="http://www.theplantlist.org/tpl1.1/record/kew-354641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hyperlink" Target="http://www.theplantlist.org/tpl1.1/record/kew-369455" TargetMode="External"/><Relationship Id="rId17" Type="http://schemas.openxmlformats.org/officeDocument/2006/relationships/hyperlink" Target="http://www.theplantlist.org/tpl1.1/record/gcc-114498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theplantlist.org/tpl1.1/record/tro-26001337" TargetMode="External"/><Relationship Id="rId20" Type="http://schemas.openxmlformats.org/officeDocument/2006/relationships/hyperlink" Target="http://www.theplantlist.org/tpl1.1/record/ild-32406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eplantlist.org/tpl1.1/record/kew-88270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theplantlist.org/tpl1.1/record/kew-188177" TargetMode="External"/><Relationship Id="rId23" Type="http://schemas.openxmlformats.org/officeDocument/2006/relationships/image" Target="media/image3.png"/><Relationship Id="rId28" Type="http://schemas.openxmlformats.org/officeDocument/2006/relationships/fontTable" Target="fontTable.xml"/><Relationship Id="rId10" Type="http://schemas.openxmlformats.org/officeDocument/2006/relationships/hyperlink" Target="http://www.theplantlist.org/tpl1.1/record/kew-2560862" TargetMode="External"/><Relationship Id="rId19" Type="http://schemas.openxmlformats.org/officeDocument/2006/relationships/hyperlink" Target="http://www.theplantlist.org/tpl1.1/record/kew-18893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plantlist.org/tpl1.1/record/kew-2639084" TargetMode="External"/><Relationship Id="rId14" Type="http://schemas.openxmlformats.org/officeDocument/2006/relationships/hyperlink" Target="http://www.theplantlist.org/tpl1.1/record/kew-273361" TargetMode="External"/><Relationship Id="rId22" Type="http://schemas.openxmlformats.org/officeDocument/2006/relationships/image" Target="media/image2.jpe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3ACF340-6312-4788-98E1-2128FDF17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6</Pages>
  <Words>1222</Words>
  <Characters>6966</Characters>
  <Application>Microsoft Office Word</Application>
  <DocSecurity>0</DocSecurity>
  <Lines>58</Lines>
  <Paragraphs>16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Frontiers Media SA</cp:lastModifiedBy>
  <cp:revision>3</cp:revision>
  <cp:lastPrinted>2020-05-21T05:33:00Z</cp:lastPrinted>
  <dcterms:created xsi:type="dcterms:W3CDTF">2020-05-25T02:44:00Z</dcterms:created>
  <dcterms:modified xsi:type="dcterms:W3CDTF">2020-06-24T10:43:00Z</dcterms:modified>
</cp:coreProperties>
</file>