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D6CB" w14:textId="5C5C7A8D" w:rsidR="00B94E44" w:rsidRDefault="00B94E44" w:rsidP="00B94E44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SUPPLEMANTARY DATA (Additional files)</w:t>
      </w:r>
    </w:p>
    <w:p w14:paraId="006DA266" w14:textId="42789906" w:rsidR="00B94E44" w:rsidRPr="006739E3" w:rsidRDefault="00B94E44" w:rsidP="00B94E4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79360D2" wp14:editId="278C6380">
            <wp:extent cx="5612130" cy="33458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tional_File_1_Figure S2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BBB47" w14:textId="58B57FA5" w:rsidR="00B94E44" w:rsidRDefault="00B94E44" w:rsidP="00B94E44">
      <w:pPr>
        <w:spacing w:line="480" w:lineRule="auto"/>
        <w:jc w:val="both"/>
        <w:rPr>
          <w:rFonts w:ascii="Arial" w:hAnsi="Arial" w:cs="Arial"/>
          <w:lang w:val="en-US"/>
        </w:rPr>
      </w:pPr>
      <w:bookmarkStart w:id="0" w:name="_Hlk532814031"/>
      <w:r>
        <w:rPr>
          <w:rFonts w:ascii="Arial" w:hAnsi="Arial" w:cs="Arial"/>
          <w:b/>
          <w:lang w:val="en-US"/>
        </w:rPr>
        <w:t xml:space="preserve">Additional file </w:t>
      </w:r>
      <w:r w:rsidR="00897218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en-US"/>
        </w:rPr>
        <w:t xml:space="preserve">: </w:t>
      </w:r>
      <w:r w:rsidRPr="006739E3">
        <w:rPr>
          <w:rFonts w:ascii="Arial" w:hAnsi="Arial" w:cs="Arial"/>
          <w:b/>
          <w:lang w:val="en-US"/>
        </w:rPr>
        <w:t xml:space="preserve">Figure </w:t>
      </w:r>
      <w:r>
        <w:rPr>
          <w:rFonts w:ascii="Arial" w:hAnsi="Arial" w:cs="Arial"/>
          <w:b/>
          <w:lang w:val="en-US"/>
        </w:rPr>
        <w:t>S</w:t>
      </w:r>
      <w:r w:rsidR="00897218">
        <w:rPr>
          <w:rFonts w:ascii="Arial" w:hAnsi="Arial" w:cs="Arial"/>
          <w:b/>
          <w:lang w:val="en-US"/>
        </w:rPr>
        <w:t>1</w:t>
      </w:r>
      <w:r w:rsidRPr="006739E3">
        <w:rPr>
          <w:rFonts w:ascii="Arial" w:hAnsi="Arial" w:cs="Arial"/>
          <w:b/>
          <w:lang w:val="en-US"/>
        </w:rPr>
        <w:t>. Gaiting strategy flow cytometry to evaluate Lymphocyte, Monocytes and Natural Killer cells populations in PBMCs.</w:t>
      </w:r>
      <w:r w:rsidRPr="006739E3">
        <w:rPr>
          <w:rFonts w:ascii="Arial" w:hAnsi="Arial" w:cs="Arial"/>
          <w:lang w:val="en-US"/>
        </w:rPr>
        <w:t xml:space="preserve"> </w:t>
      </w:r>
      <w:r w:rsidRPr="00D3481E">
        <w:rPr>
          <w:rFonts w:ascii="Arial" w:hAnsi="Arial" w:cs="Arial"/>
          <w:lang w:val="en-US"/>
        </w:rPr>
        <w:t>PBMC</w:t>
      </w:r>
      <w:r>
        <w:rPr>
          <w:rFonts w:ascii="Arial" w:hAnsi="Arial" w:cs="Arial"/>
          <w:lang w:val="en-US"/>
        </w:rPr>
        <w:t>s</w:t>
      </w:r>
      <w:r w:rsidRPr="00D3481E">
        <w:rPr>
          <w:rFonts w:ascii="Arial" w:hAnsi="Arial" w:cs="Arial"/>
          <w:lang w:val="en-US"/>
        </w:rPr>
        <w:t xml:space="preserve"> were analyzed by flow cytometry to </w:t>
      </w:r>
      <w:r>
        <w:rPr>
          <w:rFonts w:ascii="Arial" w:hAnsi="Arial" w:cs="Arial"/>
          <w:lang w:val="en-US"/>
        </w:rPr>
        <w:t>evaluate</w:t>
      </w:r>
      <w:r w:rsidRPr="00D3481E">
        <w:rPr>
          <w:rFonts w:ascii="Arial" w:hAnsi="Arial" w:cs="Arial"/>
          <w:lang w:val="en-US"/>
        </w:rPr>
        <w:t xml:space="preserve"> the presence of </w:t>
      </w:r>
      <w:r>
        <w:rPr>
          <w:rFonts w:ascii="Arial" w:hAnsi="Arial" w:cs="Arial"/>
          <w:lang w:val="en-US"/>
        </w:rPr>
        <w:t>CD4</w:t>
      </w:r>
      <w:r w:rsidRPr="0039121D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</w:t>
      </w:r>
      <w:r w:rsidRPr="00D3481E">
        <w:rPr>
          <w:rFonts w:ascii="Arial" w:hAnsi="Arial" w:cs="Arial"/>
          <w:lang w:val="en-US"/>
        </w:rPr>
        <w:t xml:space="preserve">T </w:t>
      </w:r>
      <w:r>
        <w:rPr>
          <w:rFonts w:ascii="Arial" w:hAnsi="Arial" w:cs="Arial"/>
          <w:lang w:val="en-US"/>
        </w:rPr>
        <w:t>cells, CD8</w:t>
      </w:r>
      <w:r w:rsidRPr="0039121D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T cells, </w:t>
      </w:r>
      <w:r w:rsidRPr="00D3481E">
        <w:rPr>
          <w:rFonts w:ascii="Arial" w:hAnsi="Arial" w:cs="Arial"/>
          <w:lang w:val="en-US"/>
        </w:rPr>
        <w:t>natural killer cells and monocytes subsets</w:t>
      </w:r>
      <w:r>
        <w:rPr>
          <w:rFonts w:ascii="Arial" w:hAnsi="Arial" w:cs="Arial"/>
          <w:lang w:val="en-US"/>
        </w:rPr>
        <w:t>.</w:t>
      </w:r>
      <w:r w:rsidRPr="00D3481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 A) the total of cells and the arrows shows the gated population. B) the natural killer cells (CD3</w:t>
      </w:r>
      <w:r w:rsidRPr="0039121D">
        <w:rPr>
          <w:rFonts w:ascii="Arial" w:hAnsi="Arial" w:cs="Arial"/>
          <w:vertAlign w:val="superscript"/>
          <w:lang w:val="en-US"/>
        </w:rPr>
        <w:t>Neg</w:t>
      </w:r>
      <w:r>
        <w:rPr>
          <w:rFonts w:ascii="Arial" w:hAnsi="Arial" w:cs="Arial"/>
          <w:lang w:val="en-US"/>
        </w:rPr>
        <w:t>CD56</w:t>
      </w:r>
      <w:r w:rsidRPr="0039121D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) and NKT cells in C)</w:t>
      </w:r>
      <w:r w:rsidRPr="00D3481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CD4</w:t>
      </w:r>
      <w:r w:rsidRPr="0039121D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</w:t>
      </w:r>
      <w:r w:rsidRPr="00791F3C">
        <w:rPr>
          <w:rFonts w:ascii="Arial" w:hAnsi="Arial" w:cs="Arial"/>
          <w:lang w:val="en-US"/>
        </w:rPr>
        <w:t xml:space="preserve">T </w:t>
      </w:r>
      <w:r>
        <w:rPr>
          <w:rFonts w:ascii="Arial" w:hAnsi="Arial" w:cs="Arial"/>
          <w:lang w:val="en-US"/>
        </w:rPr>
        <w:t>cells</w:t>
      </w:r>
      <w:r w:rsidRPr="00791F3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(CD3</w:t>
      </w:r>
      <w:r w:rsidRPr="0039121D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CD4</w:t>
      </w:r>
      <w:r w:rsidRPr="0039121D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) with CD8 + T Cells (CD3</w:t>
      </w:r>
      <w:r w:rsidRPr="0039121D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CD8</w:t>
      </w:r>
      <w:r w:rsidRPr="0039121D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) </w:t>
      </w:r>
      <w:r w:rsidRPr="00791F3C"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en-US"/>
        </w:rPr>
        <w:t xml:space="preserve"> in D) and E) we identified the monocytes populations in different cycles for the same patient. The markers for each monocyte was: Classical monocytes (CD14</w:t>
      </w:r>
      <w:r>
        <w:rPr>
          <w:rFonts w:ascii="Arial" w:hAnsi="Arial" w:cs="Arial"/>
          <w:vertAlign w:val="superscript"/>
          <w:lang w:val="en-US"/>
        </w:rPr>
        <w:t>High</w:t>
      </w:r>
      <w:r>
        <w:rPr>
          <w:rFonts w:ascii="Arial" w:hAnsi="Arial" w:cs="Arial"/>
          <w:lang w:val="en-US"/>
        </w:rPr>
        <w:t>CD16</w:t>
      </w:r>
      <w:r w:rsidRPr="0039121D">
        <w:rPr>
          <w:rFonts w:ascii="Arial" w:hAnsi="Arial" w:cs="Arial"/>
          <w:vertAlign w:val="superscript"/>
          <w:lang w:val="en-US"/>
        </w:rPr>
        <w:t>Neg</w:t>
      </w:r>
      <w:r>
        <w:rPr>
          <w:rFonts w:ascii="Arial" w:hAnsi="Arial" w:cs="Arial"/>
          <w:lang w:val="en-US"/>
        </w:rPr>
        <w:t>) Intermediate (CD14</w:t>
      </w:r>
      <w:r w:rsidRPr="0039121D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CD16</w:t>
      </w:r>
      <w:r w:rsidRPr="0039121D"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) and Non-Classical monocytes (CD14</w:t>
      </w:r>
      <w:r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CD16</w:t>
      </w:r>
      <w:r>
        <w:rPr>
          <w:rFonts w:ascii="Arial" w:hAnsi="Arial" w:cs="Arial"/>
          <w:vertAlign w:val="superscript"/>
          <w:lang w:val="en-US"/>
        </w:rPr>
        <w:t>H</w:t>
      </w:r>
      <w:r w:rsidRPr="00ED7D6C">
        <w:rPr>
          <w:rFonts w:ascii="Arial" w:hAnsi="Arial" w:cs="Arial"/>
          <w:vertAlign w:val="superscript"/>
          <w:lang w:val="en-US"/>
        </w:rPr>
        <w:t>igh</w:t>
      </w:r>
      <w:r>
        <w:rPr>
          <w:rFonts w:ascii="Arial" w:hAnsi="Arial" w:cs="Arial"/>
          <w:lang w:val="en-US"/>
        </w:rPr>
        <w:t>).</w:t>
      </w:r>
    </w:p>
    <w:p w14:paraId="609E2C23" w14:textId="164BB869" w:rsidR="00516AC2" w:rsidRPr="00516AC2" w:rsidRDefault="00897218" w:rsidP="00516AC2">
      <w:pPr>
        <w:spacing w:line="480" w:lineRule="auto"/>
        <w:jc w:val="both"/>
        <w:rPr>
          <w:rFonts w:ascii="Arial" w:hAnsi="Arial" w:cs="Arial"/>
          <w:lang w:val="en-US"/>
        </w:rPr>
      </w:pPr>
      <w:r w:rsidRPr="00516AC2">
        <w:rPr>
          <w:rFonts w:ascii="Arial" w:hAnsi="Arial" w:cs="Arial"/>
        </w:rPr>
        <w:object w:dxaOrig="13879" w:dyaOrig="11093" w14:anchorId="1053D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2pt;height:353.1pt" o:ole="">
            <v:imagedata r:id="rId5" o:title=""/>
          </v:shape>
          <o:OLEObject Type="Embed" ProgID="Prism8.Document" ShapeID="_x0000_i1025" DrawAspect="Content" ObjectID="_1648553534" r:id="rId6"/>
        </w:object>
      </w:r>
      <w:bookmarkEnd w:id="0"/>
      <w:r w:rsidR="00B94E44" w:rsidRPr="00516AC2">
        <w:rPr>
          <w:rFonts w:ascii="Arial" w:hAnsi="Arial" w:cs="Arial"/>
          <w:b/>
          <w:lang w:val="en-US"/>
        </w:rPr>
        <w:t xml:space="preserve">Additional file </w:t>
      </w:r>
      <w:r w:rsidRPr="00516AC2">
        <w:rPr>
          <w:rFonts w:ascii="Arial" w:hAnsi="Arial" w:cs="Arial"/>
          <w:b/>
          <w:lang w:val="en-US"/>
        </w:rPr>
        <w:t>2</w:t>
      </w:r>
      <w:r w:rsidR="00B94E44" w:rsidRPr="00516AC2">
        <w:rPr>
          <w:rFonts w:ascii="Arial" w:hAnsi="Arial" w:cs="Arial"/>
          <w:b/>
          <w:lang w:val="en-US"/>
        </w:rPr>
        <w:t xml:space="preserve">: Figure </w:t>
      </w:r>
      <w:r w:rsidRPr="00516AC2">
        <w:rPr>
          <w:rFonts w:ascii="Arial" w:hAnsi="Arial" w:cs="Arial"/>
          <w:b/>
          <w:lang w:val="en-US"/>
        </w:rPr>
        <w:t>2</w:t>
      </w:r>
      <w:r w:rsidR="00B94E44" w:rsidRPr="00516AC2">
        <w:rPr>
          <w:rFonts w:ascii="Arial" w:hAnsi="Arial" w:cs="Arial"/>
          <w:b/>
          <w:lang w:val="en-US"/>
        </w:rPr>
        <w:t xml:space="preserve">. </w:t>
      </w:r>
      <w:r w:rsidR="00516AC2">
        <w:rPr>
          <w:rFonts w:ascii="Arial" w:hAnsi="Arial" w:cs="Arial"/>
          <w:b/>
        </w:rPr>
        <w:t>TGF</w:t>
      </w:r>
      <w:r w:rsidR="00516AC2" w:rsidRPr="00516AC2">
        <w:rPr>
          <w:rFonts w:ascii="Arial" w:hAnsi="Arial" w:cs="Arial"/>
          <w:b/>
        </w:rPr>
        <w:t xml:space="preserve">β and </w:t>
      </w:r>
      <w:r w:rsidR="00516AC2">
        <w:rPr>
          <w:rFonts w:ascii="Arial" w:hAnsi="Arial" w:cs="Arial"/>
          <w:b/>
        </w:rPr>
        <w:t>TNF</w:t>
      </w:r>
      <w:r w:rsidR="00516AC2" w:rsidRPr="00516AC2">
        <w:rPr>
          <w:rFonts w:ascii="Arial" w:hAnsi="Arial" w:cs="Arial"/>
          <w:b/>
        </w:rPr>
        <w:t xml:space="preserve">α </w:t>
      </w:r>
      <w:proofErr w:type="spellStart"/>
      <w:r w:rsidR="00516AC2" w:rsidRPr="00516AC2">
        <w:rPr>
          <w:rFonts w:ascii="Arial" w:hAnsi="Arial" w:cs="Arial"/>
          <w:b/>
        </w:rPr>
        <w:t>levels</w:t>
      </w:r>
      <w:proofErr w:type="spellEnd"/>
      <w:r w:rsidR="00516AC2" w:rsidRPr="00516AC2">
        <w:rPr>
          <w:rFonts w:ascii="Arial" w:hAnsi="Arial" w:cs="Arial"/>
          <w:b/>
        </w:rPr>
        <w:t xml:space="preserve"> in plasma </w:t>
      </w:r>
      <w:proofErr w:type="spellStart"/>
      <w:r w:rsidR="00516AC2" w:rsidRPr="00516AC2">
        <w:rPr>
          <w:rFonts w:ascii="Arial" w:hAnsi="Arial" w:cs="Arial"/>
          <w:b/>
        </w:rPr>
        <w:t>from</w:t>
      </w:r>
      <w:proofErr w:type="spellEnd"/>
      <w:r w:rsidR="00516AC2" w:rsidRPr="00516AC2">
        <w:rPr>
          <w:rFonts w:ascii="Arial" w:hAnsi="Arial" w:cs="Arial"/>
          <w:b/>
        </w:rPr>
        <w:t xml:space="preserve"> </w:t>
      </w:r>
      <w:proofErr w:type="spellStart"/>
      <w:r w:rsidR="00516AC2" w:rsidRPr="00516AC2">
        <w:rPr>
          <w:rFonts w:ascii="Arial" w:hAnsi="Arial" w:cs="Arial"/>
          <w:b/>
        </w:rPr>
        <w:t>breast</w:t>
      </w:r>
      <w:proofErr w:type="spellEnd"/>
      <w:r w:rsidR="00516AC2" w:rsidRPr="00516AC2">
        <w:rPr>
          <w:rFonts w:ascii="Arial" w:hAnsi="Arial" w:cs="Arial"/>
          <w:b/>
        </w:rPr>
        <w:t xml:space="preserve"> </w:t>
      </w:r>
      <w:proofErr w:type="spellStart"/>
      <w:r w:rsidR="00516AC2" w:rsidRPr="00516AC2">
        <w:rPr>
          <w:rFonts w:ascii="Arial" w:hAnsi="Arial" w:cs="Arial"/>
          <w:b/>
        </w:rPr>
        <w:t>cancer</w:t>
      </w:r>
      <w:proofErr w:type="spellEnd"/>
      <w:r w:rsidR="00516AC2" w:rsidRPr="00516AC2">
        <w:rPr>
          <w:rFonts w:ascii="Arial" w:hAnsi="Arial" w:cs="Arial"/>
          <w:b/>
        </w:rPr>
        <w:t xml:space="preserve"> </w:t>
      </w:r>
      <w:proofErr w:type="spellStart"/>
      <w:r w:rsidR="00516AC2" w:rsidRPr="00516AC2">
        <w:rPr>
          <w:rFonts w:ascii="Arial" w:hAnsi="Arial" w:cs="Arial"/>
          <w:b/>
        </w:rPr>
        <w:t>patient</w:t>
      </w:r>
      <w:proofErr w:type="spellEnd"/>
      <w:r w:rsidR="00516AC2" w:rsidRPr="00516AC2">
        <w:rPr>
          <w:rFonts w:ascii="Arial" w:hAnsi="Arial" w:cs="Arial"/>
          <w:b/>
        </w:rPr>
        <w:t xml:space="preserve">. </w:t>
      </w:r>
      <w:proofErr w:type="spellStart"/>
      <w:r w:rsidR="00516AC2" w:rsidRPr="00516AC2">
        <w:rPr>
          <w:rFonts w:ascii="Arial" w:hAnsi="Arial" w:cs="Arial"/>
        </w:rPr>
        <w:t>The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cytokines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were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measured</w:t>
      </w:r>
      <w:proofErr w:type="spellEnd"/>
      <w:r w:rsidR="00516AC2" w:rsidRPr="00516AC2">
        <w:rPr>
          <w:rFonts w:ascii="Arial" w:hAnsi="Arial" w:cs="Arial"/>
        </w:rPr>
        <w:t xml:space="preserve"> in plasma </w:t>
      </w:r>
      <w:proofErr w:type="spellStart"/>
      <w:r w:rsidR="00516AC2" w:rsidRPr="00516AC2">
        <w:rPr>
          <w:rFonts w:ascii="Arial" w:hAnsi="Arial" w:cs="Arial"/>
        </w:rPr>
        <w:t>samples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from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breast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cancer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patients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across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the</w:t>
      </w:r>
      <w:proofErr w:type="spellEnd"/>
      <w:r w:rsidR="00516AC2" w:rsidRPr="00516AC2">
        <w:rPr>
          <w:rFonts w:ascii="Arial" w:hAnsi="Arial" w:cs="Arial"/>
        </w:rPr>
        <w:t xml:space="preserve"> NAC </w:t>
      </w:r>
      <w:proofErr w:type="spellStart"/>
      <w:r w:rsidR="00516AC2" w:rsidRPr="00516AC2">
        <w:rPr>
          <w:rFonts w:ascii="Arial" w:hAnsi="Arial" w:cs="Arial"/>
        </w:rPr>
        <w:t>cycles</w:t>
      </w:r>
      <w:proofErr w:type="spellEnd"/>
      <w:r w:rsidR="00516AC2" w:rsidRPr="00516AC2">
        <w:rPr>
          <w:rFonts w:ascii="Arial" w:hAnsi="Arial" w:cs="Arial"/>
        </w:rPr>
        <w:t xml:space="preserve"> (n = 20). </w:t>
      </w:r>
      <w:proofErr w:type="spellStart"/>
      <w:r w:rsidR="00516AC2" w:rsidRPr="00516AC2">
        <w:rPr>
          <w:rFonts w:ascii="Arial" w:hAnsi="Arial" w:cs="Arial"/>
        </w:rPr>
        <w:t>For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both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cytokines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the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cycle</w:t>
      </w:r>
      <w:proofErr w:type="spellEnd"/>
      <w:r w:rsidR="00516AC2" w:rsidRPr="00516AC2">
        <w:rPr>
          <w:rFonts w:ascii="Arial" w:hAnsi="Arial" w:cs="Arial"/>
        </w:rPr>
        <w:t xml:space="preserve"> 1 (C1) </w:t>
      </w:r>
      <w:proofErr w:type="spellStart"/>
      <w:r w:rsidR="00516AC2" w:rsidRPr="00516AC2">
        <w:rPr>
          <w:rFonts w:ascii="Arial" w:hAnsi="Arial" w:cs="Arial"/>
        </w:rPr>
        <w:t>is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the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effect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of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the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treatment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without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any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drug</w:t>
      </w:r>
      <w:proofErr w:type="spellEnd"/>
      <w:r w:rsidR="00516AC2" w:rsidRPr="00516AC2">
        <w:rPr>
          <w:rFonts w:ascii="Arial" w:hAnsi="Arial" w:cs="Arial"/>
        </w:rPr>
        <w:t xml:space="preserve"> (</w:t>
      </w:r>
      <w:proofErr w:type="spellStart"/>
      <w:r w:rsidR="00516AC2" w:rsidRPr="00516AC2">
        <w:rPr>
          <w:rFonts w:ascii="Arial" w:hAnsi="Arial" w:cs="Arial"/>
        </w:rPr>
        <w:t>baseline</w:t>
      </w:r>
      <w:proofErr w:type="spellEnd"/>
      <w:r w:rsidR="00516AC2" w:rsidRPr="00516AC2">
        <w:rPr>
          <w:rFonts w:ascii="Arial" w:hAnsi="Arial" w:cs="Arial"/>
        </w:rPr>
        <w:t xml:space="preserve">). In (a) </w:t>
      </w:r>
      <w:proofErr w:type="spellStart"/>
      <w:r w:rsidR="00516AC2" w:rsidRPr="00516AC2">
        <w:rPr>
          <w:rFonts w:ascii="Arial" w:hAnsi="Arial" w:cs="Arial"/>
        </w:rPr>
        <w:t>the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effect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of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the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doxorubicin</w:t>
      </w:r>
      <w:proofErr w:type="spellEnd"/>
      <w:r w:rsidR="00516AC2" w:rsidRPr="00516AC2">
        <w:rPr>
          <w:rFonts w:ascii="Arial" w:hAnsi="Arial" w:cs="Arial"/>
        </w:rPr>
        <w:t xml:space="preserve"> (DOX) </w:t>
      </w:r>
      <w:proofErr w:type="spellStart"/>
      <w:r w:rsidR="00516AC2" w:rsidRPr="00516AC2">
        <w:rPr>
          <w:rFonts w:ascii="Arial" w:hAnsi="Arial" w:cs="Arial"/>
        </w:rPr>
        <w:t>for</w:t>
      </w:r>
      <w:proofErr w:type="spellEnd"/>
      <w:r w:rsidR="00516AC2" w:rsidRPr="00516AC2">
        <w:rPr>
          <w:rFonts w:ascii="Arial" w:hAnsi="Arial" w:cs="Arial"/>
        </w:rPr>
        <w:t xml:space="preserve"> TGFβ</w:t>
      </w:r>
      <w:r w:rsidR="00516AC2">
        <w:rPr>
          <w:rFonts w:ascii="Arial" w:hAnsi="Arial" w:cs="Arial"/>
        </w:rPr>
        <w:t xml:space="preserve"> </w:t>
      </w:r>
      <w:r w:rsidR="00516AC2" w:rsidRPr="00516AC2">
        <w:rPr>
          <w:rFonts w:ascii="Arial" w:hAnsi="Arial" w:cs="Arial"/>
        </w:rPr>
        <w:t xml:space="preserve">and in (b) </w:t>
      </w:r>
      <w:proofErr w:type="spellStart"/>
      <w:r w:rsidR="00516AC2" w:rsidRPr="00516AC2">
        <w:rPr>
          <w:rFonts w:ascii="Arial" w:hAnsi="Arial" w:cs="Arial"/>
        </w:rPr>
        <w:t>for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paclitaxel</w:t>
      </w:r>
      <w:proofErr w:type="spellEnd"/>
      <w:r w:rsidR="00516AC2" w:rsidRPr="00516AC2">
        <w:rPr>
          <w:rFonts w:ascii="Arial" w:hAnsi="Arial" w:cs="Arial"/>
        </w:rPr>
        <w:t xml:space="preserve"> (PLX). </w:t>
      </w:r>
      <w:proofErr w:type="spellStart"/>
      <w:r w:rsidR="00516AC2" w:rsidRPr="00516AC2">
        <w:rPr>
          <w:rFonts w:ascii="Arial" w:hAnsi="Arial" w:cs="Arial"/>
        </w:rPr>
        <w:t>Also</w:t>
      </w:r>
      <w:proofErr w:type="spellEnd"/>
      <w:r w:rsidR="00516AC2" w:rsidRPr="00516AC2">
        <w:rPr>
          <w:rFonts w:ascii="Arial" w:hAnsi="Arial" w:cs="Arial"/>
        </w:rPr>
        <w:t xml:space="preserve">, in (c) </w:t>
      </w:r>
      <w:proofErr w:type="spellStart"/>
      <w:r w:rsidR="00516AC2" w:rsidRPr="00516AC2">
        <w:rPr>
          <w:rFonts w:ascii="Arial" w:hAnsi="Arial" w:cs="Arial"/>
        </w:rPr>
        <w:t>the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effect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of</w:t>
      </w:r>
      <w:proofErr w:type="spellEnd"/>
      <w:r w:rsidR="00516AC2" w:rsidRPr="00516AC2">
        <w:rPr>
          <w:rFonts w:ascii="Arial" w:hAnsi="Arial" w:cs="Arial"/>
        </w:rPr>
        <w:t xml:space="preserve"> DOX and in (d) </w:t>
      </w:r>
      <w:proofErr w:type="spellStart"/>
      <w:r w:rsidR="00516AC2" w:rsidRPr="00516AC2">
        <w:rPr>
          <w:rFonts w:ascii="Arial" w:hAnsi="Arial" w:cs="Arial"/>
        </w:rPr>
        <w:t>the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effect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of</w:t>
      </w:r>
      <w:proofErr w:type="spellEnd"/>
      <w:r w:rsidR="00516AC2" w:rsidRPr="00516AC2">
        <w:rPr>
          <w:rFonts w:ascii="Arial" w:hAnsi="Arial" w:cs="Arial"/>
        </w:rPr>
        <w:t xml:space="preserve"> PLX </w:t>
      </w:r>
      <w:proofErr w:type="spellStart"/>
      <w:r w:rsidR="00516AC2" w:rsidRPr="00516AC2">
        <w:rPr>
          <w:rFonts w:ascii="Arial" w:hAnsi="Arial" w:cs="Arial"/>
        </w:rPr>
        <w:t>for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the</w:t>
      </w:r>
      <w:proofErr w:type="spellEnd"/>
      <w:r w:rsidR="00516AC2" w:rsidRPr="00516AC2">
        <w:rPr>
          <w:rFonts w:ascii="Arial" w:hAnsi="Arial" w:cs="Arial"/>
        </w:rPr>
        <w:t xml:space="preserve"> TNFα</w:t>
      </w:r>
      <w:r w:rsidR="00516AC2" w:rsidRPr="00516AC2">
        <w:rPr>
          <w:rFonts w:ascii="Arial" w:hAnsi="Arial" w:cs="Arial"/>
        </w:rPr>
        <w:t xml:space="preserve"> </w:t>
      </w:r>
      <w:r w:rsidR="00516AC2" w:rsidRPr="00516AC2">
        <w:rPr>
          <w:rFonts w:ascii="Arial" w:hAnsi="Arial" w:cs="Arial"/>
        </w:rPr>
        <w:t xml:space="preserve">plasma </w:t>
      </w:r>
      <w:proofErr w:type="spellStart"/>
      <w:r w:rsidR="00516AC2" w:rsidRPr="00516AC2">
        <w:rPr>
          <w:rFonts w:ascii="Arial" w:hAnsi="Arial" w:cs="Arial"/>
        </w:rPr>
        <w:t>levels</w:t>
      </w:r>
      <w:proofErr w:type="spellEnd"/>
      <w:r w:rsidR="00516AC2" w:rsidRPr="00516AC2">
        <w:rPr>
          <w:rFonts w:ascii="Arial" w:hAnsi="Arial" w:cs="Arial"/>
        </w:rPr>
        <w:t>.</w:t>
      </w:r>
      <w:r w:rsidR="00516AC2" w:rsidRPr="00516AC2">
        <w:t xml:space="preserve"> </w:t>
      </w:r>
      <w:proofErr w:type="spellStart"/>
      <w:r w:rsidR="00516AC2" w:rsidRPr="00516AC2">
        <w:rPr>
          <w:rFonts w:ascii="Arial" w:hAnsi="Arial" w:cs="Arial"/>
        </w:rPr>
        <w:t>All</w:t>
      </w:r>
      <w:proofErr w:type="spellEnd"/>
      <w:r w:rsidR="00516AC2" w:rsidRPr="00516AC2">
        <w:rPr>
          <w:rFonts w:ascii="Arial" w:hAnsi="Arial" w:cs="Arial"/>
        </w:rPr>
        <w:t xml:space="preserve"> data </w:t>
      </w:r>
      <w:proofErr w:type="spellStart"/>
      <w:r w:rsidR="00516AC2" w:rsidRPr="00516AC2">
        <w:rPr>
          <w:rFonts w:ascii="Arial" w:hAnsi="Arial" w:cs="Arial"/>
        </w:rPr>
        <w:t>presented</w:t>
      </w:r>
      <w:proofErr w:type="spellEnd"/>
      <w:r w:rsidR="00516AC2" w:rsidRPr="00516AC2">
        <w:rPr>
          <w:rFonts w:ascii="Arial" w:hAnsi="Arial" w:cs="Arial"/>
        </w:rPr>
        <w:t xml:space="preserve"> </w:t>
      </w:r>
      <w:r w:rsidR="00516AC2">
        <w:rPr>
          <w:rFonts w:ascii="Arial" w:hAnsi="Arial" w:cs="Arial"/>
        </w:rPr>
        <w:t xml:space="preserve">as </w:t>
      </w:r>
      <w:proofErr w:type="spellStart"/>
      <w:r w:rsidR="00516AC2">
        <w:rPr>
          <w:rFonts w:ascii="Arial" w:hAnsi="Arial" w:cs="Arial"/>
        </w:rPr>
        <w:t>optical</w:t>
      </w:r>
      <w:proofErr w:type="spellEnd"/>
      <w:r w:rsidR="00516AC2">
        <w:rPr>
          <w:rFonts w:ascii="Arial" w:hAnsi="Arial" w:cs="Arial"/>
        </w:rPr>
        <w:t xml:space="preserve"> </w:t>
      </w:r>
      <w:proofErr w:type="spellStart"/>
      <w:r w:rsidR="00516AC2">
        <w:rPr>
          <w:rFonts w:ascii="Arial" w:hAnsi="Arial" w:cs="Arial"/>
        </w:rPr>
        <w:t>density</w:t>
      </w:r>
      <w:proofErr w:type="spellEnd"/>
      <w:r w:rsidR="00516AC2">
        <w:rPr>
          <w:rFonts w:ascii="Arial" w:hAnsi="Arial" w:cs="Arial"/>
        </w:rPr>
        <w:t xml:space="preserve"> </w:t>
      </w:r>
      <w:proofErr w:type="spellStart"/>
      <w:r w:rsidR="00516AC2">
        <w:rPr>
          <w:rFonts w:ascii="Arial" w:hAnsi="Arial" w:cs="Arial"/>
        </w:rPr>
        <w:t>units</w:t>
      </w:r>
      <w:proofErr w:type="spellEnd"/>
      <w:r w:rsidR="00516AC2">
        <w:rPr>
          <w:rFonts w:ascii="Arial" w:hAnsi="Arial" w:cs="Arial"/>
        </w:rPr>
        <w:t xml:space="preserve"> (OD) </w:t>
      </w:r>
      <w:proofErr w:type="spellStart"/>
      <w:r w:rsidR="00516AC2">
        <w:rPr>
          <w:rFonts w:ascii="Arial" w:hAnsi="Arial" w:cs="Arial"/>
        </w:rPr>
        <w:t>with</w:t>
      </w:r>
      <w:proofErr w:type="spellEnd"/>
      <w:r w:rsidR="00516AC2">
        <w:rPr>
          <w:rFonts w:ascii="Arial" w:hAnsi="Arial" w:cs="Arial"/>
        </w:rPr>
        <w:t xml:space="preserve"> </w:t>
      </w:r>
      <w:r w:rsidR="00516AC2" w:rsidRPr="00516AC2">
        <w:rPr>
          <w:rFonts w:ascii="Arial" w:hAnsi="Arial" w:cs="Arial"/>
        </w:rPr>
        <w:t>+/- SEM</w:t>
      </w:r>
      <w:r w:rsidR="00516AC2">
        <w:rPr>
          <w:rFonts w:ascii="Arial" w:hAnsi="Arial" w:cs="Arial"/>
        </w:rPr>
        <w:t xml:space="preserve"> </w:t>
      </w:r>
      <w:proofErr w:type="spellStart"/>
      <w:r w:rsidR="00516AC2">
        <w:rPr>
          <w:rFonts w:ascii="Arial" w:hAnsi="Arial" w:cs="Arial"/>
        </w:rPr>
        <w:t>for</w:t>
      </w:r>
      <w:proofErr w:type="spellEnd"/>
      <w:r w:rsidR="00516AC2">
        <w:rPr>
          <w:rFonts w:ascii="Arial" w:hAnsi="Arial" w:cs="Arial"/>
        </w:rPr>
        <w:t xml:space="preserve"> </w:t>
      </w:r>
      <w:proofErr w:type="spellStart"/>
      <w:r w:rsidR="00516AC2">
        <w:rPr>
          <w:rFonts w:ascii="Arial" w:hAnsi="Arial" w:cs="Arial"/>
        </w:rPr>
        <w:t>each</w:t>
      </w:r>
      <w:proofErr w:type="spellEnd"/>
      <w:r w:rsidR="00516AC2">
        <w:rPr>
          <w:rFonts w:ascii="Arial" w:hAnsi="Arial" w:cs="Arial"/>
        </w:rPr>
        <w:t xml:space="preserve"> NAC </w:t>
      </w:r>
      <w:proofErr w:type="spellStart"/>
      <w:r w:rsidR="00516AC2">
        <w:rPr>
          <w:rFonts w:ascii="Arial" w:hAnsi="Arial" w:cs="Arial"/>
        </w:rPr>
        <w:t>cycle</w:t>
      </w:r>
      <w:proofErr w:type="spellEnd"/>
      <w:r w:rsidR="00516AC2">
        <w:rPr>
          <w:rFonts w:ascii="Arial" w:hAnsi="Arial" w:cs="Arial"/>
        </w:rPr>
        <w:t>.</w:t>
      </w:r>
      <w:r w:rsidR="00516AC2" w:rsidRPr="00516AC2">
        <w:rPr>
          <w:rFonts w:ascii="Arial" w:hAnsi="Arial" w:cs="Arial"/>
        </w:rPr>
        <w:t xml:space="preserve"> </w:t>
      </w:r>
      <w:proofErr w:type="spellStart"/>
      <w:r w:rsidR="00516AC2">
        <w:rPr>
          <w:rFonts w:ascii="Arial" w:hAnsi="Arial" w:cs="Arial"/>
        </w:rPr>
        <w:t>S</w:t>
      </w:r>
      <w:r w:rsidR="00516AC2" w:rsidRPr="00516AC2">
        <w:rPr>
          <w:rFonts w:ascii="Arial" w:hAnsi="Arial" w:cs="Arial"/>
        </w:rPr>
        <w:t>tatistical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significances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were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assessed</w:t>
      </w:r>
      <w:proofErr w:type="spellEnd"/>
      <w:r w:rsidR="00516AC2" w:rsidRPr="00516AC2">
        <w:rPr>
          <w:rFonts w:ascii="Arial" w:hAnsi="Arial" w:cs="Arial"/>
        </w:rPr>
        <w:t xml:space="preserve"> </w:t>
      </w:r>
      <w:proofErr w:type="spellStart"/>
      <w:r w:rsidR="00516AC2" w:rsidRPr="00516AC2">
        <w:rPr>
          <w:rFonts w:ascii="Arial" w:hAnsi="Arial" w:cs="Arial"/>
        </w:rPr>
        <w:t>using</w:t>
      </w:r>
      <w:proofErr w:type="spellEnd"/>
      <w:r w:rsidR="00516AC2" w:rsidRPr="00516AC2">
        <w:rPr>
          <w:rFonts w:ascii="Arial" w:hAnsi="Arial" w:cs="Arial"/>
        </w:rPr>
        <w:t xml:space="preserve"> a </w:t>
      </w:r>
      <w:proofErr w:type="spellStart"/>
      <w:r w:rsidR="00516AC2" w:rsidRPr="00516AC2">
        <w:rPr>
          <w:rFonts w:ascii="Arial" w:hAnsi="Arial" w:cs="Arial"/>
        </w:rPr>
        <w:t>One-way</w:t>
      </w:r>
      <w:proofErr w:type="spellEnd"/>
      <w:r w:rsidR="00516AC2" w:rsidRPr="00516AC2">
        <w:rPr>
          <w:rFonts w:ascii="Arial" w:hAnsi="Arial" w:cs="Arial"/>
        </w:rPr>
        <w:t xml:space="preserve"> ANOVA test *p &lt; 0.05.</w:t>
      </w:r>
    </w:p>
    <w:p w14:paraId="25ACB899" w14:textId="77777777" w:rsidR="005C6B53" w:rsidRDefault="005C6B53">
      <w:bookmarkStart w:id="1" w:name="_GoBack"/>
      <w:bookmarkEnd w:id="1"/>
    </w:p>
    <w:sectPr w:rsidR="005C6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EF"/>
    <w:rsid w:val="001B5239"/>
    <w:rsid w:val="003126EF"/>
    <w:rsid w:val="00516AC2"/>
    <w:rsid w:val="005C6B53"/>
    <w:rsid w:val="00897218"/>
    <w:rsid w:val="00B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6431"/>
  <w15:chartTrackingRefBased/>
  <w15:docId w15:val="{6893BBCE-9F57-4AA7-A4B9-B141C02B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4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Neme Neme</cp:lastModifiedBy>
  <cp:revision>1</cp:revision>
  <dcterms:created xsi:type="dcterms:W3CDTF">2018-12-17T17:13:00Z</dcterms:created>
  <dcterms:modified xsi:type="dcterms:W3CDTF">2020-04-16T18:46:00Z</dcterms:modified>
</cp:coreProperties>
</file>