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33A41" w14:textId="77777777" w:rsidR="009379B3" w:rsidRPr="00F41F62" w:rsidRDefault="009379B3" w:rsidP="009379B3">
      <w:pPr>
        <w:spacing w:after="0" w:line="480" w:lineRule="auto"/>
        <w:ind w:left="-270" w:right="720"/>
        <w:rPr>
          <w:rFonts w:ascii="Arial" w:hAnsi="Arial" w:cs="Arial"/>
          <w:b/>
          <w:sz w:val="28"/>
          <w:szCs w:val="28"/>
        </w:rPr>
      </w:pPr>
      <w:r>
        <w:rPr>
          <w:rFonts w:ascii="Arial" w:hAnsi="Arial" w:cs="Arial"/>
          <w:b/>
          <w:sz w:val="28"/>
          <w:szCs w:val="28"/>
        </w:rPr>
        <w:t>MATERIALS AND METHODS</w:t>
      </w:r>
    </w:p>
    <w:p w14:paraId="207EB512" w14:textId="77777777" w:rsidR="009379B3" w:rsidRPr="00104B19" w:rsidRDefault="009379B3" w:rsidP="009379B3">
      <w:pPr>
        <w:spacing w:after="0" w:line="480" w:lineRule="auto"/>
        <w:ind w:left="-270" w:right="720"/>
        <w:rPr>
          <w:rFonts w:ascii="Arial" w:hAnsi="Arial" w:cs="Arial"/>
          <w:b/>
        </w:rPr>
      </w:pPr>
      <w:r w:rsidRPr="00104B19">
        <w:rPr>
          <w:rFonts w:ascii="Arial" w:hAnsi="Arial" w:cs="Arial"/>
          <w:b/>
        </w:rPr>
        <w:t>Reagents and antibodies</w:t>
      </w:r>
    </w:p>
    <w:p w14:paraId="37F524C5" w14:textId="77777777" w:rsidR="009379B3" w:rsidRPr="00F41F62" w:rsidRDefault="009379B3" w:rsidP="009379B3">
      <w:pPr>
        <w:spacing w:after="0" w:line="480" w:lineRule="auto"/>
        <w:ind w:left="-270" w:right="720" w:firstLine="360"/>
        <w:rPr>
          <w:rFonts w:ascii="Arial" w:hAnsi="Arial" w:cs="Arial"/>
        </w:rPr>
      </w:pPr>
      <w:proofErr w:type="spellStart"/>
      <w:r w:rsidRPr="00104B19">
        <w:rPr>
          <w:rFonts w:ascii="Arial" w:hAnsi="Arial" w:cs="Arial"/>
        </w:rPr>
        <w:t>Phenylmethanesulfonyl</w:t>
      </w:r>
      <w:proofErr w:type="spellEnd"/>
      <w:r w:rsidRPr="00104B19">
        <w:rPr>
          <w:rFonts w:ascii="Arial" w:hAnsi="Arial" w:cs="Arial"/>
        </w:rPr>
        <w:t xml:space="preserve"> fluoride (PMSF), 10X Dulbecco’s Phosphate Buffered Saline</w:t>
      </w:r>
      <w:r>
        <w:rPr>
          <w:rFonts w:ascii="Arial" w:hAnsi="Arial" w:cs="Arial"/>
        </w:rPr>
        <w:t xml:space="preserve"> (DPBS), proteinase K (PK), </w:t>
      </w:r>
      <w:r w:rsidRPr="00104B19">
        <w:rPr>
          <w:rFonts w:ascii="Arial" w:hAnsi="Arial" w:cs="Arial"/>
        </w:rPr>
        <w:t>Sarkosyl</w:t>
      </w:r>
      <w:r w:rsidRPr="00F41F62">
        <w:rPr>
          <w:rFonts w:ascii="Arial" w:hAnsi="Arial" w:cs="Arial"/>
        </w:rPr>
        <w:t xml:space="preserve"> NL </w:t>
      </w:r>
      <w:r>
        <w:rPr>
          <w:rFonts w:ascii="Arial" w:hAnsi="Arial" w:cs="Arial"/>
        </w:rPr>
        <w:t>and g</w:t>
      </w:r>
      <w:r w:rsidRPr="00BC5F98">
        <w:rPr>
          <w:rFonts w:ascii="Arial" w:hAnsi="Arial" w:cs="Arial"/>
        </w:rPr>
        <w:t>lial fibrillary acidic protein (GFAP)</w:t>
      </w:r>
      <w:r>
        <w:rPr>
          <w:rFonts w:ascii="Arial" w:hAnsi="Arial" w:cs="Arial"/>
        </w:rPr>
        <w:t xml:space="preserve"> antibody (Ab) </w:t>
      </w:r>
      <w:r w:rsidRPr="00F41F62">
        <w:rPr>
          <w:rFonts w:ascii="Arial" w:hAnsi="Arial" w:cs="Arial"/>
        </w:rPr>
        <w:t xml:space="preserve">were from Sigma-Aldrich (St. Louis, MO, USA). Tween 20, 10X Tris-buffered saline (TBS), 2X </w:t>
      </w:r>
      <w:proofErr w:type="spellStart"/>
      <w:r w:rsidRPr="00F41F62">
        <w:rPr>
          <w:rFonts w:ascii="Arial" w:hAnsi="Arial" w:cs="Arial"/>
        </w:rPr>
        <w:t>Laemmli</w:t>
      </w:r>
      <w:proofErr w:type="spellEnd"/>
      <w:r w:rsidRPr="00F41F62">
        <w:rPr>
          <w:rFonts w:ascii="Arial" w:hAnsi="Arial" w:cs="Arial"/>
        </w:rPr>
        <w:t xml:space="preserve"> Sample Buffer and 15% Tris-HCl polyacrylamide Criterion precast gels were from Bio-Rad Laboratories (Hercules, CA</w:t>
      </w:r>
      <w:r>
        <w:rPr>
          <w:rFonts w:ascii="Arial" w:hAnsi="Arial" w:cs="Arial"/>
        </w:rPr>
        <w:t>, USA). Odyssey blocking buffer and</w:t>
      </w:r>
      <w:r w:rsidRPr="00F41F62">
        <w:rPr>
          <w:rFonts w:ascii="Arial" w:hAnsi="Arial" w:cs="Arial"/>
        </w:rPr>
        <w:t xml:space="preserve"> Infrared Dye (</w:t>
      </w:r>
      <w:proofErr w:type="spellStart"/>
      <w:r w:rsidRPr="00F41F62">
        <w:rPr>
          <w:rFonts w:ascii="Arial" w:hAnsi="Arial" w:cs="Arial"/>
        </w:rPr>
        <w:t>IRDye</w:t>
      </w:r>
      <w:proofErr w:type="spellEnd"/>
      <w:r w:rsidRPr="00F41F62">
        <w:rPr>
          <w:rFonts w:ascii="Arial" w:hAnsi="Arial" w:cs="Arial"/>
        </w:rPr>
        <w:t xml:space="preserve">) 800CW goat anti-mouse IgG </w:t>
      </w:r>
      <w:r>
        <w:rPr>
          <w:rFonts w:ascii="Arial" w:hAnsi="Arial" w:cs="Arial"/>
        </w:rPr>
        <w:t xml:space="preserve">and </w:t>
      </w:r>
      <w:proofErr w:type="spellStart"/>
      <w:r w:rsidRPr="00F41F62">
        <w:rPr>
          <w:rFonts w:ascii="Arial" w:hAnsi="Arial" w:cs="Arial"/>
        </w:rPr>
        <w:t>IRDye</w:t>
      </w:r>
      <w:proofErr w:type="spellEnd"/>
      <w:r w:rsidRPr="00F41F62">
        <w:rPr>
          <w:rFonts w:ascii="Arial" w:hAnsi="Arial" w:cs="Arial"/>
        </w:rPr>
        <w:t xml:space="preserve"> </w:t>
      </w:r>
      <w:r>
        <w:rPr>
          <w:rFonts w:ascii="Arial" w:hAnsi="Arial" w:cs="Arial"/>
        </w:rPr>
        <w:t>680CW goat anti-rabbit IgG (</w:t>
      </w:r>
      <w:r w:rsidRPr="007641DD">
        <w:rPr>
          <w:rFonts w:ascii="Arial" w:hAnsi="Arial" w:cs="Arial"/>
        </w:rPr>
        <w:t>1 mg/ml</w:t>
      </w:r>
      <w:r w:rsidRPr="00F41F62">
        <w:rPr>
          <w:rFonts w:ascii="Arial" w:hAnsi="Arial" w:cs="Arial"/>
        </w:rPr>
        <w:t>)</w:t>
      </w:r>
      <w:r>
        <w:rPr>
          <w:rFonts w:ascii="Arial" w:hAnsi="Arial" w:cs="Arial"/>
        </w:rPr>
        <w:t xml:space="preserve"> </w:t>
      </w:r>
      <w:r w:rsidRPr="00F41F62">
        <w:rPr>
          <w:rFonts w:ascii="Arial" w:hAnsi="Arial" w:cs="Arial"/>
        </w:rPr>
        <w:t xml:space="preserve">were from LI-COR Biosciences (Lincoln, NE, USA). Polyvinylidene fluoride (PVDF) membrane (Immobilon-FL) was from EMD Millipore (Billerica, MA, USA). The following monoclonal </w:t>
      </w:r>
      <w:r>
        <w:rPr>
          <w:rFonts w:ascii="Arial" w:hAnsi="Arial" w:cs="Arial"/>
        </w:rPr>
        <w:t>Abs</w:t>
      </w:r>
      <w:r w:rsidRPr="00F41F62">
        <w:rPr>
          <w:rFonts w:ascii="Arial" w:hAnsi="Arial" w:cs="Arial"/>
        </w:rPr>
        <w:t xml:space="preserve"> to PrP were used: </w:t>
      </w:r>
      <w:r>
        <w:rPr>
          <w:rFonts w:ascii="Arial" w:hAnsi="Arial" w:cs="Arial"/>
        </w:rPr>
        <w:t xml:space="preserve">8B4 to </w:t>
      </w:r>
      <w:r w:rsidRPr="00F41F62">
        <w:rPr>
          <w:rFonts w:ascii="Arial" w:hAnsi="Arial" w:cs="Arial"/>
        </w:rPr>
        <w:t>PrP</w:t>
      </w:r>
      <w:r>
        <w:rPr>
          <w:rFonts w:ascii="Arial" w:hAnsi="Arial" w:cs="Arial"/>
        </w:rPr>
        <w:t xml:space="preserve"> epitope </w:t>
      </w:r>
      <w:r w:rsidRPr="001E3143">
        <w:rPr>
          <w:rFonts w:ascii="Arial" w:hAnsi="Arial" w:cs="Arial"/>
        </w:rPr>
        <w:t>3</w:t>
      </w:r>
      <w:r>
        <w:rPr>
          <w:rFonts w:ascii="Arial" w:hAnsi="Arial" w:cs="Arial"/>
        </w:rPr>
        <w:t>6</w:t>
      </w:r>
      <w:r w:rsidRPr="001E3143">
        <w:rPr>
          <w:rFonts w:ascii="Arial" w:hAnsi="Arial" w:cs="Arial"/>
        </w:rPr>
        <w:t>-4</w:t>
      </w:r>
      <w:r>
        <w:rPr>
          <w:rFonts w:ascii="Arial" w:hAnsi="Arial" w:cs="Arial"/>
        </w:rPr>
        <w:t>3</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{"citationID":"GRgsCQHR","properties":{"formattedCitation":"(Li {\\i{}et al.}, 2000)","plainCitation":"(Li et al., 2000)","noteIndex":0},"citationItems":[{"id":986,"uris":["http://zotero.org/users/local/bLShVtLF/items/JAQ4ML6S"],"uri":["http://zotero.org/users/local/bLShVtLF/items/JAQ4ML6S"],"itemData":{"id":986,"type":"article-journal","abstract":"We have characterized the epitopes of a panel of 12 monoclonal antibodies (Mabs) directed to normal human cellular prion protein (PrP(C)) using ELISA and Western blotting of recombinant PrP or synthetic peptide fragments of PrP. The first group of antibodies, which is represented by Mabs 5B2 and 8B4, reacts with PrP(23-145), indicating that the epitopes for these Mabs are located in the 23 to 145 N-terminal region of human PrP. The second group includes Mabs 1A1, 6H3, 7A9, 8C6, 8H4, 9H7 and 2G8. These antibodies bind to epitopes localized within N-terminally truncated recombinant PrP(90-231). Finally, Mabs 5C3, 2C9 and 7A12 recognize both PrP(23-145) and PrP(90-231), suggesting that the epitopes for this group are located in the region encompassing residues 90 to 145. By Western blotting with PepSpot(TM), only three of Mabs studied (5B2, 8B4 and 2G8) bind to linear epitopes that are present in 13-residue long synthetic peptides corresponding to human PrP fragments. The remaining nine Mabs appear to recognize conformational epitopes. Two N terminus-specific Mabs were found to prevent the binding of the C terminus-specific Mab 6H3. This observation suggests that the unstructured N-terminal region may influence the local conformation within the folded C-terminal domain of prion protein.","container-title":"Journal of Molecular Biology","DOI":"10.1006/jmbi.2000.3986","ISSN":"0022-2836","issue":"3","journalAbbreviation":"J. Mol. Biol.","language":"eng","note":"PMID: 10966770","page":"567-573","source":"PubMed","title":"Identification of an epitope in the C terminus of normal prion protein whose expression is modulated by binding events in the N terminus","volume":"301","author":[{"family":"Li","given":"R."},{"family":"Liu","given":"T."},{"family":"Wong","given":"B. S."},{"family":"Pan","given":"T."},{"family":"Morillas","given":"M."},{"family":"Swietnicki","given":"W."},{"family":"O'Rourke","given":"K."},{"family":"Gambetti","given":"P."},{"family":"Surewicz","given":"W. K."},{"family":"Sy","given":"M. S."}],"issued":{"date-parts":[["2000",8,18]]}}}],"schema":"https://github.com/citation-style-language/schema/raw/master/csl-citation.json"}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(Li </w:t>
      </w:r>
      <w:r w:rsidR="003A22B2" w:rsidRPr="003A22B2">
        <w:rPr>
          <w:rFonts w:ascii="Arial" w:hAnsi="Arial" w:cs="Arial"/>
          <w:i/>
          <w:iCs/>
          <w:szCs w:val="24"/>
        </w:rPr>
        <w:t>et al.</w:t>
      </w:r>
      <w:r w:rsidR="003A22B2" w:rsidRPr="003A22B2">
        <w:rPr>
          <w:rFonts w:ascii="Arial" w:hAnsi="Arial" w:cs="Arial"/>
          <w:szCs w:val="24"/>
        </w:rPr>
        <w:t>, 2000)</w:t>
      </w:r>
      <w:r>
        <w:rPr>
          <w:rFonts w:ascii="Arial" w:hAnsi="Arial" w:cs="Arial"/>
        </w:rPr>
        <w:fldChar w:fldCharType="end"/>
      </w:r>
      <w:r>
        <w:rPr>
          <w:rFonts w:ascii="Arial" w:hAnsi="Arial" w:cs="Arial"/>
        </w:rPr>
        <w:t xml:space="preserve">, </w:t>
      </w:r>
      <w:r w:rsidRPr="00F41F62">
        <w:rPr>
          <w:rFonts w:ascii="Arial" w:hAnsi="Arial" w:cs="Arial"/>
        </w:rPr>
        <w:t xml:space="preserve">12B2 to </w:t>
      </w:r>
      <w:proofErr w:type="spellStart"/>
      <w:r w:rsidRPr="00F41F62">
        <w:rPr>
          <w:rFonts w:ascii="Arial" w:hAnsi="Arial" w:cs="Arial"/>
        </w:rPr>
        <w:t>PrP</w:t>
      </w:r>
      <w:proofErr w:type="spellEnd"/>
      <w:r>
        <w:rPr>
          <w:rFonts w:ascii="Arial" w:hAnsi="Arial" w:cs="Arial"/>
        </w:rPr>
        <w:t xml:space="preserve"> epitope </w:t>
      </w:r>
      <w:r w:rsidRPr="00F41F62">
        <w:rPr>
          <w:rFonts w:ascii="Arial" w:hAnsi="Arial" w:cs="Arial"/>
        </w:rPr>
        <w:t>89-93</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{"citationID":"QEq1rO7r","properties":{"formattedCitation":"(Langeveld {\\i{}et al.}, 2006)","plainCitation":"(Langeveld et al., 2006)","noteIndex":0},"citationItems":[{"id":92,"uris":["http://zotero.org/users/local/bLShVtLF/items/UZFEDBHX"],"uri":["http://zotero.org/users/local/bLShVtLF/items/UZFEDBHX"],"itemData":{"id":92,"type":"article-journal","abstract":"BACKGROUND: Diagnosis based on prion detection in lymph nodes of sheep and goats can improve active surveillance for scrapie and, if it were circulating, for bovine spongiform encephalopathy (BSE). With sizes that allow repetitive testing and a location that is easily accessible at slaughter, retropharyngeal lymph nodes (RLN) are considered suitable organs for testing. Western blotting (WB) of brain homogenates is, in principle, a technique well suited to both detect and discriminate between scrapie and BSE. In this report, WB is developed for rapid diagnosis in RLN and to study biochemical characteristics of PrPres.\nRESULTS: Optimal PrPres detection in RLN by WB was achieved by proper tissue processing, antibody choice and inclusion of a step for PrPresconcentration. The analyses were performed on three different sheep sources. Firstly, in a study with preclinical scrapie cases, WB of RLN from infected sheep of VRQ/VRQ genotype--VRQ represents, respectively, polymorphic PrP amino acids 136, 154, and 171--allowed a diagnosis 14 mo earlier compared to WB of brain stem. Secondly, samples collected from sheep with confirmed scrapie in the course of passive and active surveillance programmes in the period 2002-2003 yielded positive results depending on genotype: all sheep with genotypes ARH/VRQ, VRQ/VRQ, and ARQ/VRQ scored positive for PrPres, but ARQ/ARQ and ARR/VRQ were not all positive. Thirdly, in an experimental BSE study, detection of PrPres in all 11 ARQ/ARQ sheep, including 7 preclinical cases, was possible. In all instances, WB and IHC were almost as sensitive. Moreover, BSE infection could be discriminated from scrapie infection by faster electrophoretic migration of the PrPres bands. Using dual antibody staining with selec</w:instrText>
      </w:r>
      <w:r w:rsidR="003A22B2" w:rsidRPr="00A7553B">
        <w:rPr>
          <w:rFonts w:ascii="Arial" w:hAnsi="Arial" w:cs="Arial"/>
          <w:lang w:val="nb-NO"/>
        </w:rPr>
        <w:instrText xml:space="preserve">ted monoclonal antibodies like 12B2 and L42, these differences in migration could be employed for an unequivocal differentiation between BSE and scrapie. With respect to glycosylation of PrPres, BSE cases exhibited a greater diglycosylated fraction than scrapie cases. Furthermore, a slight time dependent increase of diglycosylated PrPres was noted between individual sheep, which was remarkable in that it occurred in both scrapie and BSE study.\nCONCLUSION: The present data indicate that, used in conjunction with testing in brain, WB of RLN can be a sensitive tool for improving surveillance of scrapie and BSE, allowing early detection of BSE and scrapie and thereby ensuring safer sheep and goat products.","container-title":"BMC veterinary research","DOI":"10.1186/1746-6148-2-19","ISSN":"1746-6148","journalAbbreviation":"BMC Vet. Res.","language":"eng","note":"PMID: 16764717\nPMCID: PMC1544330","page":"19","source":"PubMed","title":"Rapid and discriminatory diagnosis of scrapie and BSE in retro-pharyngeal lymph nodes of sheep","volume":"2","author":[{"family":"Langeveld","given":"Jan P. M."},{"family":"Jacobs","given":"Jorg G."},{"family":"Erkens","given":"Jo H. F."},{"family":"Bossers","given":"Alex"},{"family":"Zijderveld","given":"Fred G.","non-dropping-particle":"van"},{"family":"Keulen","given":"Lucien J. M.","non-dropping-particle":"van"}],"issued":{"date-parts":[["2006",6,9]]}}}],"schema":"https://github.com/citation-style-language/schema/raw/master/csl-citation.json"} </w:instrText>
      </w:r>
      <w:r>
        <w:rPr>
          <w:rFonts w:ascii="Arial" w:hAnsi="Arial" w:cs="Arial"/>
        </w:rPr>
        <w:fldChar w:fldCharType="separate"/>
      </w:r>
      <w:r w:rsidR="003A22B2" w:rsidRPr="00A7553B">
        <w:rPr>
          <w:rFonts w:ascii="Arial" w:hAnsi="Arial" w:cs="Arial"/>
          <w:szCs w:val="24"/>
          <w:lang w:val="nb-NO"/>
        </w:rPr>
        <w:t xml:space="preserve">(Langeveld </w:t>
      </w:r>
      <w:r w:rsidR="003A22B2" w:rsidRPr="00A7553B">
        <w:rPr>
          <w:rFonts w:ascii="Arial" w:hAnsi="Arial" w:cs="Arial"/>
          <w:i/>
          <w:iCs/>
          <w:szCs w:val="24"/>
          <w:lang w:val="nb-NO"/>
        </w:rPr>
        <w:t>et al.</w:t>
      </w:r>
      <w:r w:rsidR="003A22B2" w:rsidRPr="00A7553B">
        <w:rPr>
          <w:rFonts w:ascii="Arial" w:hAnsi="Arial" w:cs="Arial"/>
          <w:szCs w:val="24"/>
          <w:lang w:val="nb-NO"/>
        </w:rPr>
        <w:t>, 2006)</w:t>
      </w:r>
      <w:r>
        <w:rPr>
          <w:rFonts w:ascii="Arial" w:hAnsi="Arial" w:cs="Arial"/>
        </w:rPr>
        <w:fldChar w:fldCharType="end"/>
      </w:r>
      <w:r w:rsidRPr="00A7553B">
        <w:rPr>
          <w:rFonts w:ascii="Arial" w:hAnsi="Arial" w:cs="Arial"/>
          <w:lang w:val="nb-NO"/>
        </w:rPr>
        <w:t>, 1E4 to PrP epitope 97-108</w:t>
      </w:r>
      <w:r>
        <w:rPr>
          <w:rFonts w:ascii="Arial" w:hAnsi="Arial" w:cs="Arial"/>
        </w:rPr>
        <w:fldChar w:fldCharType="begin"/>
      </w:r>
      <w:r w:rsidR="003A22B2" w:rsidRPr="00A7553B">
        <w:rPr>
          <w:rFonts w:ascii="Arial" w:hAnsi="Arial" w:cs="Arial"/>
          <w:lang w:val="nb-NO"/>
        </w:rPr>
        <w:instrText xml:space="preserve"> ADDIN ZOTERO_ITEM CSL_CITATION {"citationID":"CDM7w5wG","properties":{"formattedCitation":"(Cali {\\i{}et al.}, 2020)","plainCitation":"(Cali et al., 2020)","noteIndex":0},"citationItems":[{"id":917,"uris":["http://zotero.org/users/local/bLShVtLF/items/XLLUS7A2"],"uri":["http://zotero.org/users/local/bLShVtLF/items/XLLUS7A2"],"itemData":{"id":917,"type":"article-journal","abstract":"We report a detailed study of a cohort of sporadic Creutzfeldt-Jakob disease (sCJD) VV1-2 type-mixed cases (valine homozygosity at codon 129 of the prion protein, PrP, gene harboring disease-related PrP, PrPD, types 1 and 2). Overall, sCJDVV1-2 subjects showed mixed clinical and histopathological features, which often correlated with the relative amounts of the corresponding PrPD type. However, type-specific phenotypic characteristics were only detected when the amount of the corresponding PrPD type exceeded 20-25%. Overall, original features of types 1 (T1) and 2 (T2) in sCJDVV1 and -VV2, including rostrocaudal relative distribution and conformational indicators, were maintained in sCJDVV1-2 except for one of the two components of T1 identified by electrophoretic mobility as T121. The T121 conformational characteristics shifted in the presence of T2, inferring a conformational effect of PrPD T2 on T121. The prevalence of sCJDVV1-2 was 23% or 57% of all sCJDVV cases, depending on whether standard or highly sensitive type-detecting procedures were adopted. This study, together with previous data from sCJDMM1-2 (methionine homozygosity at PrP gene codon 129) establishes the type-mixed sCJD variants as an important component of sCJD, which cannot be identified with current non-tissue based diagnostic tests of prion disease.","container-title":"Scientific Reports","DOI":"10.1038/s41598-020-58446-0","ISSN":"2045-2322","issue":"1","journalAbbreviation":"Sci Rep","language":"eng","note":"PMID: 32001774\nPMCID: PMC6992672","page":"1503","source":"PubMed","title":"Co-existence of PrPD types 1 and 2 in sporadic Creutzfeldt-Jakob disease of the VV subgroup: phenotypic and prion protein characteristics","title-short":"Co-existence of PrPD types 1 and 2 in sporadic Creutzfeldt-Jakob disease of the VV subgroup","volume":"10","author":[{"family":"Cali","given":"Ignazio"},{"family":"Puoti","given":"Gianfranco"},{"family":"Smucny","given":"Jason"},{"family":"Curtiss","given":"Paul Michael"},{"family":"Cracco","given":"Laura"},{"family":"Kitamoto","given":"Tetsuyuki"},{"family":"Occhipinti","given":"Rossana"},{"family":"Cohen","given":"Mark Lloyd"},{"family":"Appleby","given":"Brian Stephen"},{"family":"Gambetti","given":"Pierluigi"}],"issued":{"date-parts":[["2020",1,30]]}}}],"schema":"https://github.com/citation-style-language/schema/raw/master/csl-citation.json"} </w:instrText>
      </w:r>
      <w:r>
        <w:rPr>
          <w:rFonts w:ascii="Arial" w:hAnsi="Arial" w:cs="Arial"/>
        </w:rPr>
        <w:fldChar w:fldCharType="separate"/>
      </w:r>
      <w:r w:rsidR="003A22B2" w:rsidRPr="00A7553B">
        <w:rPr>
          <w:rFonts w:ascii="Arial" w:hAnsi="Arial" w:cs="Arial"/>
          <w:szCs w:val="24"/>
          <w:lang w:val="nb-NO"/>
        </w:rPr>
        <w:t xml:space="preserve">(Cali </w:t>
      </w:r>
      <w:r w:rsidR="003A22B2" w:rsidRPr="00A7553B">
        <w:rPr>
          <w:rFonts w:ascii="Arial" w:hAnsi="Arial" w:cs="Arial"/>
          <w:i/>
          <w:iCs/>
          <w:szCs w:val="24"/>
          <w:lang w:val="nb-NO"/>
        </w:rPr>
        <w:t>et al.</w:t>
      </w:r>
      <w:r w:rsidR="003A22B2" w:rsidRPr="00A7553B">
        <w:rPr>
          <w:rFonts w:ascii="Arial" w:hAnsi="Arial" w:cs="Arial"/>
          <w:szCs w:val="24"/>
          <w:lang w:val="nb-NO"/>
        </w:rPr>
        <w:t>, 2020)</w:t>
      </w:r>
      <w:r>
        <w:rPr>
          <w:rFonts w:ascii="Arial" w:hAnsi="Arial" w:cs="Arial"/>
        </w:rPr>
        <w:fldChar w:fldCharType="end"/>
      </w:r>
      <w:r w:rsidRPr="00A7553B">
        <w:rPr>
          <w:rFonts w:ascii="Arial" w:hAnsi="Arial" w:cs="Arial"/>
          <w:lang w:val="nb-NO"/>
        </w:rPr>
        <w:t xml:space="preserve"> (Cell Sciences, Canton, MA, USA), and 3F4 to PrP epitope 106-110</w:t>
      </w:r>
      <w:r w:rsidR="003A22B2" w:rsidRPr="00A7553B">
        <w:rPr>
          <w:rFonts w:ascii="Arial" w:hAnsi="Arial" w:cs="Arial"/>
          <w:lang w:val="nb-NO"/>
        </w:rPr>
        <w:t xml:space="preserve"> </w:t>
      </w:r>
      <w:r>
        <w:rPr>
          <w:rFonts w:ascii="Arial" w:hAnsi="Arial" w:cs="Arial"/>
        </w:rPr>
        <w:fldChar w:fldCharType="begin"/>
      </w:r>
      <w:r w:rsidR="003A22B2" w:rsidRPr="00A7553B">
        <w:rPr>
          <w:rFonts w:ascii="Arial" w:hAnsi="Arial" w:cs="Arial"/>
          <w:lang w:val="nb-NO"/>
        </w:rPr>
        <w:instrText xml:space="preserve"> ADDIN ZOTERO_ITEM CSL_CITATION {"citationID":"o7E1aXKi","properties":{"formattedCitation":"(Kascsak {\\i{}et al.}, 1987; Zou {\\i{}et al.}, 2010)","plainCitation":"(Kascsak et al., 1987; Zou et al., 2010)","noteIndex":0},"citationItems":[{"id":88,"uris":["http://zotero.org/users/local/bLShVtLF/items/I7GNVII7"],"uri":["http://zotero.org/users/local/bLShVtLF/items/I7GNVII7"],"itemData":{"id":88,"type":"article-journal","abstract":"Antibody response in mice to scrapie-associated fibril proteins (protease-resistant proteins [PrPs]) was generated to different epitopes depending on the source of antigen. Mice responded differently to PrPs isolated from scrapie-infected animals of homologous (mouse) versus heterologous (hamster) species. An enzyme-linked immunosorbent assay established to monitor this antibody response in mice immunized with PrPs was unable to detect such a response in scrapie-infected mice. A monoclonal antibody (MAb), 263K 3F4, derived from a mouse immunized with hamster 263K PrPs reacted with hamster but not mouse PrPs. MAb 263K 3F4 also recognized normal host protein of 33 to 35 kilodaltons in brain tissue from hamsters and humans but not from bovine, mouse, rat, sheep, or rabbit brains. This is the first demonstration of epitope differences on this host protein in different species. The defining of various epitopes on PrP through the use of MAbs will lead to a better underst</w:instrText>
      </w:r>
      <w:r w:rsidR="003A22B2">
        <w:rPr>
          <w:rFonts w:ascii="Arial" w:hAnsi="Arial" w:cs="Arial"/>
        </w:rPr>
        <w:instrText xml:space="preserve">anding of the relationship of PrPs to their host precursor protein and to the infectious scrapie agent.","container-title":"Journal of Virology","ISSN":"0022-538X","issue":"12","journalAbbreviation":"J. Virol.","language":"eng","note":"PMID: 2446004\nPMCID: PMC255980","page":"3688-3693","source":"PubMed","title":"Mouse polyclonal and monoclonal antibody to scrapie-associated fibril proteins","volume":"61","author":[{"family":"Kascsak","given":"R. J."},{"family":"Rubenstein","given":"R."},{"family":"Merz","given":"P. A."},{"family":"Tonna-DeMasi","given":"M."},{"family":"Fersko","given":"R."},{"family":"Carp","given":"R. I."},{"family":"Wisniewski","given":"H. M."},{"family":"Diringer","given":"H."}],"issued":{"date-parts":[["1987",12]]}}},{"id":90,"uris":["http://zotero.org/users/local/bLShVtLF/items/DPVIWNIA"],"uri":["http://zotero.org/users/local/bLShVtLF/items/DPVIWNIA"],"itemData":{"id":90,"type":"article-journal","abstract":"The epitope of the 3F4 antibody most commonly used in human prion disease diagnosis is believed to consist of residues Met-Lys-His-Met (MKHM) corresponding to human PrP-(109-112). This assumption is based mainly on the observation that 3F4 reacts with human and hamster PrP but not with PrP from mouse, sheep, and cervids, in which Met at residue 112 is replaced by Val. Here we report that, by brain histoblotting, 3F4 did not react with PrP of uninfected transgenic mice expressing elk PrP; however, it did show distinct immunoreactivity in transgenic mice infected with chronic wasting disease. Compared with human PrP, the 3F4 reactivity with the recombinant elk PrP was 2 orders of magnitude weaker, as indicated by both Western blotting and surface plasmon resonance. To investigate the molecular basis of these species- and conformer-dependent preferences of 3F4, the epitope was probed by peptide membrane array and antigen competition experiments. Remarkably, the 3F4 antibody did not react with MKHM but reacted strongly with KTNMK (corresponding to human PrP-(106-110)), a sequence that is also present in cervids, sheep, and cattle. 3F4 also reacted with elk PrP peptides containing KTNMKHV. We concluded that the minimal sequence for the 3F4 epitope consists of residues KTNMK, and the species- and conformer-dependent preferences of 3F4 arise largely from the interactions between Met(112) (human PrP) or Val(115) (cervid PrP) and adjacent residues.","container-title":"The Journal of Biological Chemistry","DOI":"10.1074/jbc.M109.088831","ISSN":"1083-351X","issue":"18","journalAbbreviation":"J. Biol. Chem.","language":"eng","note":"PMID: 20194495\nPMCID: PMC2859550","page":"13874-13884","source":"PubMed","title":"PrP conformational transitions alter species preference of a PrP-specific antibody","volume":"285","author":[{"family":"Zou","given":"Wen-Quan"},{"family":"Langeveld","given":"Jan"},{"family":"Xiao","given":"Xiangzhu"},{"family":"Chen","given":"Shugui"},{"family":"McGeer","given":"Patrick L."},{"family":"Yuan","given":"Jue"},{"family":"Payne","given":"Michael C."},{"family":"Kang","given":"Hae-Eun"},{"family":"McGeehan","given":"John"},{"family":"Sy","given":"Man-Sun"},{"family":"Greenspan","given":"Neil S."},{"family":"Kaplan","given":"David"},{"family":"Wang","given":"Gong-Xian"},{"family":"Parchi","given":"Piero"},{"family":"Hoover","given":"Edward"},{"family":"Kneale","given":"Geoff"},{"family":"Telling","given":"Glenn"},{"family":"Surewicz","given":"Witold K."},{"family":"Kong","given":"Qingzhong"},{"family":"Guo","given":"Jian-Ping"}],"issued":{"date-parts":[["2010",4,30]]}}}],"schema":"https://github.com/citation-style-language/schema/raw/master/csl-citation.json"}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(Kascsak </w:t>
      </w:r>
      <w:r w:rsidR="003A22B2" w:rsidRPr="003A22B2">
        <w:rPr>
          <w:rFonts w:ascii="Arial" w:hAnsi="Arial" w:cs="Arial"/>
          <w:i/>
          <w:iCs/>
          <w:szCs w:val="24"/>
        </w:rPr>
        <w:t>et al.</w:t>
      </w:r>
      <w:r w:rsidR="003A22B2" w:rsidRPr="003A22B2">
        <w:rPr>
          <w:rFonts w:ascii="Arial" w:hAnsi="Arial" w:cs="Arial"/>
          <w:szCs w:val="24"/>
        </w:rPr>
        <w:t xml:space="preserve">, 1987; Zou </w:t>
      </w:r>
      <w:r w:rsidR="003A22B2" w:rsidRPr="003A22B2">
        <w:rPr>
          <w:rFonts w:ascii="Arial" w:hAnsi="Arial" w:cs="Arial"/>
          <w:i/>
          <w:iCs/>
          <w:szCs w:val="24"/>
        </w:rPr>
        <w:t>et al.</w:t>
      </w:r>
      <w:r w:rsidR="003A22B2" w:rsidRPr="003A22B2">
        <w:rPr>
          <w:rFonts w:ascii="Arial" w:hAnsi="Arial" w:cs="Arial"/>
          <w:szCs w:val="24"/>
        </w:rPr>
        <w:t>, 2010)</w:t>
      </w:r>
      <w:r>
        <w:rPr>
          <w:rFonts w:ascii="Arial" w:hAnsi="Arial" w:cs="Arial"/>
        </w:rPr>
        <w:fldChar w:fldCharType="end"/>
      </w:r>
      <w:r>
        <w:rPr>
          <w:rFonts w:ascii="Arial" w:hAnsi="Arial" w:cs="Arial"/>
        </w:rPr>
        <w:t xml:space="preserve">. The anti-PrP </w:t>
      </w:r>
      <w:r w:rsidRPr="001E3143">
        <w:rPr>
          <w:rFonts w:ascii="Arial" w:hAnsi="Arial" w:cs="Arial"/>
        </w:rPr>
        <w:t>polyclonal Ab included</w:t>
      </w:r>
      <w:r>
        <w:rPr>
          <w:rFonts w:ascii="Arial" w:hAnsi="Arial" w:cs="Arial"/>
        </w:rPr>
        <w:t xml:space="preserve"> the</w:t>
      </w:r>
      <w:r w:rsidRPr="001E3143">
        <w:rPr>
          <w:rFonts w:ascii="Arial" w:hAnsi="Arial" w:cs="Arial"/>
        </w:rPr>
        <w:t xml:space="preserve"> rabbit antiserum 2301 to PrP residues 220-231</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{"citationID":"UTCHbRVp","properties":{"formattedCitation":"(Chen {\\i{}et al.}, 1995)","plainCitation":"(Chen et al., 1995)","noteIndex":0},"citationItems":[{"id":984,"uris":["http://zotero.org/users/local/bLShVtLF/items/M48A84RX"],"uri":["http://zotero.org/users/local/bLShVtLF/items/M48A84RX"],"itemData":{"id":984,"type":"article-journal","abstract":"The cellular form of the prion protein (PrPc) is a glycoprotein anchored to the cell membrane by a glycosylphosphatidylinositol moiety. An aberrant form of PrPc that is partially resistant to proteases, PrPres, is a hallmark of prion diseases, which in humans include Cruetzfeldt-Jakob disease (CJD), Gerstmann-Sträussler-Scheinker syndrome, and fatal familial insomnia. We have characterized the major forms of PrP in normal and pathological human brains. A COOH-terminal fragment of PrPc, designated C1, is abundant in normal and CJD brains as well as in human neuroblastoma cells. Sequence analysis revealed that C1 contains alternative NH2 termini starting at His-111 or Met-112. Like PrPc, C1 is glycosylated, anchored to the cell membrane, and is heat-stable. Consistent with the lack of the NH2-terminal region of PrPc, C1 is more acidic than PrPc and does not bind heparin. An additional fragment longer than C1, designated C2, is present in substantial amounts in CJD brains. Like PrPres, C2 is resistant to proteases and is detergent-insoluble. Our data indicate that C1 is a major product of normal PrPc metabolism, generated by a cleavage that disrupts the neurotoxic and amyloidogenic region of PrP comprising residues 106-126. This region remains intact in C2, suggesting a role for C2 in prion diseases.","container-title":"The Journal of Biological Chemistry","DOI":"10.1074/jbc.270.32.19173","ISSN":"0021-9258","issue":"32","journalAbbreviation":"J. Biol. Chem.","language":"eng","note":"PMID: 7642585","page":"19173-19180","source":"PubMed","title":"Truncated forms of the human prion protein in normal brain and in prion diseases","volume":"270","author":[{"family":"Chen","given":"S. G."},{"family":"Teplow","given":"D. B."},{"family":"Parchi","given":"P."},{"family":"Teller","given":"J. K."},{"family":"Gambetti","given":"P."},{"family":"Autilio-Gambetti","given":"L."}],"issued":{"date-parts":[["1995",8,11]]}}}],"schema":"https://github.com/citation-style-language/schema/raw/master/csl-citation.json"}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(Chen </w:t>
      </w:r>
      <w:r w:rsidR="003A22B2" w:rsidRPr="003A22B2">
        <w:rPr>
          <w:rFonts w:ascii="Arial" w:hAnsi="Arial" w:cs="Arial"/>
          <w:i/>
          <w:iCs/>
          <w:szCs w:val="24"/>
        </w:rPr>
        <w:t>et al.</w:t>
      </w:r>
      <w:r w:rsidR="003A22B2" w:rsidRPr="003A22B2">
        <w:rPr>
          <w:rFonts w:ascii="Arial" w:hAnsi="Arial" w:cs="Arial"/>
          <w:szCs w:val="24"/>
        </w:rPr>
        <w:t>, 1995)</w:t>
      </w:r>
      <w:r>
        <w:rPr>
          <w:rFonts w:ascii="Arial" w:hAnsi="Arial" w:cs="Arial"/>
        </w:rPr>
        <w:fldChar w:fldCharType="end"/>
      </w:r>
      <w:r>
        <w:rPr>
          <w:rFonts w:ascii="Arial" w:hAnsi="Arial" w:cs="Arial"/>
        </w:rPr>
        <w:t>.</w:t>
      </w:r>
    </w:p>
    <w:p w14:paraId="52905A01" w14:textId="77777777" w:rsidR="009379B3" w:rsidRPr="00104B19" w:rsidRDefault="009379B3" w:rsidP="009379B3">
      <w:pPr>
        <w:spacing w:after="0" w:line="480" w:lineRule="auto"/>
        <w:ind w:left="-270" w:right="720"/>
        <w:rPr>
          <w:rFonts w:ascii="Arial" w:hAnsi="Arial" w:cs="Arial"/>
          <w:b/>
        </w:rPr>
      </w:pPr>
      <w:r w:rsidRPr="00104B19">
        <w:rPr>
          <w:rFonts w:ascii="Arial" w:hAnsi="Arial" w:cs="Arial"/>
          <w:b/>
        </w:rPr>
        <w:t>Brain tissue</w:t>
      </w:r>
    </w:p>
    <w:p w14:paraId="06D9BA4C" w14:textId="77777777" w:rsidR="009379B3" w:rsidRPr="00F41F62" w:rsidRDefault="009379B3" w:rsidP="009379B3">
      <w:pPr>
        <w:spacing w:line="480" w:lineRule="auto"/>
        <w:ind w:left="-270" w:right="720" w:firstLine="360"/>
        <w:rPr>
          <w:rFonts w:ascii="Arial" w:hAnsi="Arial" w:cs="Arial"/>
        </w:rPr>
      </w:pPr>
      <w:r>
        <w:rPr>
          <w:rFonts w:ascii="Arial" w:hAnsi="Arial" w:cs="Arial"/>
        </w:rPr>
        <w:t xml:space="preserve">Brain autopsy of the propositus </w:t>
      </w:r>
      <w:r w:rsidRPr="00F41F62">
        <w:rPr>
          <w:rFonts w:ascii="Arial" w:hAnsi="Arial" w:cs="Arial"/>
        </w:rPr>
        <w:t xml:space="preserve">was performed at the </w:t>
      </w:r>
      <w:r w:rsidRPr="00A94A0A">
        <w:rPr>
          <w:rFonts w:ascii="Arial" w:hAnsi="Arial" w:cs="Arial"/>
        </w:rPr>
        <w:t>Prion Disease Diagnosis and Su</w:t>
      </w:r>
      <w:r>
        <w:rPr>
          <w:rFonts w:ascii="Arial" w:hAnsi="Arial" w:cs="Arial"/>
        </w:rPr>
        <w:t>rveillance Center (PDDSC) in the</w:t>
      </w:r>
      <w:r w:rsidRPr="00A94A0A">
        <w:rPr>
          <w:rFonts w:ascii="Arial" w:hAnsi="Arial" w:cs="Arial"/>
        </w:rPr>
        <w:t xml:space="preserve"> Department of Advanced Medical and Surgical Sciences</w:t>
      </w:r>
      <w:r>
        <w:rPr>
          <w:rFonts w:ascii="Arial" w:hAnsi="Arial" w:cs="Arial"/>
        </w:rPr>
        <w:t>,</w:t>
      </w:r>
      <w:r w:rsidRPr="00A94A0A">
        <w:rPr>
          <w:rFonts w:ascii="Arial" w:hAnsi="Arial" w:cs="Arial"/>
        </w:rPr>
        <w:t xml:space="preserve"> University of Campania “Lu</w:t>
      </w:r>
      <w:r>
        <w:rPr>
          <w:rFonts w:ascii="Arial" w:hAnsi="Arial" w:cs="Arial"/>
        </w:rPr>
        <w:t xml:space="preserve">igi Vanvitelli” </w:t>
      </w:r>
      <w:r w:rsidRPr="0033428D">
        <w:rPr>
          <w:rFonts w:ascii="Arial" w:hAnsi="Arial" w:cs="Arial"/>
        </w:rPr>
        <w:t>(Caserta, Italy)</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{"citationID":"RcPyhWcw","properties":{"formattedCitation":"(Mauro {\\i{}et al.}, 2008)","plainCitation":"(Mauro et al., 2008)","noteIndex":0},"citationItems":[{"id":982,"uris":["http://zotero.org/users/local/bLShVtLF/items/UH4N27QQ"],"uri":["http://zotero.org/users/local/bLShVtLF/items/UH4N27QQ"],"itemData":{"id":982,"type":"article-journal","abstract":"A young man, presenting with early onset of personality and behavioural changes followed by slowly progressive cognitive impairment associated with marked bi-parietal cerebral atrophy, was found to carry a novel seven extra-repeat insertional mutation in the prion protein gene (PRNP). In vitro, the mutated recombinant prion protein (PrP) showed biochemical properties that were consistent with pathological PrP variants. Our results further underline the heterogeneity of neurological pictures associated with insertional mutations of PRNP, indicating the diagnostic difficulties of sporadic cases with early-onset atypical dementia.","container-title":"Journal of Neurology, Neurosurgery, and Psychiatry","DOI":"10.1136/jnnp.2007.142976","ISSN":"1468-330X","issue":"12","journalAbbreviation":"J. Neurol. Neurosurg. Psychiatry","language":"eng","note":"PMID: 19010951","page":"1395-1398","source":"PubMed","title":"A novel insertional mutation in the prion protein gene: clinical and bio-molecular findings","title-short":"A novel insertional mutation in the prion protein gene","volume":"79","author":[{"family":"Mauro","given":"C."},{"family":"Giaccone","given":"G."},{"family":"Piscosquito","given":"G."},{"family":"Lavorgna","given":"A."},{"family":"Nigro","given":"M."},{"family":"Di Fede","given":"G."},{"family":"Leonardi","given":"A."},{"family":"Coppola","given":"C."},{"family":"Formisano","given":"S."},{"family":"Tagliavini","given":"F."},{"family":"Cotrufo","given":"R."},{"family":"Puoti","given":"G."}],"issued":{"date-parts":[["2008",12]]}}}],"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(Mauro </w:t>
      </w:r>
      <w:r w:rsidR="003A22B2" w:rsidRPr="003A22B2">
        <w:rPr>
          <w:rFonts w:ascii="Arial" w:hAnsi="Arial" w:cs="Arial"/>
          <w:i/>
          <w:iCs/>
          <w:szCs w:val="24"/>
        </w:rPr>
        <w:t>et al.</w:t>
      </w:r>
      <w:r w:rsidR="003A22B2" w:rsidRPr="003A22B2">
        <w:rPr>
          <w:rFonts w:ascii="Arial" w:hAnsi="Arial" w:cs="Arial"/>
          <w:szCs w:val="24"/>
        </w:rPr>
        <w:t>, 2008)</w:t>
      </w:r>
      <w:r>
        <w:rPr>
          <w:rFonts w:ascii="Arial" w:hAnsi="Arial" w:cs="Arial"/>
        </w:rPr>
        <w:fldChar w:fldCharType="end"/>
      </w:r>
      <w:r w:rsidRPr="00F41F62">
        <w:rPr>
          <w:rFonts w:ascii="Arial" w:hAnsi="Arial" w:cs="Arial"/>
        </w:rPr>
        <w:t xml:space="preserve">, while the </w:t>
      </w:r>
      <w:r>
        <w:rPr>
          <w:rFonts w:ascii="Arial" w:hAnsi="Arial" w:cs="Arial"/>
        </w:rPr>
        <w:t>molecular and pathological studies</w:t>
      </w:r>
      <w:r w:rsidRPr="00F41F62">
        <w:rPr>
          <w:rFonts w:ascii="Arial" w:hAnsi="Arial" w:cs="Arial"/>
        </w:rPr>
        <w:t xml:space="preserve"> were carried out at </w:t>
      </w:r>
      <w:r>
        <w:rPr>
          <w:rFonts w:ascii="Arial" w:hAnsi="Arial" w:cs="Arial"/>
        </w:rPr>
        <w:t xml:space="preserve">the National Prion Disease Pathology Surveillance Center (NPDPSC) at </w:t>
      </w:r>
      <w:r w:rsidRPr="00F41F62">
        <w:rPr>
          <w:rFonts w:ascii="Arial" w:hAnsi="Arial" w:cs="Arial"/>
        </w:rPr>
        <w:t>Case Western</w:t>
      </w:r>
      <w:r>
        <w:rPr>
          <w:rFonts w:ascii="Arial" w:hAnsi="Arial" w:cs="Arial"/>
        </w:rPr>
        <w:t xml:space="preserve"> Reserve University (Cleveland, USA)</w:t>
      </w:r>
      <w:r w:rsidRPr="00F41F62">
        <w:rPr>
          <w:rFonts w:ascii="Arial" w:hAnsi="Arial" w:cs="Arial"/>
        </w:rPr>
        <w:t>. Control cases included one sCJDMM1 and one sCJDVV2</w:t>
      </w:r>
      <w:r>
        <w:rPr>
          <w:rFonts w:ascii="Arial" w:hAnsi="Arial" w:cs="Arial"/>
        </w:rPr>
        <w:t xml:space="preserve"> – two common subtypes of sCJD</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{"citationID":"2xDcI9cC","properties":{"formattedCitation":"(Parchi {\\i{}et al.}, 1996, 1999)","plainCitation":"(Parchi et al., 1996, 1999)","noteIndex":0},"citationItems":[{"id":106,"uris":["http://zotero.org/users/local/bLShVtLF/items/3H2B8SI5"],"uri":["http://zotero.org/users/local/bLShVtLF/items/3H2B8SI5"],"itemData":{"id":106,"type":"article-journal","abstract":"Phenotypic heterogeneity in sporadic Creutzfeldt-Jakob disease (sCJD) is well documented, but there is not yet a systematic classification of the disease variants. In a previous study, we showed that the polymorphic codon 129 of the prion protein gene (PRNP), and two types of protease-resistant prion protein (PrP(Sc)) with distinct physicochemical properties, are major determinants of these variants. To define the full spectrum of variants, we have examined a series of 300 sCJD patients. Clinical features, PRNP genotype, and PrP(Sc) properties were determined in all subjects. In 187, we also studied neuropathological features and immunohistochemical pattern of PrP(Sc) deposition. Seventy percent of subjects showed the classic CJD phenotype, PrP(Sc) type 1, and at least one methionine allele at codon 129; 25% of cases displayed the ataxic and kuru-plaque variants, associated to PrP(Sc) type 2, and valine homozygosity or heterozygosity at codon 129, respectively. Two additional variants, which included a thalamic form of CJD and a phenotype characterized by prominent dementia and cortical pathology, were linked to PrP(Sc) type 2 and methionine homozygosity. Finally, a rare phenotype characterized by progressive dementia was linked to PrP(Sc) type 1 and valine homozygosity. The present data demonstrate the existence of six phenotypic variants of sCJD. The physicochemical properties of PrP(Sc) in conjunction with the PRNP codon 129 genotype largely determine this phenotypic variability, and allow a molecular classification of the disease variants.","container-title":"Annals of Neurology","ISSN":"0364-5134","issue":"2","journalAbbreviation":"Ann. Neurol.","language":"eng","note":"PMID: 10443888","page":"224-233","source":"PubMed","title":"Classification of sporadic Creutzfeldt-Jakob disease based on molecular and phenotypic analysis of 300 subjects","volume":"46","author":[{"family":"Parchi","given":"P."},{"family":"Giese","given":"A."},{"family":"Capellari","given":"S."},{"family":"Brown","given":"P."},{"family":"Schulz-Schaeffer","given":"W."},{"family":"Windl","given":"O."},{"family":"Zerr","given":"I."},{"family":"Budka","given":"H."},{"family":"Kopp","given":"N."},{"family":"Piccardo","given":"P."},{"family":"Poser","given":"S."},{"family":"Rojiani","given":"A."},{"family":"Streichemberger","given":"N."},{"family":"Julien","given":"J."},{"family":"Vital","given":"C."},{"family":"Ghetti","given":"B."},{"family":"Gambetti","given":"P."},{"family":"Kretzschmar","given":"H."}],"issued":{"date-parts":[["1999",8]]}}},{"id":392,"uris":["http://zotero.org/users/local/bLShVtLF/items/TZTMBFKM"],"uri":["http://zotero.org/users/local/bLShVtLF/items/TZTMBFKM"],"itemData":{"id":392,"type":"article-journal","abstract":"We sequenced the prion protein gene and studied the biochemical characteristics and the intracerebral distribution of protease-resistant prion protein with Western blot and immunohistochemistry in 19 cases of sporadic Creutzfeldt-Jakob disease. We identified four groups of subjects defined by the genotype at codon 129 of the prion protein gene, the site of a common methionine/valine polymorphism, and two types of protease-resistant prion proteins that differed in size and glycosylation. The four Creutzfeldt-Jakob disease groups showed distinct clinicopathological features that corresponded to previously described variants. The typical Creutzfeldt-Jakob disease phenotype or myoclonic variant and the Heidenhain variant were linked to methionine homozygosity at codon 129 and to \"type 1\" protease-resistant prion protein. The atypical and rarer variants such as that with dementia of long duration, the ataxic variant, and the variant with kuru plaques were linked to different genotypes at codon 129 and shared the \"type 2\" protease-resistant prion protein. Our data indicate that the sporadic form of Creutzfeldt-Jakob disease comprises a limited number of variants. The methionine/valine polymorphism at codon 129 of the prion protein gene and two types of protease-resistant prion proteins are the major determinants of these variants. These findings suggest the existence of prion strains in humans and provide the molecular basis for a novel classification of sporadic Creutzfeldt-Jakob disease.","container-title":"Annals of Neurology","DOI":"10.1002/ana.410390613","ISSN":"0364-5134","issue":"6","journalAbbreviation":"Ann. Neurol.","language":"eng","note":"PMID: 8651649","page":"767-778","source":"PubMed","title":"Molecular basis of phenotypic variability in sporadic Creutzfeldt-Jakob disease","volume":"39","author":[{"family":"Parchi","given":"P."},{"family":"Castellani","given":"R."},{"family":"Capellari","given":"S."},{"family":"Ghetti","given":"B."},{"family":"Young","given":"K."},{"family":"Chen","given":"S. G."},{"family":"Farlow","given":"M."},{"family":"Dickson","given":"D. W."},{"family":"Sima","given":"A. A."},{"family":"Trojanowski","given":"J. Q."},{"family":"Petersen","given":"R. B."},{"family":"Gambetti","given":"P."}],"issued":{"date-parts":[["1996",6]]}}}],"schema":"https://github.com/citation-style-language/schema/raw/master/csl-citation.json"}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(Parchi </w:t>
      </w:r>
      <w:r w:rsidR="003A22B2" w:rsidRPr="003A22B2">
        <w:rPr>
          <w:rFonts w:ascii="Arial" w:hAnsi="Arial" w:cs="Arial"/>
          <w:i/>
          <w:iCs/>
          <w:szCs w:val="24"/>
        </w:rPr>
        <w:t>et al.</w:t>
      </w:r>
      <w:r w:rsidR="003A22B2" w:rsidRPr="003A22B2">
        <w:rPr>
          <w:rFonts w:ascii="Arial" w:hAnsi="Arial" w:cs="Arial"/>
          <w:szCs w:val="24"/>
        </w:rPr>
        <w:t>, 1996, 1999)</w:t>
      </w:r>
      <w:r>
        <w:rPr>
          <w:rFonts w:ascii="Arial" w:hAnsi="Arial" w:cs="Arial"/>
        </w:rPr>
        <w:fldChar w:fldCharType="end"/>
      </w:r>
      <w:r>
        <w:rPr>
          <w:rFonts w:ascii="Arial" w:hAnsi="Arial" w:cs="Arial"/>
        </w:rPr>
        <w:t xml:space="preserve"> –</w:t>
      </w:r>
      <w:r w:rsidRPr="00F41F62">
        <w:rPr>
          <w:rFonts w:ascii="Arial" w:hAnsi="Arial" w:cs="Arial"/>
        </w:rPr>
        <w:t xml:space="preserve"> obtained from the</w:t>
      </w:r>
      <w:r>
        <w:rPr>
          <w:rFonts w:ascii="Arial" w:hAnsi="Arial" w:cs="Arial"/>
        </w:rPr>
        <w:t xml:space="preserve"> NPDPSC’s Brain Bank</w:t>
      </w:r>
      <w:r w:rsidRPr="00F41F62">
        <w:rPr>
          <w:rFonts w:ascii="Arial" w:hAnsi="Arial" w:cs="Arial"/>
        </w:rPr>
        <w:t xml:space="preserve">. At autopsy, half brain was stored at -80 °C whereas the other half was fixed either in </w:t>
      </w:r>
      <w:proofErr w:type="spellStart"/>
      <w:r w:rsidRPr="00F41F62">
        <w:rPr>
          <w:rFonts w:ascii="Arial" w:hAnsi="Arial" w:cs="Arial"/>
        </w:rPr>
        <w:t>Carnoy's</w:t>
      </w:r>
      <w:proofErr w:type="spellEnd"/>
      <w:r w:rsidRPr="00F41F62">
        <w:rPr>
          <w:rFonts w:ascii="Arial" w:hAnsi="Arial" w:cs="Arial"/>
        </w:rPr>
        <w:t xml:space="preserve"> fixing solution (</w:t>
      </w:r>
      <w:proofErr w:type="spellStart"/>
      <w:r>
        <w:rPr>
          <w:rFonts w:ascii="Arial" w:hAnsi="Arial" w:cs="Arial"/>
        </w:rPr>
        <w:t>gPrD</w:t>
      </w:r>
      <w:r>
        <w:rPr>
          <w:rFonts w:ascii="Arial" w:hAnsi="Arial" w:cs="Arial"/>
          <w:vertAlign w:val="superscript"/>
        </w:rPr>
        <w:t>Ins</w:t>
      </w:r>
      <w:proofErr w:type="spellEnd"/>
      <w:r w:rsidRPr="00F41F62">
        <w:rPr>
          <w:rFonts w:ascii="Arial" w:hAnsi="Arial" w:cs="Arial"/>
        </w:rPr>
        <w:t>) or in formalin (</w:t>
      </w:r>
      <w:r>
        <w:rPr>
          <w:rFonts w:ascii="Arial" w:hAnsi="Arial" w:cs="Arial"/>
        </w:rPr>
        <w:t>sCJD controls</w:t>
      </w:r>
      <w:r w:rsidRPr="00F41F62">
        <w:rPr>
          <w:rFonts w:ascii="Arial" w:hAnsi="Arial" w:cs="Arial"/>
        </w:rPr>
        <w:t>) as previously described</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{"citationID":"R5P6VcJh","properties":{"formattedCitation":"(Giaccone {\\i{}et al.}, 2000; Cali {\\i{}et al.}, 2020)","plainCitation":"(Giaccone et al., 2000; Cali et al., 2020)","noteIndex":0},"citationItems":[{"id":917,"uris":["http://zotero.org/users/local/bLShVtLF/items/XLLUS7A2"],"uri":["http://zotero.org/users/local/bLShVtLF/items/XLLUS7A2"],"itemData":{"id":917,"type":"article-journal","abstract":"We report a detailed study of a cohort of sporadic Creutzfeldt-Jakob disease (sCJD) VV1-2 type-mixed cases (valine homozygosity at codon 129 of the prion protein, PrP, gene harboring disease-related PrP, PrPD, types 1 and 2). Overall, sCJDVV1-2 subjects showed mixed clinical and histopathological features, which often correlated with the relative amounts of the corresponding PrPD type. However, type-specific phenotypic characteristics were only detected when the amount of the corresponding PrPD type exceeded 20-25%. Overall, original features of types 1 (T1) and 2 (T2) in sCJDVV1 and -VV2, including rostrocaudal relative distribution and conformational indicators, were maintained in sCJDVV1-2 except for one of the two components of T1 identified by electrophoretic mobility as T121. The T121 conformational characteristics shifted in the presence of T2, inferring a conformational effect of PrPD T2 on T121. The prevalence of sCJDVV1-2 was 23% or 57% of all sCJDVV cases, depending on whether standard or highly sensitive type-detecting procedures were adopted. This study, together with previous data from sCJDMM1-2 (methionine homozygosity at PrP gene codon 129) establishes the type-mixed sCJD variants as an important component of sCJD, which cannot be identified with current non-tissue based diagnostic tests of prion disease.","container-title":"Scientific Reports","DOI":"10.1038/s41598-020-58446-0","ISSN":"2045-2322","issue":"1","journalAbbreviation":"Sci Rep","language":"eng","note":"PMID: 32001774\nPMCID: PMC6992672","page":"1503","source":"PubMed","title":"Co-existence of PrPD types 1 and 2 in sporadic Creutzfeldt-Jakob disease of the VV subgroup: phenotypic and prion protein characteristics","title-short":"Co-existence of PrPD types 1 and 2 in sporadic Creutzfeldt-Jakob disease of the VV subgroup","volume":"10","author":[{"family":"Cali","given":"Ignazio"},{"family":"Puoti","given":"Gianfranco"},{"family":"Smucny","given":"Jason"},{"family":"Curtiss","given":"Paul Michael"},{"family":"Cracco","given":"Laura"},{"family":"Kitamoto","given":"Tetsuyuki"},{"family":"Occhipinti","given":"Rossana"},{"family":"Cohen","given":"Mark Lloyd"},{"family":"Appleby","given":"Brian Stephen"},{"family":"Gambetti","given":"Pierluigi"}],"issued":{"date-parts":[["2020",1,30]]}}},{"id":988,"uris":["http://zotero.org/users/local/bLShVtLF/items/NLES3QJ5"],"uri":["http://zotero.org/users/local/bLShVtLF/items/NLES3QJ5"],"itemData":{"id":988,"type":"article-journal","abstract":"The neuropathological diagnosis of Creutzfeldt-Jakob disease relies on the immunohistochemical demonstration of the proteinase-K resistant form of the prion protein (PrPres) in the brain tissue. The antigenicity of PrPres is strongly reduced by the formalin solution widely used to fix the tissue, thus the PrPres immunoreactivity is inconsistently detectable in formalin-fixed tissue. A better PrPres immunostaining can be obtained by using Carnoy's fixing solution, which is composed of ethanol, chloroform and acetic acid (6:3:1). PrPres can easily be extracted from Carnoy's-fixed, paraplast-embedded tissue. Accordingly, Carnoy's-fixed tissue can prior to immunolabeling be subjected to proteinase K and guanidine thiocyanate, which respectively eliminate the normal cellular form of prion protein and promote protein denaturation. In comparison with the best protocols for formalin-fixed tissue (i.e.--hydrolytic autoclaving or autoclaving in distilled water followed by formic acid and guanidine thiocyanate), PrPres immunostaining carried out on sections cut from Carnoy's-fixed, paraplast-embedded tissue blocks and subjected to proteinase K and guanidine thiocyanate, proved more successful to detect and map both diffuse and focal PrPres immunoreactivity, and to correlate the immunoreactivity pattern with MV polymorphism at PRNP codon 129 and PrPres banding and glycosylation pattern revealed by Western blot.","container-title":"Brain Pathology (Zurich, Switzerland)","DOI":"10.1111/j.1750-3639.2000.tb00240.x","ISSN":"1015-6305","issue":"1","journalAbbreviation":"Brain Pathol.","language":"eng","note":"PMID: 10668893","page":"31-37","source":"PubMed","title":"Creutzfeldt-Jakob disease: Carnoy's fixative improves the immunohistochemistry of the proteinase K-resistant prion protein","title-short":"Creutzfeldt-Jakob disease","volume":"10","author":[{"family":"Giaccone","given":"G."},{"family":"Canciani","given":"B."},{"family":"Puoti","given":"G."},{"family":"Rossi","given":"G."},{"family":"Goffredo","given":"D."},{"family":"Iussich","given":"S."},{"family":"Fociani","given":"P."},{"family":"Tagliavini","given":"F."},{"family":"Bugiani","given":"O."}],"issued":{"date-parts":[["2000",1]]}}}],"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(Giaccone </w:t>
      </w:r>
      <w:r w:rsidR="003A22B2" w:rsidRPr="003A22B2">
        <w:rPr>
          <w:rFonts w:ascii="Arial" w:hAnsi="Arial" w:cs="Arial"/>
          <w:i/>
          <w:iCs/>
          <w:szCs w:val="24"/>
        </w:rPr>
        <w:t>et al.</w:t>
      </w:r>
      <w:r w:rsidR="003A22B2" w:rsidRPr="003A22B2">
        <w:rPr>
          <w:rFonts w:ascii="Arial" w:hAnsi="Arial" w:cs="Arial"/>
          <w:szCs w:val="24"/>
        </w:rPr>
        <w:t xml:space="preserve">, </w:t>
      </w:r>
      <w:r w:rsidR="003A22B2" w:rsidRPr="003A22B2">
        <w:rPr>
          <w:rFonts w:ascii="Arial" w:hAnsi="Arial" w:cs="Arial"/>
          <w:szCs w:val="24"/>
        </w:rPr>
        <w:lastRenderedPageBreak/>
        <w:t xml:space="preserve">2000; Cali </w:t>
      </w:r>
      <w:r w:rsidR="003A22B2" w:rsidRPr="003A22B2">
        <w:rPr>
          <w:rFonts w:ascii="Arial" w:hAnsi="Arial" w:cs="Arial"/>
          <w:i/>
          <w:iCs/>
          <w:szCs w:val="24"/>
        </w:rPr>
        <w:t>et al.</w:t>
      </w:r>
      <w:r w:rsidR="003A22B2" w:rsidRPr="003A22B2">
        <w:rPr>
          <w:rFonts w:ascii="Arial" w:hAnsi="Arial" w:cs="Arial"/>
          <w:szCs w:val="24"/>
        </w:rPr>
        <w:t>, 2020)</w:t>
      </w:r>
      <w:r>
        <w:rPr>
          <w:rFonts w:ascii="Arial" w:hAnsi="Arial" w:cs="Arial"/>
        </w:rPr>
        <w:fldChar w:fldCharType="end"/>
      </w:r>
      <w:r w:rsidRPr="00F41F62">
        <w:rPr>
          <w:rFonts w:ascii="Arial" w:hAnsi="Arial" w:cs="Arial"/>
        </w:rPr>
        <w:t>. Frozen brain tissue</w:t>
      </w:r>
      <w:r>
        <w:rPr>
          <w:rFonts w:ascii="Arial" w:hAnsi="Arial" w:cs="Arial"/>
        </w:rPr>
        <w:t xml:space="preserve"> examined</w:t>
      </w:r>
      <w:r w:rsidRPr="00F41F62">
        <w:rPr>
          <w:rFonts w:ascii="Arial" w:hAnsi="Arial" w:cs="Arial"/>
        </w:rPr>
        <w:t xml:space="preserve"> inc</w:t>
      </w:r>
      <w:r>
        <w:rPr>
          <w:rFonts w:ascii="Arial" w:hAnsi="Arial" w:cs="Arial"/>
        </w:rPr>
        <w:t xml:space="preserve">luded the frontal, parietal and </w:t>
      </w:r>
      <w:r w:rsidRPr="00F41F62">
        <w:rPr>
          <w:rFonts w:ascii="Arial" w:hAnsi="Arial" w:cs="Arial"/>
        </w:rPr>
        <w:t xml:space="preserve">occipital cortices and cerebellum in the </w:t>
      </w:r>
      <w:r>
        <w:rPr>
          <w:rFonts w:ascii="Arial" w:hAnsi="Arial" w:cs="Arial"/>
        </w:rPr>
        <w:t>gPrD</w:t>
      </w:r>
      <w:r>
        <w:rPr>
          <w:rFonts w:ascii="Arial" w:hAnsi="Arial" w:cs="Arial"/>
          <w:vertAlign w:val="superscript"/>
        </w:rPr>
        <w:t>Ins</w:t>
      </w:r>
      <w:r>
        <w:rPr>
          <w:rFonts w:ascii="Arial" w:hAnsi="Arial" w:cs="Arial"/>
        </w:rPr>
        <w:t xml:space="preserve">, and the </w:t>
      </w:r>
      <w:r w:rsidRPr="00F41F62">
        <w:rPr>
          <w:rFonts w:ascii="Arial" w:hAnsi="Arial" w:cs="Arial"/>
        </w:rPr>
        <w:t>frontal cortex in sCJD</w:t>
      </w:r>
      <w:r>
        <w:rPr>
          <w:rFonts w:ascii="Arial" w:hAnsi="Arial" w:cs="Arial"/>
        </w:rPr>
        <w:t xml:space="preserve"> controls</w:t>
      </w:r>
      <w:r w:rsidRPr="00F41F62">
        <w:rPr>
          <w:rFonts w:ascii="Arial" w:hAnsi="Arial" w:cs="Arial"/>
        </w:rPr>
        <w:t>.</w:t>
      </w:r>
    </w:p>
    <w:p w14:paraId="69CCB898" w14:textId="77777777" w:rsidR="009379B3" w:rsidRDefault="009379B3" w:rsidP="009379B3">
      <w:pPr>
        <w:spacing w:after="0" w:line="480" w:lineRule="auto"/>
        <w:ind w:left="-270" w:right="720"/>
        <w:rPr>
          <w:rFonts w:ascii="Arial" w:hAnsi="Arial" w:cs="Arial"/>
          <w:b/>
        </w:rPr>
      </w:pPr>
      <w:r w:rsidRPr="00104B19">
        <w:rPr>
          <w:rFonts w:ascii="Arial" w:hAnsi="Arial" w:cs="Arial"/>
          <w:b/>
        </w:rPr>
        <w:t>Phenotype characterization: histology and PrP immunohistochemistry</w:t>
      </w:r>
    </w:p>
    <w:p w14:paraId="6DD287E4" w14:textId="77777777" w:rsidR="009379B3" w:rsidRPr="00F41F62" w:rsidRDefault="009379B3" w:rsidP="009379B3">
      <w:pPr>
        <w:spacing w:line="480" w:lineRule="auto"/>
        <w:ind w:left="-270" w:right="720" w:firstLine="360"/>
        <w:rPr>
          <w:rFonts w:ascii="Arial" w:hAnsi="Arial" w:cs="Arial"/>
        </w:rPr>
      </w:pPr>
      <w:r w:rsidRPr="00275336">
        <w:rPr>
          <w:rFonts w:ascii="Arial" w:hAnsi="Arial" w:cs="Arial"/>
        </w:rPr>
        <w:t>Formalin-fixed brain tissue was treated</w:t>
      </w:r>
      <w:r>
        <w:rPr>
          <w:rFonts w:ascii="Arial" w:hAnsi="Arial" w:cs="Arial"/>
        </w:rPr>
        <w:t xml:space="preserve"> </w:t>
      </w:r>
      <w:r w:rsidRPr="00F41F62">
        <w:rPr>
          <w:rFonts w:ascii="Arial" w:hAnsi="Arial" w:cs="Arial"/>
        </w:rPr>
        <w:t>as previously described</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{"citationID":"H9QY3yKa","properties":{"formattedCitation":"(Cali {\\i{}et al.}, 2020)","plainCitation":"(Cali et al., 2020)","noteIndex":0},"citationItems":[{"id":917,"uris":["http://zotero.org/users/local/bLShVtLF/items/XLLUS7A2"],"uri":["http://zotero.org/users/local/bLShVtLF/items/XLLUS7A2"],"itemData":{"id":917,"type":"article-journal","abstract":"We report a detailed study of a cohort of sporadic Creutzfeldt-Jakob disease (sCJD) VV1-2 type-mixed cases (valine homozygosity at codon 129 of the prion protein, PrP, gene harboring disease-related PrP, PrPD, types 1 and 2). Overall, sCJDVV1-2 subjects showed mixed clinical and histopathological features, which often correlated with the relative amounts of the corresponding PrPD type. However, type-specific phenotypic characteristics were only detected when the amount of the corresponding PrPD type exceeded 20-25%. Overall, original features of types 1 (T1) and 2 (T2) in sCJDVV1 and -VV2, including rostrocaudal relative distribution and conformational indicators, were maintained in sCJDVV1-2 except for one of the two components of T1 identified by electrophoretic mobility as T121. The T121 conformational characteristics shifted in the presence of T2, inferring a conformational effect of PrPD T2 on T121. The prevalence of sCJDVV1-2 was 23% or 57% of all sCJDVV cases, depending on whether standard or highly sensitive type-detecting procedures were adopted. This study, together with previous data from sCJDMM1-2 (methionine homozygosity at PrP gene codon 129) establishes the type-mixed sCJD variants as an important component of sCJD, which cannot be identified with current non-tissue based diagnostic tests of prion disease.","container-title":"Scientific Reports","DOI":"10.1038/s41598-020-58446-0","ISSN":"2045-2322","issue":"1","journalAbbreviation":"Sci Rep","language":"eng","note":"PMID: 32001774\nPMCID: PMC6992672","page":"1503","source":"PubMed","title":"Co-existence of PrPD types 1 and 2 in sporadic Creutzfeldt-Jakob disease of the VV subgroup: phenotypic and prion protein characteristics","title-short":"Co-existence of PrPD types 1 and 2 in sporadic Creutzfeldt-Jakob disease of the VV subgroup","volume":"10","author":[{"family":"Cali","given":"Ignazio"},{"family":"Puoti","given":"Gianfranco"},{"family":"Smucny","given":"Jason"},{"family":"Curtiss","given":"Paul Michael"},{"family":"Cracco","given":"Laura"},{"family":"Kitamoto","given":"Tetsuyuki"},{"family":"Occhipinti","given":"Rossana"},{"family":"Cohen","given":"Mark Lloyd"},{"family":"Appleby","given":"Brian Stephen"},{"family":"Gambetti","given":"Pierluigi"}],"issued":{"date-parts":[["2020",1,30]]}}}],"schema":"https://github.com/citation-style-language/schema/raw/master/csl-citation.json"}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(Cali </w:t>
      </w:r>
      <w:r w:rsidR="003A22B2" w:rsidRPr="003A22B2">
        <w:rPr>
          <w:rFonts w:ascii="Arial" w:hAnsi="Arial" w:cs="Arial"/>
          <w:i/>
          <w:iCs/>
          <w:szCs w:val="24"/>
        </w:rPr>
        <w:t>et al.</w:t>
      </w:r>
      <w:r w:rsidR="003A22B2" w:rsidRPr="003A22B2">
        <w:rPr>
          <w:rFonts w:ascii="Arial" w:hAnsi="Arial" w:cs="Arial"/>
          <w:szCs w:val="24"/>
        </w:rPr>
        <w:t>, 2020)</w:t>
      </w:r>
      <w:r>
        <w:rPr>
          <w:rFonts w:ascii="Arial" w:hAnsi="Arial" w:cs="Arial"/>
        </w:rPr>
        <w:fldChar w:fldCharType="end"/>
      </w:r>
      <w:r w:rsidRPr="00F41F62">
        <w:rPr>
          <w:rFonts w:ascii="Arial" w:hAnsi="Arial" w:cs="Arial"/>
        </w:rPr>
        <w:t>. Sections from each brain region were deparaffinized, rehydrated, and immersed in 1X Tris buffered saline</w:t>
      </w:r>
      <w:r>
        <w:rPr>
          <w:rFonts w:ascii="Arial" w:hAnsi="Arial" w:cs="Arial"/>
        </w:rPr>
        <w:t xml:space="preserve"> containing Tween 20 (TBS-T)</w:t>
      </w:r>
      <w:r w:rsidRPr="00F41F62">
        <w:rPr>
          <w:rFonts w:ascii="Arial" w:hAnsi="Arial" w:cs="Arial"/>
        </w:rPr>
        <w:t>. Endogenous peroxidase was blocked by the Envision Flex Peroxidase Blocking Reagent (</w:t>
      </w:r>
      <w:proofErr w:type="spellStart"/>
      <w:r w:rsidRPr="00F41F62">
        <w:rPr>
          <w:rFonts w:ascii="Arial" w:hAnsi="Arial" w:cs="Arial"/>
        </w:rPr>
        <w:t>Dako</w:t>
      </w:r>
      <w:proofErr w:type="spellEnd"/>
      <w:r w:rsidRPr="00F41F62">
        <w:rPr>
          <w:rFonts w:ascii="Arial" w:hAnsi="Arial" w:cs="Arial"/>
        </w:rPr>
        <w:t xml:space="preserve"> North America Inc., Carpinteria, USA) for 10 minutes (min) and washed. Sections were immersed in 1.5 mmol/L hydrochloric acid, micr</w:t>
      </w:r>
      <w:r>
        <w:rPr>
          <w:rFonts w:ascii="Arial" w:hAnsi="Arial" w:cs="Arial"/>
        </w:rPr>
        <w:t xml:space="preserve">owaved for 15 </w:t>
      </w:r>
      <w:proofErr w:type="gramStart"/>
      <w:r>
        <w:rPr>
          <w:rFonts w:ascii="Arial" w:hAnsi="Arial" w:cs="Arial"/>
        </w:rPr>
        <w:t>min</w:t>
      </w:r>
      <w:proofErr w:type="gramEnd"/>
      <w:r>
        <w:rPr>
          <w:rFonts w:ascii="Arial" w:hAnsi="Arial" w:cs="Arial"/>
        </w:rPr>
        <w:t xml:space="preserve"> and probed </w:t>
      </w:r>
      <w:r w:rsidRPr="00F41F62">
        <w:rPr>
          <w:rFonts w:ascii="Arial" w:hAnsi="Arial" w:cs="Arial"/>
        </w:rPr>
        <w:t xml:space="preserve">with the </w:t>
      </w:r>
      <w:r>
        <w:rPr>
          <w:rFonts w:ascii="Arial" w:hAnsi="Arial" w:cs="Arial"/>
        </w:rPr>
        <w:t xml:space="preserve">Abs 3F4 (1:1,000) or </w:t>
      </w:r>
      <w:r w:rsidRPr="00BC5F98">
        <w:rPr>
          <w:rFonts w:ascii="Arial" w:hAnsi="Arial" w:cs="Arial"/>
        </w:rPr>
        <w:t xml:space="preserve">GFAP </w:t>
      </w:r>
      <w:r>
        <w:rPr>
          <w:rFonts w:ascii="Arial" w:hAnsi="Arial" w:cs="Arial"/>
        </w:rPr>
        <w:t>(</w:t>
      </w:r>
      <w:r w:rsidRPr="00BC5F98">
        <w:rPr>
          <w:rFonts w:ascii="Arial" w:hAnsi="Arial" w:cs="Arial"/>
        </w:rPr>
        <w:t>1:12</w:t>
      </w:r>
      <w:r>
        <w:rPr>
          <w:rFonts w:ascii="Arial" w:hAnsi="Arial" w:cs="Arial"/>
        </w:rPr>
        <w:t>,</w:t>
      </w:r>
      <w:r w:rsidRPr="00BC5F98">
        <w:rPr>
          <w:rFonts w:ascii="Arial" w:hAnsi="Arial" w:cs="Arial"/>
        </w:rPr>
        <w:t>000</w:t>
      </w:r>
      <w:r>
        <w:rPr>
          <w:rFonts w:ascii="Arial" w:hAnsi="Arial" w:cs="Arial"/>
        </w:rPr>
        <w:t>) for 1 hour (h). Following this procedure, sections were</w:t>
      </w:r>
      <w:r w:rsidRPr="00F41F62">
        <w:rPr>
          <w:rFonts w:ascii="Arial" w:hAnsi="Arial" w:cs="Arial"/>
        </w:rPr>
        <w:t xml:space="preserve"> washed</w:t>
      </w:r>
      <w:r>
        <w:rPr>
          <w:rFonts w:ascii="Arial" w:hAnsi="Arial" w:cs="Arial"/>
        </w:rPr>
        <w:t xml:space="preserve"> again</w:t>
      </w:r>
      <w:r w:rsidRPr="00F41F62">
        <w:rPr>
          <w:rFonts w:ascii="Arial" w:hAnsi="Arial" w:cs="Arial"/>
        </w:rPr>
        <w:t>, then incubated with Envision Flex/HRP polymer for 30 min (</w:t>
      </w:r>
      <w:proofErr w:type="spellStart"/>
      <w:r w:rsidRPr="00F41F62">
        <w:rPr>
          <w:rFonts w:ascii="Arial" w:hAnsi="Arial" w:cs="Arial"/>
        </w:rPr>
        <w:t>Dako</w:t>
      </w:r>
      <w:proofErr w:type="spellEnd"/>
      <w:r w:rsidRPr="00F41F62">
        <w:rPr>
          <w:rFonts w:ascii="Arial" w:hAnsi="Arial" w:cs="Arial"/>
        </w:rPr>
        <w:t>). Envision Flex DAB (</w:t>
      </w:r>
      <w:proofErr w:type="spellStart"/>
      <w:r w:rsidRPr="00F41F62">
        <w:rPr>
          <w:rFonts w:ascii="Arial" w:hAnsi="Arial" w:cs="Arial"/>
        </w:rPr>
        <w:t>Dako</w:t>
      </w:r>
      <w:proofErr w:type="spellEnd"/>
      <w:r w:rsidRPr="00F41F62">
        <w:rPr>
          <w:rFonts w:ascii="Arial" w:hAnsi="Arial" w:cs="Arial"/>
        </w:rPr>
        <w:t xml:space="preserve">) was used to visualize the immunostaining. </w:t>
      </w:r>
    </w:p>
    <w:p w14:paraId="40B42C84" w14:textId="77777777" w:rsidR="009379B3" w:rsidRPr="00D426C3" w:rsidRDefault="009379B3" w:rsidP="009379B3">
      <w:pPr>
        <w:spacing w:after="0" w:line="480" w:lineRule="auto"/>
        <w:ind w:left="-270" w:right="720"/>
        <w:rPr>
          <w:rFonts w:ascii="Arial" w:hAnsi="Arial" w:cs="Arial"/>
          <w:b/>
        </w:rPr>
      </w:pPr>
      <w:r w:rsidRPr="00104B19">
        <w:rPr>
          <w:rFonts w:ascii="Arial" w:hAnsi="Arial" w:cs="Arial"/>
          <w:b/>
        </w:rPr>
        <w:t>Preparation of the detergent-soluble and detergent-insoluble fractions</w:t>
      </w:r>
    </w:p>
    <w:p w14:paraId="5B1C9300" w14:textId="77777777" w:rsidR="009379B3" w:rsidRPr="00F41F62" w:rsidRDefault="009379B3" w:rsidP="009379B3">
      <w:pPr>
        <w:spacing w:line="480" w:lineRule="auto"/>
        <w:ind w:left="-270" w:right="720" w:firstLine="360"/>
        <w:rPr>
          <w:rFonts w:ascii="Arial" w:hAnsi="Arial" w:cs="Arial"/>
        </w:rPr>
      </w:pPr>
      <w:r w:rsidRPr="00F41F62">
        <w:rPr>
          <w:rFonts w:ascii="Arial" w:hAnsi="Arial" w:cs="Arial"/>
        </w:rPr>
        <w:t xml:space="preserve">Frozen brain tissue was homogenized in 1X DPBS, pH 7.4 to make a 20% (weight/volume) brain homogenate (BH) prior to dilution with an equal volume of 2X </w:t>
      </w:r>
      <w:r>
        <w:rPr>
          <w:rFonts w:ascii="Arial" w:hAnsi="Arial" w:cs="Arial"/>
        </w:rPr>
        <w:t>lysis buffer 100 (1X LB100:</w:t>
      </w:r>
      <w:r w:rsidRPr="00F41F62">
        <w:rPr>
          <w:rFonts w:ascii="Arial" w:hAnsi="Arial" w:cs="Arial"/>
        </w:rPr>
        <w:t xml:space="preserve"> 100 mM NaCl, 0.5% </w:t>
      </w:r>
      <w:proofErr w:type="spellStart"/>
      <w:r w:rsidRPr="00F41F62">
        <w:rPr>
          <w:rFonts w:ascii="Arial" w:hAnsi="Arial" w:cs="Arial"/>
        </w:rPr>
        <w:t>Nonidet</w:t>
      </w:r>
      <w:proofErr w:type="spellEnd"/>
      <w:r w:rsidRPr="00F41F62">
        <w:rPr>
          <w:rFonts w:ascii="Arial" w:hAnsi="Arial" w:cs="Arial"/>
        </w:rPr>
        <w:t xml:space="preserve"> P-40, 0.5% sodium deoxycholate, 10 mM EDTA, 100 mM Tris-HCl, pH 8.0</w:t>
      </w:r>
      <w:r>
        <w:rPr>
          <w:rFonts w:ascii="Arial" w:hAnsi="Arial" w:cs="Arial"/>
        </w:rPr>
        <w:t xml:space="preserve">; </w:t>
      </w:r>
      <w:r w:rsidRPr="00F67FD9">
        <w:rPr>
          <w:rFonts w:ascii="Arial" w:hAnsi="Arial" w:cs="Arial"/>
          <w:color w:val="000000" w:themeColor="text1"/>
        </w:rPr>
        <w:t>Buffer A)</w:t>
      </w:r>
      <w:r w:rsidR="003A22B2">
        <w:rPr>
          <w:rFonts w:ascii="Arial" w:hAnsi="Arial" w:cs="Arial"/>
          <w:color w:val="000000" w:themeColor="text1"/>
        </w:rPr>
        <w:t xml:space="preserve"> </w:t>
      </w:r>
      <w:r w:rsidRPr="00F67FD9">
        <w:rPr>
          <w:rFonts w:ascii="Arial" w:hAnsi="Arial" w:cs="Arial"/>
          <w:color w:val="000000" w:themeColor="text1"/>
        </w:rPr>
        <w:fldChar w:fldCharType="begin"/>
      </w:r>
      <w:r w:rsidR="003A22B2">
        <w:rPr>
          <w:rFonts w:ascii="Arial" w:hAnsi="Arial" w:cs="Arial"/>
          <w:color w:val="000000" w:themeColor="text1"/>
        </w:rPr>
        <w:instrText xml:space="preserve"> ADDIN ZOTERO_ITEM CSL_CITATION {"citationID":"AmPzLFCN","properties":{"formattedCitation":"(Cali {\\i{}et al.}, 2015)","plainCitation":"(Cali et al., 2015)","noteIndex":0},"citationItems":[{"id":167,"uris":["http://zotero.org/users/local/bLShVtLF/items/QDWQ85E5"],"uri":["http://zotero.org/users/local/bLShVtLF/items/QDWQ85E5"],"itemData":{"id":167,"type":"article-journal","abstract":"INTRODUCTION: The present study compares the clinical, pathological and molecular features of a United States (US) case of growth hormone (GH)-associated Creutzfeldt-Jakob disease (GH-CJD) (index case) to those of two earlier referred US cases of GH-CJD and one case of dura mater (d)-associated CJD (dCJD). All iatrogenic CJD (iCJD) subjects were methionine (M) homozygous at codon 129 (129MM) of the prion protein (PrP) gene and had scrapie prion protein (PrP(Sc)) type 1 (iCJDMM1).\nRESULTS: The index subject presented with ataxia, weight loss and changes in the sleep pattern about 38 years after the midpoint of GH treatment. Autopsy examination revealed a neuropathological phenotype reminiscent of both sCJDMV2-K (a sporadic CJD subtype in subjects methionine/valine heterozygous at codon 129 with PrP(Sc) type 2 and the presence of kuru plaques) and variant CJD (vCJD). The two earlier cases of GH-CJDMM1 and the one of dCJDMM1 were associated with neuropathological phenotypes that differed from that of the index case mainly because they lacked PrP plaques. The phenotype of the earlier GH-CJDMM1 cases shared several, but not all, characteristics with sCJDMM1, whereas dCJDMM1 was phenotypically indistinguishable from sCJDMM1. Two distinct groups of dCJDMM1 have also been described in Japan based on clinical features, the presence or absence of PrP plaques and distinct PK-resistant PrP(Sc) (resPrP(Sc)) electrophoretic mobilities. The resPrP(Sc) electrophoretic mobility was, however, identical in our GH-CJDMM1 and dCJDMM1 cases, and matched that of sCJDMM1.\nCONCLUSIONS: Our study shows that receipt of prion-contaminated GH can lead to a prion disease with molecular features (129MM and PrP(Sc) type 2) and phenotypic characteristics that differ from those of sporadic prion disease (sCJDMM1), a difference that may reflect adaptation of \"heterologous\" prion strains to the 129MM background.","container-title":"Acta Neuropathologica Communications","DOI":"10.1186/s40478-015-0214-2","ISSN":"2051-5960","journalAbbreviation":"Acta Neuropathol Commun","language":"eng","note":"PMID: 26108478\nPMCID: PMC4479081","page":"37","source":"PubMed","title":"Distinct pathological phenotypes of Creutzfeldt-Jakob disease in recipients of prion-contaminated growth hormone","volume":"3","author":[{"family":"Cali","given":"Ignazio"},{"family":"Miller","given":"Cathleen J."},{"family":"Parisi","given":"Joseph E."},{"family":"Geschwind","given":"Michael D."},{"family":"Gambetti","given":"Pierluigi"},{"family":"Schonberger","given":"Lawrence B."}],"issued":{"date-parts":[["2015",6,25]]}}}],"schema":"https://github.com/citation-style-language/schema/raw/master/csl-citation.json"} </w:instrText>
      </w:r>
      <w:r w:rsidRPr="00F67FD9">
        <w:rPr>
          <w:rFonts w:ascii="Arial" w:hAnsi="Arial" w:cs="Arial"/>
          <w:color w:val="000000" w:themeColor="text1"/>
        </w:rPr>
        <w:fldChar w:fldCharType="separate"/>
      </w:r>
      <w:r w:rsidR="003A22B2" w:rsidRPr="003A22B2">
        <w:rPr>
          <w:rFonts w:ascii="Arial" w:hAnsi="Arial" w:cs="Arial"/>
          <w:szCs w:val="24"/>
        </w:rPr>
        <w:t xml:space="preserve">(Cali </w:t>
      </w:r>
      <w:r w:rsidR="003A22B2" w:rsidRPr="003A22B2">
        <w:rPr>
          <w:rFonts w:ascii="Arial" w:hAnsi="Arial" w:cs="Arial"/>
          <w:i/>
          <w:iCs/>
          <w:szCs w:val="24"/>
        </w:rPr>
        <w:t>et al.</w:t>
      </w:r>
      <w:r w:rsidR="003A22B2" w:rsidRPr="003A22B2">
        <w:rPr>
          <w:rFonts w:ascii="Arial" w:hAnsi="Arial" w:cs="Arial"/>
          <w:szCs w:val="24"/>
        </w:rPr>
        <w:t>, 2015)</w:t>
      </w:r>
      <w:r w:rsidRPr="00F67FD9">
        <w:rPr>
          <w:rFonts w:ascii="Arial" w:hAnsi="Arial" w:cs="Arial"/>
          <w:color w:val="000000" w:themeColor="text1"/>
        </w:rPr>
        <w:fldChar w:fldCharType="end"/>
      </w:r>
      <w:r w:rsidRPr="00F67FD9">
        <w:rPr>
          <w:rFonts w:ascii="Arial" w:hAnsi="Arial" w:cs="Arial"/>
          <w:color w:val="000000" w:themeColor="text1"/>
        </w:rPr>
        <w:t>. The resulting 10% BH was centrifuged at low speed (1,000 x g) for 5 min at 4 ⁰C and the supernatant (S1) was collected. The S1 was subjected to high speed centrifugation (100,000 x g) for 1 h at 4 ⁰C to separate the detergent-soluble (S2) from the detergent-insoluble (P2) fraction. The pellet (P2) was re-suspended by sonication in 1X LB100 pH 8.0. Aliquots of S2, which contain the physiological or cellular PrP (PrP</w:t>
      </w:r>
      <w:r w:rsidRPr="00F67FD9">
        <w:rPr>
          <w:rFonts w:ascii="Arial" w:hAnsi="Arial" w:cs="Arial"/>
          <w:color w:val="000000" w:themeColor="text1"/>
          <w:vertAlign w:val="superscript"/>
        </w:rPr>
        <w:t>C</w:t>
      </w:r>
      <w:r w:rsidRPr="00F67FD9">
        <w:rPr>
          <w:rFonts w:ascii="Arial" w:hAnsi="Arial" w:cs="Arial"/>
          <w:color w:val="000000" w:themeColor="text1"/>
        </w:rPr>
        <w:t xml:space="preserve">) were mixed with 5-fold pre-chilled methanol for 2 h and centrifuged at 17,200 x g for 30 min at 4 °C. The resulting pellets were re-suspended in 1X LB100. In a control experiment (Figure </w:t>
      </w:r>
      <w:r>
        <w:rPr>
          <w:rFonts w:ascii="Arial" w:hAnsi="Arial" w:cs="Arial"/>
          <w:color w:val="000000" w:themeColor="text1"/>
        </w:rPr>
        <w:t>2</w:t>
      </w:r>
      <w:r w:rsidRPr="00F67FD9">
        <w:rPr>
          <w:rFonts w:ascii="Arial" w:hAnsi="Arial" w:cs="Arial"/>
          <w:color w:val="000000" w:themeColor="text1"/>
        </w:rPr>
        <w:t xml:space="preserve"> </w:t>
      </w:r>
      <w:r>
        <w:rPr>
          <w:rFonts w:ascii="Arial" w:hAnsi="Arial" w:cs="Arial"/>
          <w:color w:val="000000" w:themeColor="text1"/>
        </w:rPr>
        <w:t>D</w:t>
      </w:r>
      <w:r w:rsidRPr="00F67FD9">
        <w:rPr>
          <w:rFonts w:ascii="Arial" w:hAnsi="Arial" w:cs="Arial"/>
          <w:color w:val="000000" w:themeColor="text1"/>
        </w:rPr>
        <w:t xml:space="preserve"> and Suppl. Figure </w:t>
      </w:r>
      <w:r w:rsidR="003C098F">
        <w:rPr>
          <w:rFonts w:ascii="Arial" w:hAnsi="Arial" w:cs="Arial"/>
          <w:color w:val="000000" w:themeColor="text1"/>
        </w:rPr>
        <w:t>S</w:t>
      </w:r>
      <w:r w:rsidR="00A1390D">
        <w:rPr>
          <w:rFonts w:ascii="Arial" w:hAnsi="Arial" w:cs="Arial"/>
          <w:color w:val="000000" w:themeColor="text1"/>
        </w:rPr>
        <w:t>2</w:t>
      </w:r>
      <w:r w:rsidRPr="00F67FD9">
        <w:rPr>
          <w:rFonts w:ascii="Arial" w:hAnsi="Arial" w:cs="Arial"/>
          <w:color w:val="000000" w:themeColor="text1"/>
        </w:rPr>
        <w:t xml:space="preserve">), the 20% BH was incubated with an equal volume of 16% sarkosyl NL-2X LB100 pH 8.0 (Buffer B) or in 16% </w:t>
      </w:r>
      <w:r w:rsidRPr="00F67FD9">
        <w:rPr>
          <w:rFonts w:ascii="Arial" w:hAnsi="Arial" w:cs="Arial"/>
          <w:color w:val="000000" w:themeColor="text1"/>
        </w:rPr>
        <w:lastRenderedPageBreak/>
        <w:t>sarkosyl NL-1X DPBS pH 7.4 (8% sarkosyl NL final concentration) (Buffer C) at 4 ⁰</w:t>
      </w:r>
      <w:r>
        <w:rPr>
          <w:rFonts w:ascii="Arial" w:hAnsi="Arial" w:cs="Arial"/>
        </w:rPr>
        <w:t xml:space="preserve">C </w:t>
      </w:r>
      <w:r w:rsidRPr="00F41F62">
        <w:rPr>
          <w:rFonts w:ascii="Arial" w:hAnsi="Arial" w:cs="Arial"/>
        </w:rPr>
        <w:t>prior</w:t>
      </w:r>
      <w:r>
        <w:rPr>
          <w:rFonts w:ascii="Arial" w:hAnsi="Arial" w:cs="Arial"/>
        </w:rPr>
        <w:t xml:space="preserve"> to</w:t>
      </w:r>
      <w:r w:rsidRPr="00F41F62">
        <w:rPr>
          <w:rFonts w:ascii="Arial" w:hAnsi="Arial" w:cs="Arial"/>
        </w:rPr>
        <w:t xml:space="preserve"> </w:t>
      </w:r>
      <w:r>
        <w:rPr>
          <w:rFonts w:ascii="Arial" w:hAnsi="Arial" w:cs="Arial"/>
        </w:rPr>
        <w:t xml:space="preserve">low speed centrifugation (1,000 x g; S1). The S1 was then subjected to high speed (100,000 x g) </w:t>
      </w:r>
      <w:r w:rsidRPr="00F41F62">
        <w:rPr>
          <w:rFonts w:ascii="Arial" w:hAnsi="Arial" w:cs="Arial"/>
        </w:rPr>
        <w:t xml:space="preserve">centrifugation to separate the S2 and P2 fractions. </w:t>
      </w:r>
    </w:p>
    <w:p w14:paraId="7240590A" w14:textId="77777777" w:rsidR="009379B3" w:rsidRPr="00D426C3" w:rsidRDefault="009379B3" w:rsidP="009379B3">
      <w:pPr>
        <w:spacing w:after="0" w:line="480" w:lineRule="auto"/>
        <w:ind w:left="-270" w:right="720"/>
        <w:rPr>
          <w:rFonts w:ascii="Arial" w:hAnsi="Arial" w:cs="Arial"/>
          <w:b/>
        </w:rPr>
      </w:pPr>
      <w:r w:rsidRPr="00104B19">
        <w:rPr>
          <w:rFonts w:ascii="Arial" w:hAnsi="Arial" w:cs="Arial"/>
          <w:b/>
        </w:rPr>
        <w:t>PK digestion, PK</w:t>
      </w:r>
      <w:r w:rsidR="002E5150">
        <w:rPr>
          <w:rFonts w:ascii="Arial" w:hAnsi="Arial" w:cs="Arial"/>
          <w:b/>
        </w:rPr>
        <w:t>-</w:t>
      </w:r>
      <w:r w:rsidRPr="00104B19">
        <w:rPr>
          <w:rFonts w:ascii="Arial" w:hAnsi="Arial" w:cs="Arial"/>
          <w:b/>
        </w:rPr>
        <w:t>titration assay</w:t>
      </w:r>
      <w:r>
        <w:rPr>
          <w:rFonts w:ascii="Arial" w:hAnsi="Arial" w:cs="Arial"/>
          <w:b/>
        </w:rPr>
        <w:t>,</w:t>
      </w:r>
      <w:r w:rsidRPr="00104B19">
        <w:rPr>
          <w:rFonts w:ascii="Arial" w:hAnsi="Arial" w:cs="Arial"/>
          <w:b/>
        </w:rPr>
        <w:t xml:space="preserve"> and Western blot (WB) analysis</w:t>
      </w:r>
      <w:r w:rsidRPr="00D426C3">
        <w:rPr>
          <w:rFonts w:ascii="Arial" w:hAnsi="Arial" w:cs="Arial"/>
          <w:b/>
        </w:rPr>
        <w:t xml:space="preserve"> </w:t>
      </w:r>
    </w:p>
    <w:p w14:paraId="29A4C002" w14:textId="77777777" w:rsidR="009379B3" w:rsidRDefault="009379B3" w:rsidP="009379B3">
      <w:pPr>
        <w:spacing w:line="480" w:lineRule="auto"/>
        <w:ind w:left="-270" w:right="720" w:firstLine="360"/>
        <w:rPr>
          <w:rFonts w:ascii="Arial" w:hAnsi="Arial" w:cs="Arial"/>
        </w:rPr>
      </w:pPr>
      <w:r w:rsidRPr="00F41F62">
        <w:rPr>
          <w:rFonts w:ascii="Arial" w:hAnsi="Arial" w:cs="Arial"/>
        </w:rPr>
        <w:t>Aliquots of S1, S2</w:t>
      </w:r>
      <w:r>
        <w:rPr>
          <w:rFonts w:ascii="Arial" w:hAnsi="Arial" w:cs="Arial"/>
        </w:rPr>
        <w:t>,</w:t>
      </w:r>
      <w:r w:rsidRPr="00F41F62">
        <w:rPr>
          <w:rFonts w:ascii="Arial" w:hAnsi="Arial" w:cs="Arial"/>
        </w:rPr>
        <w:t xml:space="preserve"> and P2 were</w:t>
      </w:r>
      <w:r>
        <w:rPr>
          <w:rFonts w:ascii="Arial" w:hAnsi="Arial" w:cs="Arial"/>
        </w:rPr>
        <w:t xml:space="preserve"> left</w:t>
      </w:r>
      <w:r w:rsidRPr="00F41F62">
        <w:rPr>
          <w:rFonts w:ascii="Arial" w:hAnsi="Arial" w:cs="Arial"/>
        </w:rPr>
        <w:t xml:space="preserve"> either untreated or treated with 10 </w:t>
      </w:r>
      <w:r>
        <w:rPr>
          <w:rFonts w:ascii="Arial" w:hAnsi="Arial" w:cs="Arial"/>
        </w:rPr>
        <w:t>units/ml (</w:t>
      </w:r>
      <w:r w:rsidRPr="00F41F62">
        <w:rPr>
          <w:rFonts w:ascii="Arial" w:hAnsi="Arial" w:cs="Arial"/>
        </w:rPr>
        <w:t>U/ml</w:t>
      </w:r>
      <w:r>
        <w:rPr>
          <w:rFonts w:ascii="Arial" w:hAnsi="Arial" w:cs="Arial"/>
        </w:rPr>
        <w:t>)</w:t>
      </w:r>
      <w:r w:rsidRPr="00F41F62">
        <w:rPr>
          <w:rFonts w:ascii="Arial" w:hAnsi="Arial" w:cs="Arial"/>
        </w:rPr>
        <w:t xml:space="preserve"> PK [48 U/mg specific activity, 1 U/ml equal to 20.8 µg/ml PK] at 37 ⁰C for 1 h with agitation. For the PK-titration assay, PK was used at concentrations of 0, 2.5, 10, 40 and 160 U/ml. The enzymatic reaction was stopped by addition of 3mM PMSF. Each sample was mixed with an equal volume of 2X </w:t>
      </w:r>
      <w:proofErr w:type="spellStart"/>
      <w:r w:rsidRPr="00F41F62">
        <w:rPr>
          <w:rFonts w:ascii="Arial" w:hAnsi="Arial" w:cs="Arial"/>
        </w:rPr>
        <w:t>Laemmli</w:t>
      </w:r>
      <w:proofErr w:type="spellEnd"/>
      <w:r w:rsidRPr="00F41F62">
        <w:rPr>
          <w:rFonts w:ascii="Arial" w:hAnsi="Arial" w:cs="Arial"/>
        </w:rPr>
        <w:t xml:space="preserve"> sample buffer and denatured for 10 min at 100°C. Proteins were separated using 15% Tris-HCl polyacrylamide Criterion precast gels and transferred into Immobilon-FL PVDF membranes </w:t>
      </w:r>
      <w:r>
        <w:rPr>
          <w:rFonts w:ascii="Arial" w:hAnsi="Arial" w:cs="Arial"/>
        </w:rPr>
        <w:t>for 2 h</w:t>
      </w:r>
      <w:r w:rsidRPr="00F41F62">
        <w:rPr>
          <w:rFonts w:ascii="Arial" w:hAnsi="Arial" w:cs="Arial"/>
        </w:rPr>
        <w:t xml:space="preserve">. Membranes were blocked with the Odyssey Blocking Buffer for </w:t>
      </w:r>
      <w:r>
        <w:rPr>
          <w:rFonts w:ascii="Arial" w:hAnsi="Arial" w:cs="Arial"/>
        </w:rPr>
        <w:t>1 h prior incubation with the primary antibody</w:t>
      </w:r>
      <w:r w:rsidRPr="00F41F62">
        <w:rPr>
          <w:rFonts w:ascii="Arial" w:hAnsi="Arial" w:cs="Arial"/>
        </w:rPr>
        <w:t xml:space="preserve"> for 2 h</w:t>
      </w:r>
      <w:r>
        <w:rPr>
          <w:rFonts w:ascii="Arial" w:hAnsi="Arial" w:cs="Arial"/>
        </w:rPr>
        <w:t xml:space="preserve">. Antibodies 8B4, 3F4, 12B2, 1E4 and 2301 were </w:t>
      </w:r>
      <w:r w:rsidRPr="00F41F62">
        <w:rPr>
          <w:rFonts w:ascii="Arial" w:hAnsi="Arial" w:cs="Arial"/>
        </w:rPr>
        <w:t>diluted</w:t>
      </w:r>
      <w:r>
        <w:rPr>
          <w:rFonts w:ascii="Arial" w:hAnsi="Arial" w:cs="Arial"/>
        </w:rPr>
        <w:t xml:space="preserve"> </w:t>
      </w:r>
      <w:r w:rsidRPr="00824353">
        <w:rPr>
          <w:rFonts w:ascii="Arial" w:hAnsi="Arial" w:cs="Arial"/>
        </w:rPr>
        <w:t>1:5,000,</w:t>
      </w:r>
      <w:r>
        <w:rPr>
          <w:rFonts w:ascii="Arial" w:hAnsi="Arial" w:cs="Arial"/>
        </w:rPr>
        <w:t xml:space="preserve"> </w:t>
      </w:r>
      <w:r w:rsidRPr="00F41F62">
        <w:rPr>
          <w:rFonts w:ascii="Arial" w:hAnsi="Arial" w:cs="Arial"/>
        </w:rPr>
        <w:t>1:20,000</w:t>
      </w:r>
      <w:r>
        <w:rPr>
          <w:rFonts w:ascii="Arial" w:hAnsi="Arial" w:cs="Arial"/>
        </w:rPr>
        <w:t xml:space="preserve">, </w:t>
      </w:r>
      <w:r w:rsidRPr="00AF3D09">
        <w:rPr>
          <w:rFonts w:ascii="Arial" w:hAnsi="Arial" w:cs="Arial"/>
        </w:rPr>
        <w:t>1:12,000</w:t>
      </w:r>
      <w:r>
        <w:rPr>
          <w:rFonts w:ascii="Arial" w:hAnsi="Arial" w:cs="Arial"/>
        </w:rPr>
        <w:t xml:space="preserve">, </w:t>
      </w:r>
      <w:r w:rsidRPr="00F41F62">
        <w:rPr>
          <w:rFonts w:ascii="Arial" w:hAnsi="Arial" w:cs="Arial"/>
        </w:rPr>
        <w:t>1:1,000</w:t>
      </w:r>
      <w:r>
        <w:rPr>
          <w:rFonts w:ascii="Arial" w:hAnsi="Arial" w:cs="Arial"/>
        </w:rPr>
        <w:t xml:space="preserve"> and 1:5:000, respectively </w:t>
      </w:r>
      <w:r w:rsidRPr="00F41F62">
        <w:rPr>
          <w:rFonts w:ascii="Arial" w:hAnsi="Arial" w:cs="Arial"/>
        </w:rPr>
        <w:t xml:space="preserve">in Odyssey Blocking Buffer </w:t>
      </w:r>
      <w:r>
        <w:rPr>
          <w:rFonts w:ascii="Arial" w:hAnsi="Arial" w:cs="Arial"/>
        </w:rPr>
        <w:t xml:space="preserve">mixed with </w:t>
      </w:r>
      <w:r w:rsidRPr="00F41F62">
        <w:rPr>
          <w:rFonts w:ascii="Arial" w:hAnsi="Arial" w:cs="Arial"/>
        </w:rPr>
        <w:t>Tween 20</w:t>
      </w:r>
      <w:r>
        <w:rPr>
          <w:rFonts w:ascii="Arial" w:hAnsi="Arial" w:cs="Arial"/>
        </w:rPr>
        <w:t xml:space="preserve"> (0.1% final concertation).</w:t>
      </w:r>
      <w:r w:rsidRPr="00F41F62">
        <w:rPr>
          <w:rFonts w:ascii="Arial" w:hAnsi="Arial" w:cs="Arial"/>
        </w:rPr>
        <w:t xml:space="preserve"> Membranes </w:t>
      </w:r>
      <w:r>
        <w:rPr>
          <w:rFonts w:ascii="Arial" w:hAnsi="Arial" w:cs="Arial"/>
        </w:rPr>
        <w:t xml:space="preserve">were washed with 1X DPBS containing </w:t>
      </w:r>
      <w:r w:rsidRPr="00F41F62">
        <w:rPr>
          <w:rFonts w:ascii="Arial" w:hAnsi="Arial" w:cs="Arial"/>
        </w:rPr>
        <w:t xml:space="preserve">0.1% Tween 20 and incubated </w:t>
      </w:r>
      <w:r>
        <w:rPr>
          <w:rFonts w:ascii="Arial" w:hAnsi="Arial" w:cs="Arial"/>
        </w:rPr>
        <w:t xml:space="preserve">for 1h </w:t>
      </w:r>
      <w:r w:rsidRPr="00F41F62">
        <w:rPr>
          <w:rFonts w:ascii="Arial" w:hAnsi="Arial" w:cs="Arial"/>
        </w:rPr>
        <w:t xml:space="preserve">with </w:t>
      </w:r>
      <w:proofErr w:type="spellStart"/>
      <w:r w:rsidRPr="00F41F62">
        <w:rPr>
          <w:rFonts w:ascii="Arial" w:hAnsi="Arial" w:cs="Arial"/>
        </w:rPr>
        <w:t>IRDye</w:t>
      </w:r>
      <w:proofErr w:type="spellEnd"/>
      <w:r w:rsidRPr="00F41F62">
        <w:rPr>
          <w:rFonts w:ascii="Arial" w:hAnsi="Arial" w:cs="Arial"/>
        </w:rPr>
        <w:t xml:space="preserve"> 800CW goat anti-mouse IgG (1:15,000) </w:t>
      </w:r>
      <w:r>
        <w:rPr>
          <w:rFonts w:ascii="Arial" w:hAnsi="Arial" w:cs="Arial"/>
        </w:rPr>
        <w:t xml:space="preserve">or </w:t>
      </w:r>
      <w:proofErr w:type="spellStart"/>
      <w:r w:rsidRPr="00F41F62">
        <w:rPr>
          <w:rFonts w:ascii="Arial" w:hAnsi="Arial" w:cs="Arial"/>
        </w:rPr>
        <w:t>IRDye</w:t>
      </w:r>
      <w:proofErr w:type="spellEnd"/>
      <w:r w:rsidRPr="00F41F62">
        <w:rPr>
          <w:rFonts w:ascii="Arial" w:hAnsi="Arial" w:cs="Arial"/>
        </w:rPr>
        <w:t xml:space="preserve"> </w:t>
      </w:r>
      <w:r>
        <w:rPr>
          <w:rFonts w:ascii="Arial" w:hAnsi="Arial" w:cs="Arial"/>
        </w:rPr>
        <w:t>680CW goat anti-rabbit</w:t>
      </w:r>
      <w:r w:rsidRPr="00F41F62">
        <w:rPr>
          <w:rFonts w:ascii="Arial" w:hAnsi="Arial" w:cs="Arial"/>
        </w:rPr>
        <w:t xml:space="preserve"> IgG (1:15,000)</w:t>
      </w:r>
      <w:r>
        <w:rPr>
          <w:rFonts w:ascii="Arial" w:hAnsi="Arial" w:cs="Arial"/>
        </w:rPr>
        <w:t xml:space="preserve"> </w:t>
      </w:r>
      <w:r w:rsidRPr="00F41F62">
        <w:rPr>
          <w:rFonts w:ascii="Arial" w:hAnsi="Arial" w:cs="Arial"/>
        </w:rPr>
        <w:t>secondary Ab</w:t>
      </w:r>
      <w:r>
        <w:rPr>
          <w:rFonts w:ascii="Arial" w:hAnsi="Arial" w:cs="Arial"/>
        </w:rPr>
        <w:t>s</w:t>
      </w:r>
      <w:r w:rsidRPr="00F41F62">
        <w:rPr>
          <w:rFonts w:ascii="Arial" w:hAnsi="Arial" w:cs="Arial"/>
        </w:rPr>
        <w:t xml:space="preserve"> </w:t>
      </w:r>
      <w:r>
        <w:rPr>
          <w:rFonts w:ascii="Arial" w:hAnsi="Arial" w:cs="Arial"/>
        </w:rPr>
        <w:t xml:space="preserve">that was </w:t>
      </w:r>
      <w:r w:rsidRPr="00F41F62">
        <w:rPr>
          <w:rFonts w:ascii="Arial" w:hAnsi="Arial" w:cs="Arial"/>
        </w:rPr>
        <w:t>diluted in Odyssey Blocking Buffer</w:t>
      </w:r>
      <w:r>
        <w:rPr>
          <w:rFonts w:ascii="Arial" w:hAnsi="Arial" w:cs="Arial"/>
        </w:rPr>
        <w:t xml:space="preserve"> containing</w:t>
      </w:r>
      <w:r w:rsidRPr="00F41F62">
        <w:rPr>
          <w:rFonts w:ascii="Arial" w:hAnsi="Arial" w:cs="Arial"/>
        </w:rPr>
        <w:t xml:space="preserve"> 0.1% Tween 20 and 0.01% SDS. After washing, membranes were developed by </w:t>
      </w:r>
      <w:r>
        <w:rPr>
          <w:rFonts w:ascii="Arial" w:hAnsi="Arial" w:cs="Arial"/>
        </w:rPr>
        <w:t xml:space="preserve">the </w:t>
      </w:r>
      <w:r w:rsidRPr="00F41F62">
        <w:rPr>
          <w:rFonts w:ascii="Arial" w:hAnsi="Arial" w:cs="Arial"/>
        </w:rPr>
        <w:t>Odyssey near-infrared imaging system (LI-COR Biosciences). Densitometric analysis was performed using the Odyssey application software V3.0 (LI-COR Biosciences)</w:t>
      </w:r>
      <w:r w:rsidR="003A22B2">
        <w:rPr>
          <w:rFonts w:ascii="Arial" w:hAnsi="Arial" w:cs="Arial"/>
        </w:rPr>
        <w:t>.</w:t>
      </w:r>
      <w:r>
        <w:rPr>
          <w:rFonts w:ascii="Arial" w:hAnsi="Arial" w:cs="Arial"/>
        </w:rPr>
        <w:t xml:space="preserve"> In the </w:t>
      </w:r>
      <w:r w:rsidRPr="006F0C6E">
        <w:rPr>
          <w:rFonts w:ascii="Arial" w:hAnsi="Arial" w:cs="Arial"/>
        </w:rPr>
        <w:t>PK titration assay</w:t>
      </w:r>
      <w:r>
        <w:rPr>
          <w:rFonts w:ascii="Arial" w:hAnsi="Arial" w:cs="Arial"/>
        </w:rPr>
        <w:t>,</w:t>
      </w:r>
      <w:r w:rsidRPr="006F0C6E">
        <w:rPr>
          <w:rFonts w:ascii="Arial" w:hAnsi="Arial" w:cs="Arial"/>
        </w:rPr>
        <w:t xml:space="preserve"> the </w:t>
      </w:r>
      <w:r>
        <w:rPr>
          <w:rFonts w:ascii="Arial" w:hAnsi="Arial" w:cs="Arial"/>
        </w:rPr>
        <w:t xml:space="preserve">five </w:t>
      </w:r>
      <w:r w:rsidRPr="006F0C6E">
        <w:rPr>
          <w:rFonts w:ascii="Arial" w:hAnsi="Arial" w:cs="Arial"/>
        </w:rPr>
        <w:t>PK points were best fitted by a one-phase decay equation</w:t>
      </w:r>
      <w:r w:rsidR="003A22B2">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{"citationID":"M2VreuNq","properties":{"formattedCitation":"(Cali {\\i{}et al.}, 2020)","plainCitation":"(Cali et al., 2020)","noteIndex":0},"citationItems":[{"id":917,"uris":["http://zotero.org/users/local/bLShVtLF/items/XLLUS7A2"],"uri":["http://zotero.org/users/local/bLShVtLF/items/XLLUS7A2"],"itemData":{"id":917,"type":"article-journal","abstract":"We report a detailed study of a cohort of sporadic Creutzfeldt-Jakob disease (sCJD) VV1-2 type-mixed cases (valine homozygosity at codon 129 of the prion protein, PrP, gene harboring disease-related PrP, PrPD, types 1 and 2). Overall, sCJDVV1-2 subjects showed mixed clinical and histopathological features, which often correlated with the relative amounts of the corresponding PrPD type. However, type-specific phenotypic characteristics were only detected when the amount of the corresponding PrPD type exceeded 20-25%. Overall, original features of types 1 (T1) and 2 (T2) in sCJDVV1 and -VV2, including rostrocaudal relative distribution and conformational indicators, were maintained in sCJDVV1-2 except for one of the two components of T1 identified by electrophoretic mobility as T121. The T121 conformational characteristics shifted in the presence of T2, inferring a conformational effect of PrPD T2 on T121. The prevalence of sCJDVV1-2 was 23% or 57% of all sCJDVV cases, depending on whether standard or highly sensitive type-detecting procedures were adopted. This study, together with previous data from sCJDMM1-2 (methionine homozygosity at PrP gene codon 129) establishes the type-mixed sCJD variants as an important component of sCJD, which cannot be identified with current non-tissue based diagnostic tests of prion disease.","container-title":"Scientific Reports","DOI":"10.1038/s41598-020-58446-0","ISSN":"2045-2322","issue":"1","journalAbbreviation":"Sci Rep","language":"eng","note":"PMID: 32001774\nPMCID: PMC6992672","page":"1503","source":"PubMed","title":"Co-existence of PrPD types 1 and 2 in sporadic Creutzfeldt-Jakob disease of the VV subgroup: phenotypic and prion protein characteristics","title-short":"Co-existence of PrPD types 1 and 2 in sporadic Creutzfeldt-Jakob disease of the VV subgroup","volume":"10","author":[{"family":"Cali","given":"Ignazio"},{"family":"Puoti","given":"Gianfranco"},{"family":"Smucny","given":"Jason"},{"family":"Curtiss","given":"Paul Michael"},{"family":"Cracco","given":"Laura"},{"family":"Kitamoto","given":"Tetsuyuki"},{"family":"Occhipinti","given":"Rossana"},{"family":"Cohen","given":"Mark Lloyd"},{"family":"Appleby","given":"Brian Stephen"},{"family":"Gambetti","given":"Pierluigi"}],"issued":{"date-parts":[["2020",1,30]]}}}],"schema":"https://github.com/citation-style-language/schema/raw/master/csl-citation.json"}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(Cali </w:t>
      </w:r>
      <w:r w:rsidR="003A22B2" w:rsidRPr="003A22B2">
        <w:rPr>
          <w:rFonts w:ascii="Arial" w:hAnsi="Arial" w:cs="Arial"/>
          <w:i/>
          <w:iCs/>
          <w:szCs w:val="24"/>
        </w:rPr>
        <w:t>et al.</w:t>
      </w:r>
      <w:r w:rsidR="003A22B2" w:rsidRPr="003A22B2">
        <w:rPr>
          <w:rFonts w:ascii="Arial" w:hAnsi="Arial" w:cs="Arial"/>
          <w:szCs w:val="24"/>
        </w:rPr>
        <w:t>, 2020)</w:t>
      </w:r>
      <w:r>
        <w:rPr>
          <w:rFonts w:ascii="Arial" w:hAnsi="Arial" w:cs="Arial"/>
        </w:rPr>
        <w:fldChar w:fldCharType="end"/>
      </w:r>
      <w:r>
        <w:rPr>
          <w:rFonts w:ascii="Arial" w:hAnsi="Arial" w:cs="Arial"/>
        </w:rPr>
        <w:t>, and the PK</w:t>
      </w:r>
      <w:r>
        <w:rPr>
          <w:rFonts w:ascii="Arial" w:hAnsi="Arial" w:cs="Arial"/>
          <w:vertAlign w:val="subscript"/>
        </w:rPr>
        <w:t>1/2</w:t>
      </w:r>
      <w:r>
        <w:rPr>
          <w:rFonts w:ascii="Arial" w:hAnsi="Arial" w:cs="Arial"/>
        </w:rPr>
        <w:t>, defined as the amount of PK required</w:t>
      </w:r>
      <w:r w:rsidRPr="003274C1">
        <w:rPr>
          <w:rFonts w:ascii="Arial" w:hAnsi="Arial" w:cs="Arial"/>
        </w:rPr>
        <w:t xml:space="preserve"> to hydrolyze 50% </w:t>
      </w:r>
      <w:r>
        <w:rPr>
          <w:rFonts w:ascii="Arial" w:hAnsi="Arial" w:cs="Arial"/>
        </w:rPr>
        <w:t xml:space="preserve">of </w:t>
      </w:r>
      <w:r w:rsidRPr="003274C1">
        <w:rPr>
          <w:rFonts w:ascii="Arial" w:hAnsi="Arial" w:cs="Arial"/>
        </w:rPr>
        <w:t>PrP</w:t>
      </w:r>
      <w:r w:rsidRPr="003274C1">
        <w:rPr>
          <w:rFonts w:ascii="Arial" w:hAnsi="Arial" w:cs="Arial"/>
          <w:vertAlign w:val="superscript"/>
        </w:rPr>
        <w:t>D</w:t>
      </w:r>
      <w:r>
        <w:rPr>
          <w:rFonts w:ascii="Arial" w:hAnsi="Arial" w:cs="Arial"/>
        </w:rPr>
        <w:t xml:space="preserve">, was calculated with the software </w:t>
      </w:r>
      <w:r w:rsidRPr="00F41F62">
        <w:rPr>
          <w:rFonts w:ascii="Arial" w:hAnsi="Arial" w:cs="Arial"/>
        </w:rPr>
        <w:t xml:space="preserve">GraphPad Prism </w:t>
      </w:r>
      <w:r w:rsidRPr="006F0C6E">
        <w:rPr>
          <w:rFonts w:ascii="Arial" w:hAnsi="Arial" w:cs="Arial"/>
        </w:rPr>
        <w:t>8.1.1</w:t>
      </w:r>
      <w:r>
        <w:rPr>
          <w:rFonts w:ascii="Arial" w:hAnsi="Arial" w:cs="Arial"/>
        </w:rPr>
        <w:t>.</w:t>
      </w:r>
      <w:r w:rsidR="001635CD">
        <w:rPr>
          <w:rFonts w:ascii="Arial" w:hAnsi="Arial" w:cs="Arial"/>
        </w:rPr>
        <w:t xml:space="preserve"> </w:t>
      </w:r>
      <w:r w:rsidR="00BD256F" w:rsidRPr="00BD256F">
        <w:rPr>
          <w:rFonts w:ascii="Arial" w:hAnsi="Arial" w:cs="Arial"/>
        </w:rPr>
        <w:t>For the majority of the experiments, WB were performed in triplicate</w:t>
      </w:r>
      <w:r w:rsidR="001635CD">
        <w:rPr>
          <w:rFonts w:ascii="Arial" w:hAnsi="Arial" w:cs="Arial"/>
        </w:rPr>
        <w:t xml:space="preserve">.  </w:t>
      </w:r>
    </w:p>
    <w:p w14:paraId="3066CB71" w14:textId="77777777" w:rsidR="009379B3" w:rsidRDefault="009379B3" w:rsidP="009379B3">
      <w:pPr>
        <w:spacing w:after="0" w:line="480" w:lineRule="auto"/>
        <w:ind w:left="-270" w:right="720"/>
        <w:rPr>
          <w:rFonts w:ascii="Arial" w:hAnsi="Arial" w:cs="Arial"/>
          <w:b/>
        </w:rPr>
      </w:pPr>
      <w:r>
        <w:rPr>
          <w:rFonts w:ascii="Arial" w:hAnsi="Arial" w:cs="Arial"/>
          <w:b/>
        </w:rPr>
        <w:t xml:space="preserve">Genetics </w:t>
      </w:r>
    </w:p>
    <w:p w14:paraId="72978929" w14:textId="77777777" w:rsidR="009379B3" w:rsidRDefault="009379B3" w:rsidP="009379B3">
      <w:pPr>
        <w:spacing w:line="480" w:lineRule="auto"/>
        <w:ind w:left="-270" w:right="720" w:firstLine="360"/>
        <w:rPr>
          <w:rFonts w:ascii="Arial" w:hAnsi="Arial" w:cs="Arial"/>
        </w:rPr>
      </w:pPr>
      <w:r>
        <w:rPr>
          <w:rFonts w:ascii="Arial" w:hAnsi="Arial" w:cs="Arial"/>
        </w:rPr>
        <w:lastRenderedPageBreak/>
        <w:t>Genetic analysis of the PrP gene was performed as previously described</w:t>
      </w:r>
      <w:r w:rsidR="007129BE">
        <w:rPr>
          <w:rFonts w:ascii="Arial" w:hAnsi="Arial" w:cs="Arial"/>
        </w:rPr>
        <w:t xml:space="preserve"> </w:t>
      </w:r>
      <w:r>
        <w:rPr>
          <w:rFonts w:ascii="Arial" w:hAnsi="Arial" w:cs="Arial"/>
        </w:rPr>
        <w:fldChar w:fldCharType="begin"/>
      </w:r>
      <w:r w:rsidR="003A22B2">
        <w:rPr>
          <w:rFonts w:ascii="Arial" w:hAnsi="Arial" w:cs="Arial"/>
        </w:rPr>
        <w:instrText xml:space="preserve"> ADDIN ZOTERO_ITEM CSL_CITATION {"citationID":"TCt1sKs3","properties":{"formattedCitation":"(Mauro {\\i{}et al.}, 2008)","plainCitation":"(Mauro et al., 2008)","noteIndex":0},"citationItems":[{"id":982,"uris":["http://zotero.org/users/local/bLShVtLF/items/UH4N27QQ"],"uri":["http://zotero.org/users/local/bLShVtLF/items/UH4N27QQ"],"itemData":{"id":982,"type":"article-journal","abstract":"A young man, presenting with early onset of personality and behavioural changes followed by slowly progressive cognitive impairment associated with marked bi-parietal cerebral atrophy, was found to carry a novel seven extra-repeat insertional mutation in the prion protein gene (PRNP). In vitro, the mutated recombinant prion protein (PrP) showed biochemical properties that were consistent with pathological PrP variants. Our results further underline the heterogeneity of neurological pictures associated with insertional mutations of PRNP, indicating the diagnostic difficulties of sporadic cases with early-onset atypical dementia.","container-title":"Journal of Neurology, Neurosurgery, and Psychiatry","DOI":"10.1136/jnnp.2007.142976","ISSN":"1468-330X","issue":"12","journalAbbreviation":"J. Neurol. Neurosurg. Psychiatry","language":"eng","note":"PMID: 19010951","page":"1395-1398","source":"PubMed","title":"A novel insertional mutation in the prion protein gene: clinical and bio-molecular findings","title-short":"A novel insertional mutation in the prion protein gene","volume":"79","author":[{"family":"Mauro","given":"C."},{"family":"Giaccone","given":"G."},{"family":"Piscosquito","given":"G."},{"family":"Lavorgna","given":"A."},{"family":"Nigro","given":"M."},{"family":"Di Fede","given":"G."},{"family":"Leonardi","given":"A."},{"family":"Coppola","given":"C."},{"family":"Formisano","given":"S."},{"family":"Tagliavini","given":"F."},{"family":"Cotrufo","given":"R."},{"family":"Puoti","given":"G."}],"issued":{"date-parts":[["2008",12]]}}}],"schema":"https://github.com/citation-style-language/schema/raw/master/csl-citation.json"} </w:instrText>
      </w:r>
      <w:r>
        <w:rPr>
          <w:rFonts w:ascii="Arial" w:hAnsi="Arial" w:cs="Arial"/>
        </w:rPr>
        <w:fldChar w:fldCharType="separate"/>
      </w:r>
      <w:r w:rsidR="003A22B2" w:rsidRPr="003A22B2">
        <w:rPr>
          <w:rFonts w:ascii="Arial" w:hAnsi="Arial" w:cs="Arial"/>
          <w:szCs w:val="24"/>
        </w:rPr>
        <w:t xml:space="preserve">(Mauro </w:t>
      </w:r>
      <w:r w:rsidR="003A22B2" w:rsidRPr="003A22B2">
        <w:rPr>
          <w:rFonts w:ascii="Arial" w:hAnsi="Arial" w:cs="Arial"/>
          <w:i/>
          <w:iCs/>
          <w:szCs w:val="24"/>
        </w:rPr>
        <w:t>et al.</w:t>
      </w:r>
      <w:r w:rsidR="003A22B2" w:rsidRPr="003A22B2">
        <w:rPr>
          <w:rFonts w:ascii="Arial" w:hAnsi="Arial" w:cs="Arial"/>
          <w:szCs w:val="24"/>
        </w:rPr>
        <w:t>, 2008)</w:t>
      </w:r>
      <w:r>
        <w:rPr>
          <w:rFonts w:ascii="Arial" w:hAnsi="Arial" w:cs="Arial"/>
        </w:rPr>
        <w:fldChar w:fldCharType="end"/>
      </w:r>
      <w:r>
        <w:rPr>
          <w:rFonts w:ascii="Arial" w:hAnsi="Arial" w:cs="Arial"/>
        </w:rPr>
        <w:t>.</w:t>
      </w:r>
    </w:p>
    <w:p w14:paraId="3A75E54D" w14:textId="77777777" w:rsidR="003A22B2" w:rsidRPr="00BD256F" w:rsidRDefault="003A22B2" w:rsidP="003A22B2">
      <w:pPr>
        <w:spacing w:after="0" w:line="480" w:lineRule="auto"/>
        <w:ind w:left="-270" w:right="720"/>
        <w:rPr>
          <w:rFonts w:ascii="Arial" w:hAnsi="Arial" w:cs="Arial"/>
          <w:b/>
          <w:sz w:val="28"/>
          <w:szCs w:val="28"/>
        </w:rPr>
      </w:pPr>
      <w:r w:rsidRPr="00BD256F">
        <w:rPr>
          <w:rFonts w:ascii="Arial" w:hAnsi="Arial" w:cs="Arial"/>
          <w:b/>
          <w:sz w:val="28"/>
          <w:szCs w:val="28"/>
        </w:rPr>
        <w:t>BIBLIOGRAPHY</w:t>
      </w:r>
    </w:p>
    <w:p w14:paraId="57EA9B1B" w14:textId="77777777" w:rsidR="003A22B2" w:rsidRPr="003A22B2" w:rsidRDefault="009379B3" w:rsidP="003A22B2">
      <w:pPr>
        <w:pStyle w:val="Bibliography"/>
        <w:rPr>
          <w:rFonts w:ascii="Arial" w:hAnsi="Arial" w:cs="Arial"/>
          <w:lang w:val="it-IT"/>
        </w:rPr>
      </w:pPr>
      <w:r w:rsidRPr="003A22B2">
        <w:rPr>
          <w:rFonts w:ascii="Arial" w:hAnsi="Arial" w:cs="Arial"/>
        </w:rPr>
        <w:fldChar w:fldCharType="begin"/>
      </w:r>
      <w:r w:rsidR="003A22B2" w:rsidRPr="003A22B2">
        <w:rPr>
          <w:rFonts w:ascii="Arial" w:hAnsi="Arial" w:cs="Arial"/>
        </w:rPr>
        <w:instrText xml:space="preserve"> ADDIN ZOTERO_BIBL {"uncited":[],"omitted":[],"custom":[]} CSL_BIBLIOGRAPHY </w:instrText>
      </w:r>
      <w:r w:rsidRPr="003A22B2">
        <w:rPr>
          <w:rFonts w:ascii="Arial" w:hAnsi="Arial" w:cs="Arial"/>
        </w:rPr>
        <w:fldChar w:fldCharType="separate"/>
      </w:r>
      <w:r w:rsidR="003A22B2" w:rsidRPr="003A22B2">
        <w:rPr>
          <w:rFonts w:ascii="Arial" w:hAnsi="Arial" w:cs="Arial"/>
        </w:rPr>
        <w:t xml:space="preserve">Cali I, Miller CJ, Parisi JE, Geschwind MD, Gambetti P, Schonberger LB. Distinct pathological phenotypes of Creutzfeldt-Jakob disease in recipients of prion-contaminated growth hormone. </w:t>
      </w:r>
      <w:r w:rsidR="003A22B2" w:rsidRPr="003A22B2">
        <w:rPr>
          <w:rFonts w:ascii="Arial" w:hAnsi="Arial" w:cs="Arial"/>
          <w:lang w:val="it-IT"/>
        </w:rPr>
        <w:t>Acta Neuropathol Commun 2015; 3: 37.</w:t>
      </w:r>
    </w:p>
    <w:p w14:paraId="5E4D365F" w14:textId="77777777" w:rsidR="003A22B2" w:rsidRPr="003A22B2" w:rsidRDefault="003A22B2" w:rsidP="003A22B2">
      <w:pPr>
        <w:pStyle w:val="Bibliography"/>
        <w:rPr>
          <w:rFonts w:ascii="Arial" w:hAnsi="Arial" w:cs="Arial"/>
        </w:rPr>
      </w:pPr>
      <w:r w:rsidRPr="003A22B2">
        <w:rPr>
          <w:rFonts w:ascii="Arial" w:hAnsi="Arial" w:cs="Arial"/>
          <w:lang w:val="it-IT"/>
        </w:rPr>
        <w:t xml:space="preserve">Cali I, Puoti G, Smucny J, Curtiss PM, Cracco L, Kitamoto T, et al. </w:t>
      </w:r>
      <w:r w:rsidRPr="003A22B2">
        <w:rPr>
          <w:rFonts w:ascii="Arial" w:hAnsi="Arial" w:cs="Arial"/>
        </w:rPr>
        <w:t>Co-existence of PrPD types 1 and 2 in sporadic Creutzfeldt-Jakob disease of the VV subgroup: phenotypic and prion protein characteristics. Sci Rep 2020; 10: 1503.</w:t>
      </w:r>
    </w:p>
    <w:p w14:paraId="532BB300" w14:textId="77777777" w:rsidR="003A22B2" w:rsidRPr="003A22B2" w:rsidRDefault="003A22B2" w:rsidP="003A22B2">
      <w:pPr>
        <w:pStyle w:val="Bibliography"/>
        <w:rPr>
          <w:rFonts w:ascii="Arial" w:hAnsi="Arial" w:cs="Arial"/>
          <w:lang w:val="it-IT"/>
        </w:rPr>
      </w:pPr>
      <w:r w:rsidRPr="003A22B2">
        <w:rPr>
          <w:rFonts w:ascii="Arial" w:hAnsi="Arial" w:cs="Arial"/>
        </w:rPr>
        <w:t xml:space="preserve">Chen SG, Teplow DB, Parchi P, Teller JK, Gambetti P, Autilio-Gambetti L. Truncated forms of the human prion protein in normal brain and in prion diseases. </w:t>
      </w:r>
      <w:r w:rsidRPr="003A22B2">
        <w:rPr>
          <w:rFonts w:ascii="Arial" w:hAnsi="Arial" w:cs="Arial"/>
          <w:lang w:val="it-IT"/>
        </w:rPr>
        <w:t>J Biol Chem 1995; 270: 19173–19180.</w:t>
      </w:r>
    </w:p>
    <w:p w14:paraId="4E7EF4B2" w14:textId="77777777" w:rsidR="003A22B2" w:rsidRPr="003A22B2" w:rsidRDefault="003A22B2" w:rsidP="003A22B2">
      <w:pPr>
        <w:pStyle w:val="Bibliography"/>
        <w:rPr>
          <w:rFonts w:ascii="Arial" w:hAnsi="Arial" w:cs="Arial"/>
        </w:rPr>
      </w:pPr>
      <w:r w:rsidRPr="003A22B2">
        <w:rPr>
          <w:rFonts w:ascii="Arial" w:hAnsi="Arial" w:cs="Arial"/>
          <w:lang w:val="it-IT"/>
        </w:rPr>
        <w:t xml:space="preserve">Giaccone G, Canciani B, Puoti G, Rossi G, Goffredo D, Iussich S, et al. </w:t>
      </w:r>
      <w:r w:rsidRPr="003A22B2">
        <w:rPr>
          <w:rFonts w:ascii="Arial" w:hAnsi="Arial" w:cs="Arial"/>
        </w:rPr>
        <w:t>Creutzfeldt-Jakob disease: Carnoy’s fixative improves the immunohistochemistry of the proteinase K-resistant prion protein. Brain Pathol 2000; 10: 31–37.</w:t>
      </w:r>
    </w:p>
    <w:p w14:paraId="777E2781" w14:textId="77777777" w:rsidR="003A22B2" w:rsidRPr="003A22B2" w:rsidRDefault="003A22B2" w:rsidP="003A22B2">
      <w:pPr>
        <w:pStyle w:val="Bibliography"/>
        <w:rPr>
          <w:rFonts w:ascii="Arial" w:hAnsi="Arial" w:cs="Arial"/>
        </w:rPr>
      </w:pPr>
      <w:r w:rsidRPr="003A22B2">
        <w:rPr>
          <w:rFonts w:ascii="Arial" w:hAnsi="Arial" w:cs="Arial"/>
        </w:rPr>
        <w:t>Kascsak RJ, Rubenstein R, Merz PA, Tonna-DeMasi M, Fersko R, Carp RI, et al. Mouse polyclonal and monoclonal antibody to scrapie-associated fibril proteins. J Virol 1987; 61: 3688–3693.</w:t>
      </w:r>
    </w:p>
    <w:p w14:paraId="3DBE6DB5" w14:textId="77777777" w:rsidR="003A22B2" w:rsidRPr="003A22B2" w:rsidRDefault="003A22B2" w:rsidP="003A22B2">
      <w:pPr>
        <w:pStyle w:val="Bibliography"/>
        <w:rPr>
          <w:rFonts w:ascii="Arial" w:hAnsi="Arial" w:cs="Arial"/>
        </w:rPr>
      </w:pPr>
      <w:r w:rsidRPr="003A22B2">
        <w:rPr>
          <w:rFonts w:ascii="Arial" w:hAnsi="Arial" w:cs="Arial"/>
        </w:rPr>
        <w:t>Langeveld JPM, Jacobs JG, Erkens JHF, Bossers A, van Zijderveld FG, van Keulen LJM. Rapid and discriminatory diagnosis of scrapie and BSE in retro-pharyngeal lymph nodes of sheep. BMC Vet Res 2006; 2: 19.</w:t>
      </w:r>
    </w:p>
    <w:p w14:paraId="4D839DAF" w14:textId="77777777" w:rsidR="003A22B2" w:rsidRPr="003A22B2" w:rsidRDefault="003A22B2" w:rsidP="003A22B2">
      <w:pPr>
        <w:pStyle w:val="Bibliography"/>
        <w:rPr>
          <w:rFonts w:ascii="Arial" w:hAnsi="Arial" w:cs="Arial"/>
          <w:lang w:val="it-IT"/>
        </w:rPr>
      </w:pPr>
      <w:r w:rsidRPr="003A22B2">
        <w:rPr>
          <w:rFonts w:ascii="Arial" w:hAnsi="Arial" w:cs="Arial"/>
        </w:rPr>
        <w:t xml:space="preserve">Li R, Liu T, Wong BS, Pan T, Morillas M, Swietnicki W, et al. Identification of an epitope in the C terminus of normal prion protein whose expression is modulated by binding events in the N terminus. </w:t>
      </w:r>
      <w:r w:rsidRPr="003A22B2">
        <w:rPr>
          <w:rFonts w:ascii="Arial" w:hAnsi="Arial" w:cs="Arial"/>
          <w:lang w:val="it-IT"/>
        </w:rPr>
        <w:t>J Mol Biol 2000; 301: 567–573.</w:t>
      </w:r>
    </w:p>
    <w:p w14:paraId="4D450FC0" w14:textId="77777777" w:rsidR="003A22B2" w:rsidRPr="003A22B2" w:rsidRDefault="003A22B2" w:rsidP="003A22B2">
      <w:pPr>
        <w:pStyle w:val="Bibliography"/>
        <w:rPr>
          <w:rFonts w:ascii="Arial" w:hAnsi="Arial" w:cs="Arial"/>
          <w:lang w:val="it-IT"/>
        </w:rPr>
      </w:pPr>
      <w:r w:rsidRPr="003A22B2">
        <w:rPr>
          <w:rFonts w:ascii="Arial" w:hAnsi="Arial" w:cs="Arial"/>
          <w:lang w:val="it-IT"/>
        </w:rPr>
        <w:t xml:space="preserve">Mauro C, Giaccone G, Piscosquito G, Lavorgna A, Nigro M, Di Fede G, et al. </w:t>
      </w:r>
      <w:r w:rsidRPr="003A22B2">
        <w:rPr>
          <w:rFonts w:ascii="Arial" w:hAnsi="Arial" w:cs="Arial"/>
        </w:rPr>
        <w:t xml:space="preserve">A novel insertional mutation in the prion protein gene: clinical and bio-molecular findings. </w:t>
      </w:r>
      <w:r w:rsidRPr="003A22B2">
        <w:rPr>
          <w:rFonts w:ascii="Arial" w:hAnsi="Arial" w:cs="Arial"/>
          <w:lang w:val="it-IT"/>
        </w:rPr>
        <w:t>J Neurol Neurosurg Psychiatry 2008; 79: 1395–1398.</w:t>
      </w:r>
    </w:p>
    <w:p w14:paraId="6D7A1609" w14:textId="77777777" w:rsidR="003A22B2" w:rsidRPr="003A22B2" w:rsidRDefault="003A22B2" w:rsidP="003A22B2">
      <w:pPr>
        <w:pStyle w:val="Bibliography"/>
        <w:rPr>
          <w:rFonts w:ascii="Arial" w:hAnsi="Arial" w:cs="Arial"/>
        </w:rPr>
      </w:pPr>
      <w:r w:rsidRPr="003A22B2">
        <w:rPr>
          <w:rFonts w:ascii="Arial" w:hAnsi="Arial" w:cs="Arial"/>
          <w:lang w:val="it-IT"/>
        </w:rPr>
        <w:t xml:space="preserve">Parchi P, Castellani R, Capellari S, Ghetti B, Young K, Chen SG, et al. </w:t>
      </w:r>
      <w:r w:rsidRPr="003A22B2">
        <w:rPr>
          <w:rFonts w:ascii="Arial" w:hAnsi="Arial" w:cs="Arial"/>
        </w:rPr>
        <w:t>Molecular basis of phenotypic variability in sporadic Creutzfeldt-Jakob disease. Ann Neurol 1996; 39: 767–778.</w:t>
      </w:r>
    </w:p>
    <w:p w14:paraId="7FAC3693" w14:textId="77777777" w:rsidR="003A22B2" w:rsidRPr="003A22B2" w:rsidRDefault="003A22B2" w:rsidP="003A22B2">
      <w:pPr>
        <w:pStyle w:val="Bibliography"/>
        <w:rPr>
          <w:rFonts w:ascii="Arial" w:hAnsi="Arial" w:cs="Arial"/>
        </w:rPr>
      </w:pPr>
      <w:r w:rsidRPr="003A22B2">
        <w:rPr>
          <w:rFonts w:ascii="Arial" w:hAnsi="Arial" w:cs="Arial"/>
        </w:rPr>
        <w:t>Parchi P, Giese A, Capellari S, Brown P, Schulz-Schaeffer W, Windl O, et al. Classification of sporadic Creutzfeldt-Jakob disease based on molecular and phenotypic analysis of 300 subjects. Ann Neurol 1999; 46: 224–233.</w:t>
      </w:r>
    </w:p>
    <w:p w14:paraId="0CB6A768" w14:textId="77777777" w:rsidR="003A22B2" w:rsidRPr="003A22B2" w:rsidRDefault="003A22B2" w:rsidP="003A22B2">
      <w:pPr>
        <w:pStyle w:val="Bibliography"/>
        <w:rPr>
          <w:rFonts w:ascii="Arial" w:hAnsi="Arial" w:cs="Arial"/>
        </w:rPr>
      </w:pPr>
      <w:r w:rsidRPr="003A22B2">
        <w:rPr>
          <w:rFonts w:ascii="Arial" w:hAnsi="Arial" w:cs="Arial"/>
        </w:rPr>
        <w:t>Zou W-Q, Langeveld J, Xiao X, Chen S, McGeer PL, Yuan J, et al. PrP conformational transitions alter species preference of a PrP-specific antibody. J Biol Chem 2010; 285: 13874–13884.</w:t>
      </w:r>
    </w:p>
    <w:p w14:paraId="5640F9F3" w14:textId="77777777" w:rsidR="007A46F6" w:rsidRDefault="009379B3" w:rsidP="007A46F6">
      <w:pPr>
        <w:spacing w:line="480" w:lineRule="auto"/>
        <w:ind w:left="-270" w:right="720"/>
        <w:rPr>
          <w:rFonts w:ascii="Arial" w:hAnsi="Arial" w:cs="Arial"/>
          <w:color w:val="000000" w:themeColor="text1"/>
        </w:rPr>
      </w:pPr>
      <w:r w:rsidRPr="003A22B2">
        <w:rPr>
          <w:rFonts w:ascii="Arial" w:hAnsi="Arial" w:cs="Arial"/>
        </w:rPr>
        <w:lastRenderedPageBreak/>
        <w:fldChar w:fldCharType="end"/>
      </w:r>
      <w:r w:rsidR="007A46F6">
        <w:rPr>
          <w:rFonts w:ascii="Arial" w:hAnsi="Arial" w:cs="Arial"/>
          <w:color w:val="000000" w:themeColor="text1"/>
        </w:rPr>
        <w:t xml:space="preserve">Supplementary Figure </w:t>
      </w:r>
      <w:r w:rsidR="003C098F">
        <w:rPr>
          <w:rFonts w:ascii="Arial" w:hAnsi="Arial" w:cs="Arial"/>
          <w:color w:val="000000" w:themeColor="text1"/>
        </w:rPr>
        <w:t>S</w:t>
      </w:r>
      <w:r w:rsidR="00C90BE5">
        <w:rPr>
          <w:rFonts w:ascii="Arial" w:hAnsi="Arial" w:cs="Arial"/>
          <w:color w:val="000000" w:themeColor="text1"/>
        </w:rPr>
        <w:t>1</w:t>
      </w:r>
      <w:r w:rsidR="007A46F6" w:rsidRPr="00AB2A28">
        <w:rPr>
          <w:rFonts w:ascii="Arial" w:hAnsi="Arial" w:cs="Arial"/>
          <w:color w:val="000000" w:themeColor="text1"/>
        </w:rPr>
        <w:t xml:space="preserve">. </w:t>
      </w:r>
      <w:r w:rsidR="007A46F6">
        <w:rPr>
          <w:rFonts w:ascii="Arial" w:hAnsi="Arial" w:cs="Arial"/>
          <w:b/>
          <w:color w:val="000000" w:themeColor="text1"/>
        </w:rPr>
        <w:t xml:space="preserve">Timeline of </w:t>
      </w:r>
      <w:r w:rsidR="007A46F6" w:rsidRPr="00AB2A28">
        <w:rPr>
          <w:rFonts w:ascii="Arial" w:hAnsi="Arial" w:cs="Arial"/>
          <w:b/>
          <w:color w:val="000000" w:themeColor="text1"/>
        </w:rPr>
        <w:t>clinical evolution</w:t>
      </w:r>
      <w:r w:rsidR="007A46F6">
        <w:rPr>
          <w:rFonts w:ascii="Arial" w:hAnsi="Arial" w:cs="Arial"/>
          <w:b/>
          <w:color w:val="000000" w:themeColor="text1"/>
        </w:rPr>
        <w:t xml:space="preserve"> in our patient</w:t>
      </w:r>
      <w:r w:rsidR="007A46F6" w:rsidRPr="00AB2A28">
        <w:rPr>
          <w:rFonts w:ascii="Arial" w:hAnsi="Arial" w:cs="Arial"/>
          <w:color w:val="000000" w:themeColor="text1"/>
        </w:rPr>
        <w:t xml:space="preserve">. </w:t>
      </w:r>
      <w:r w:rsidR="007A46F6">
        <w:rPr>
          <w:rFonts w:ascii="Arial" w:hAnsi="Arial" w:cs="Arial"/>
          <w:color w:val="000000" w:themeColor="text1"/>
        </w:rPr>
        <w:t>The t</w:t>
      </w:r>
      <w:r w:rsidR="007A46F6" w:rsidRPr="00AB2A28">
        <w:rPr>
          <w:rFonts w:ascii="Arial" w:hAnsi="Arial" w:cs="Arial"/>
          <w:color w:val="000000" w:themeColor="text1"/>
        </w:rPr>
        <w:t xml:space="preserve">imeline includes clinical findings at disease onset, clinical diagnosis at various ages, follow-up period, and age at death. Numbers within circles identify the age of the patient; y: years.  </w:t>
      </w:r>
    </w:p>
    <w:p w14:paraId="15C1CFD3" w14:textId="77777777" w:rsidR="007A46F6" w:rsidRDefault="007A46F6" w:rsidP="007A46F6">
      <w:pPr>
        <w:spacing w:line="480" w:lineRule="auto"/>
        <w:ind w:left="-270" w:right="720"/>
        <w:rPr>
          <w:rFonts w:ascii="Arial" w:hAnsi="Arial" w:cs="Arial"/>
          <w:color w:val="000000" w:themeColor="text1"/>
        </w:rPr>
      </w:pPr>
    </w:p>
    <w:p w14:paraId="474E7E62" w14:textId="77777777" w:rsidR="001635CD" w:rsidRDefault="001635CD" w:rsidP="001635CD">
      <w:pPr>
        <w:spacing w:line="480" w:lineRule="auto"/>
        <w:ind w:left="-270" w:right="720"/>
        <w:rPr>
          <w:rFonts w:ascii="Arial" w:hAnsi="Arial" w:cs="Arial"/>
          <w:color w:val="000000" w:themeColor="text1"/>
        </w:rPr>
      </w:pPr>
      <w:r w:rsidRPr="00F67FD9">
        <w:rPr>
          <w:rFonts w:ascii="Arial" w:hAnsi="Arial" w:cs="Arial"/>
          <w:color w:val="000000" w:themeColor="text1"/>
        </w:rPr>
        <w:t xml:space="preserve">Supplementary Figure </w:t>
      </w:r>
      <w:r w:rsidR="003C098F">
        <w:rPr>
          <w:rFonts w:ascii="Arial" w:hAnsi="Arial" w:cs="Arial"/>
          <w:color w:val="000000" w:themeColor="text1"/>
        </w:rPr>
        <w:t>S</w:t>
      </w:r>
      <w:r w:rsidR="00C90BE5">
        <w:rPr>
          <w:rFonts w:ascii="Arial" w:hAnsi="Arial" w:cs="Arial"/>
          <w:color w:val="000000" w:themeColor="text1"/>
        </w:rPr>
        <w:t>2</w:t>
      </w:r>
      <w:r w:rsidRPr="00F67FD9">
        <w:rPr>
          <w:rFonts w:ascii="Arial" w:hAnsi="Arial" w:cs="Arial"/>
          <w:color w:val="000000" w:themeColor="text1"/>
        </w:rPr>
        <w:t xml:space="preserve">. </w:t>
      </w:r>
      <w:r w:rsidRPr="00F67FD9">
        <w:rPr>
          <w:rFonts w:ascii="Arial" w:hAnsi="Arial" w:cs="Arial"/>
          <w:b/>
          <w:color w:val="000000" w:themeColor="text1"/>
        </w:rPr>
        <w:t>Flow diagram of PrP centrifugation</w:t>
      </w:r>
      <w:r w:rsidRPr="00F67FD9">
        <w:rPr>
          <w:rFonts w:ascii="Arial" w:hAnsi="Arial" w:cs="Arial"/>
          <w:color w:val="000000" w:themeColor="text1"/>
        </w:rPr>
        <w:t>. The following preparations were used</w:t>
      </w:r>
      <w:r>
        <w:rPr>
          <w:rFonts w:ascii="Arial" w:hAnsi="Arial" w:cs="Arial"/>
          <w:color w:val="000000" w:themeColor="text1"/>
        </w:rPr>
        <w:t>:</w:t>
      </w:r>
      <w:r w:rsidRPr="00F67FD9">
        <w:rPr>
          <w:rFonts w:ascii="Arial" w:hAnsi="Arial" w:cs="Arial"/>
          <w:color w:val="000000" w:themeColor="text1"/>
        </w:rPr>
        <w:t xml:space="preserve"> S1, obtained at low speed centrifugation (1,000 x g)</w:t>
      </w:r>
      <w:r>
        <w:rPr>
          <w:rFonts w:ascii="Arial" w:hAnsi="Arial" w:cs="Arial"/>
          <w:color w:val="000000" w:themeColor="text1"/>
        </w:rPr>
        <w:t>;</w:t>
      </w:r>
      <w:r w:rsidRPr="00F67FD9">
        <w:rPr>
          <w:rFonts w:ascii="Arial" w:hAnsi="Arial" w:cs="Arial"/>
          <w:color w:val="000000" w:themeColor="text1"/>
        </w:rPr>
        <w:t xml:space="preserve"> S2 or detergent-soluble fraction obtained following high speed centrifugation (100,000 x g) and containing the cellular PrP (PrP</w:t>
      </w:r>
      <w:r w:rsidRPr="00F67FD9">
        <w:rPr>
          <w:rFonts w:ascii="Arial" w:hAnsi="Arial" w:cs="Arial"/>
          <w:color w:val="000000" w:themeColor="text1"/>
          <w:vertAlign w:val="superscript"/>
        </w:rPr>
        <w:t>C</w:t>
      </w:r>
      <w:r>
        <w:rPr>
          <w:rFonts w:ascii="Arial" w:hAnsi="Arial" w:cs="Arial"/>
          <w:color w:val="000000" w:themeColor="text1"/>
        </w:rPr>
        <w:t>);</w:t>
      </w:r>
      <w:r w:rsidRPr="00F67FD9">
        <w:rPr>
          <w:rFonts w:ascii="Arial" w:hAnsi="Arial" w:cs="Arial"/>
          <w:color w:val="000000" w:themeColor="text1"/>
        </w:rPr>
        <w:t xml:space="preserve"> P2 or the detergent-insoluble or pellet fraction (100,000 x g) contains the pathological or disease-related PrP (PrP</w:t>
      </w:r>
      <w:r w:rsidRPr="00F67FD9">
        <w:rPr>
          <w:rFonts w:ascii="Arial" w:hAnsi="Arial" w:cs="Arial"/>
          <w:color w:val="000000" w:themeColor="text1"/>
          <w:vertAlign w:val="superscript"/>
        </w:rPr>
        <w:t>D</w:t>
      </w:r>
      <w:r w:rsidRPr="00F67FD9">
        <w:rPr>
          <w:rFonts w:ascii="Arial" w:hAnsi="Arial" w:cs="Arial"/>
          <w:color w:val="000000" w:themeColor="text1"/>
        </w:rPr>
        <w:t>). Buffers B and C have high con</w:t>
      </w:r>
      <w:r>
        <w:rPr>
          <w:rFonts w:ascii="Arial" w:hAnsi="Arial" w:cs="Arial"/>
          <w:color w:val="000000" w:themeColor="text1"/>
        </w:rPr>
        <w:t xml:space="preserve">tent of the detergent Sarkosyl. Mut.: mutated; </w:t>
      </w:r>
      <w:proofErr w:type="spellStart"/>
      <w:r>
        <w:rPr>
          <w:rFonts w:ascii="Arial" w:hAnsi="Arial" w:cs="Arial"/>
          <w:color w:val="000000" w:themeColor="text1"/>
        </w:rPr>
        <w:t>wt</w:t>
      </w:r>
      <w:proofErr w:type="spellEnd"/>
      <w:r>
        <w:rPr>
          <w:rFonts w:ascii="Arial" w:hAnsi="Arial" w:cs="Arial"/>
          <w:color w:val="000000" w:themeColor="text1"/>
        </w:rPr>
        <w:t>: wild-type.</w:t>
      </w:r>
    </w:p>
    <w:p w14:paraId="2953604D" w14:textId="77777777" w:rsidR="00AB2A28" w:rsidRDefault="00AB2A28" w:rsidP="001635CD">
      <w:pPr>
        <w:spacing w:line="480" w:lineRule="auto"/>
        <w:ind w:left="-270" w:right="720"/>
        <w:rPr>
          <w:rFonts w:ascii="Arial" w:hAnsi="Arial" w:cs="Arial"/>
          <w:color w:val="000000" w:themeColor="text1"/>
        </w:rPr>
      </w:pPr>
    </w:p>
    <w:p w14:paraId="7EA2369F" w14:textId="77777777" w:rsidR="004841AA" w:rsidRPr="003A22B2" w:rsidRDefault="004841AA" w:rsidP="009379B3">
      <w:pPr>
        <w:rPr>
          <w:rFonts w:ascii="Arial" w:hAnsi="Arial" w:cs="Arial"/>
        </w:rPr>
      </w:pPr>
    </w:p>
    <w:sectPr w:rsidR="004841AA" w:rsidRPr="003A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C8"/>
    <w:rsid w:val="001635CD"/>
    <w:rsid w:val="00235177"/>
    <w:rsid w:val="002E5150"/>
    <w:rsid w:val="003A22B2"/>
    <w:rsid w:val="003B62B8"/>
    <w:rsid w:val="003C098F"/>
    <w:rsid w:val="004212C8"/>
    <w:rsid w:val="004841AA"/>
    <w:rsid w:val="004E352F"/>
    <w:rsid w:val="005D3C57"/>
    <w:rsid w:val="007129BE"/>
    <w:rsid w:val="007A46F6"/>
    <w:rsid w:val="009379B3"/>
    <w:rsid w:val="00A1390D"/>
    <w:rsid w:val="00A7553B"/>
    <w:rsid w:val="00AB2A28"/>
    <w:rsid w:val="00BD256F"/>
    <w:rsid w:val="00C90BE5"/>
    <w:rsid w:val="00D3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8E94"/>
  <w15:chartTrackingRefBased/>
  <w15:docId w15:val="{14294956-B4F1-4402-B5D7-4060FCE2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9379B3"/>
    <w:pPr>
      <w:spacing w:after="240" w:line="240" w:lineRule="auto"/>
    </w:pPr>
  </w:style>
  <w:style w:type="paragraph" w:styleId="BalloonText">
    <w:name w:val="Balloon Text"/>
    <w:basedOn w:val="Normal"/>
    <w:link w:val="BalloonTextChar"/>
    <w:uiPriority w:val="99"/>
    <w:semiHidden/>
    <w:unhideWhenUsed/>
    <w:rsid w:val="00BD2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7354</Words>
  <Characters>41920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Cali</dc:creator>
  <cp:keywords/>
  <dc:description/>
  <cp:lastModifiedBy>Sean Thompson</cp:lastModifiedBy>
  <cp:revision>13</cp:revision>
  <dcterms:created xsi:type="dcterms:W3CDTF">2020-04-28T19:33:00Z</dcterms:created>
  <dcterms:modified xsi:type="dcterms:W3CDTF">2020-06-23T12:50:00Z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id="7kAQz3Z5"/&gt;&lt;style id="http://www.zotero.org/styles/brain" hasBibliography="1" bibliographyStyleHasBeenSet="1"/&gt;&lt;prefs&gt;&lt;pref name="fieldType" value="Field"/&gt;&lt;/prefs&gt;&lt;/data&gt;</vt:lpwstr>
  </property>
</Properties>
</file>