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0A4A2" w14:textId="377465AC" w:rsidR="00105ACC" w:rsidRDefault="00105ACC" w:rsidP="00105ACC">
      <w:pPr>
        <w:spacing w:after="0" w:line="240" w:lineRule="auto"/>
        <w:rPr>
          <w:rFonts w:ascii="Calibri" w:eastAsia="Calibri" w:hAnsi="Calibri" w:cs="Times New Roman"/>
          <w:b/>
          <w:bCs/>
          <w:sz w:val="18"/>
          <w:szCs w:val="18"/>
        </w:rPr>
      </w:pPr>
    </w:p>
    <w:p w14:paraId="1768B84A" w14:textId="771BA5F1" w:rsidR="00800191" w:rsidRDefault="00DB035C" w:rsidP="00DB035C">
      <w:pPr>
        <w:spacing w:after="120" w:line="240" w:lineRule="auto"/>
        <w:rPr>
          <w:rFonts w:ascii="Calibri" w:eastAsia="Calibri" w:hAnsi="Calibri" w:cs="Times New Roman"/>
          <w:b/>
          <w:bCs/>
          <w:sz w:val="18"/>
          <w:szCs w:val="18"/>
        </w:rPr>
      </w:pPr>
      <w:r w:rsidRPr="00DB035C">
        <w:rPr>
          <w:rFonts w:ascii="Calibri" w:eastAsia="Calibri" w:hAnsi="Calibri" w:cs="Times New Roman"/>
          <w:b/>
          <w:bCs/>
          <w:sz w:val="18"/>
          <w:szCs w:val="18"/>
        </w:rPr>
        <w:t>Table S</w:t>
      </w:r>
      <w:bookmarkStart w:id="0" w:name="_GoBack"/>
      <w:bookmarkEnd w:id="0"/>
      <w:r w:rsidR="00A44AAE" w:rsidRPr="008E4BAB">
        <w:rPr>
          <w:rFonts w:ascii="Calibri" w:eastAsia="Calibri" w:hAnsi="Calibri" w:cs="Times New Roman"/>
          <w:b/>
          <w:bCs/>
          <w:sz w:val="18"/>
          <w:szCs w:val="18"/>
        </w:rPr>
        <w:t>2</w:t>
      </w:r>
      <w:r w:rsidRPr="008E4BAB">
        <w:rPr>
          <w:rFonts w:ascii="Calibri" w:eastAsia="Calibri" w:hAnsi="Calibri" w:cs="Times New Roman"/>
          <w:b/>
          <w:bCs/>
          <w:sz w:val="18"/>
          <w:szCs w:val="18"/>
        </w:rPr>
        <w:t>.</w:t>
      </w:r>
      <w:r w:rsidRPr="00DB035C">
        <w:rPr>
          <w:rFonts w:ascii="Calibri" w:eastAsia="Calibri" w:hAnsi="Calibri" w:cs="Times New Roman"/>
          <w:b/>
          <w:bCs/>
          <w:sz w:val="18"/>
          <w:szCs w:val="18"/>
        </w:rPr>
        <w:t xml:space="preserve"> All analysed barriers (B) and facilitators (F) to</w:t>
      </w:r>
      <w:r w:rsidR="00386A11" w:rsidRPr="00386A11">
        <w:rPr>
          <w:rFonts w:ascii="Calibri" w:eastAsia="Calibri" w:hAnsi="Calibri" w:cs="Times New Roman"/>
          <w:b/>
          <w:bCs/>
          <w:sz w:val="18"/>
          <w:szCs w:val="18"/>
        </w:rPr>
        <w:t xml:space="preserve"> implementing an antibiotic stewardship programme (ASP) or an ASP-supporting strategy</w:t>
      </w:r>
    </w:p>
    <w:tbl>
      <w:tblPr>
        <w:tblStyle w:val="ListTable3-Accent3"/>
        <w:tblW w:w="14034" w:type="dxa"/>
        <w:tblInd w:w="-5" w:type="dxa"/>
        <w:tblLayout w:type="fixed"/>
        <w:tblLook w:val="04A0" w:firstRow="1" w:lastRow="0" w:firstColumn="1" w:lastColumn="0" w:noHBand="0" w:noVBand="1"/>
      </w:tblPr>
      <w:tblGrid>
        <w:gridCol w:w="1418"/>
        <w:gridCol w:w="9214"/>
        <w:gridCol w:w="1701"/>
        <w:gridCol w:w="1701"/>
      </w:tblGrid>
      <w:tr w:rsidR="00DB035C" w:rsidRPr="00105ACC" w14:paraId="07B864D2" w14:textId="77777777" w:rsidTr="00DB035C">
        <w:trPr>
          <w:cnfStyle w:val="100000000000" w:firstRow="1" w:lastRow="0" w:firstColumn="0" w:lastColumn="0" w:oddVBand="0" w:evenVBand="0" w:oddHBand="0" w:evenHBand="0" w:firstRowFirstColumn="0" w:firstRowLastColumn="0" w:lastRowFirstColumn="0" w:lastRowLastColumn="0"/>
          <w:trHeight w:val="209"/>
        </w:trPr>
        <w:tc>
          <w:tcPr>
            <w:cnfStyle w:val="001000000100" w:firstRow="0" w:lastRow="0" w:firstColumn="1" w:lastColumn="0" w:oddVBand="0" w:evenVBand="0" w:oddHBand="0" w:evenHBand="0" w:firstRowFirstColumn="1" w:firstRowLastColumn="0" w:lastRowFirstColumn="0" w:lastRowLastColumn="0"/>
            <w:tcW w:w="1418" w:type="dxa"/>
          </w:tcPr>
          <w:p w14:paraId="76B3F398" w14:textId="77777777" w:rsidR="00DB035C" w:rsidRPr="00105ACC" w:rsidRDefault="00DB035C" w:rsidP="007805FC">
            <w:pPr>
              <w:rPr>
                <w:rFonts w:ascii="Calibri" w:eastAsia="Calibri" w:hAnsi="Calibri" w:cs="Times New Roman"/>
                <w:sz w:val="18"/>
                <w:szCs w:val="18"/>
              </w:rPr>
            </w:pPr>
            <w:r w:rsidRPr="00105ACC">
              <w:rPr>
                <w:rFonts w:ascii="Calibri" w:eastAsia="Calibri" w:hAnsi="Calibri" w:cs="Times New Roman"/>
                <w:sz w:val="18"/>
                <w:szCs w:val="18"/>
              </w:rPr>
              <w:t>TDF domains</w:t>
            </w:r>
          </w:p>
        </w:tc>
        <w:tc>
          <w:tcPr>
            <w:tcW w:w="9214" w:type="dxa"/>
          </w:tcPr>
          <w:p w14:paraId="709514CA" w14:textId="070D5948" w:rsidR="00DB035C" w:rsidRPr="00105ACC" w:rsidRDefault="00C816D8" w:rsidP="007805FC">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E</w:t>
            </w:r>
            <w:r w:rsidR="005339AD">
              <w:rPr>
                <w:rFonts w:ascii="Calibri" w:eastAsia="Calibri" w:hAnsi="Calibri" w:cs="Times New Roman"/>
                <w:sz w:val="18"/>
                <w:szCs w:val="18"/>
              </w:rPr>
              <w:t xml:space="preserve">xact quotes from </w:t>
            </w:r>
            <w:r>
              <w:rPr>
                <w:rFonts w:ascii="Calibri" w:eastAsia="Calibri" w:hAnsi="Calibri" w:cs="Times New Roman"/>
                <w:sz w:val="18"/>
                <w:szCs w:val="18"/>
              </w:rPr>
              <w:t xml:space="preserve">the included studies </w:t>
            </w:r>
            <w:r w:rsidR="00DB035C">
              <w:rPr>
                <w:rFonts w:ascii="Calibri" w:eastAsia="Calibri" w:hAnsi="Calibri" w:cs="Times New Roman"/>
                <w:sz w:val="18"/>
                <w:szCs w:val="18"/>
              </w:rPr>
              <w:t>[our comment]</w:t>
            </w:r>
          </w:p>
        </w:tc>
        <w:tc>
          <w:tcPr>
            <w:tcW w:w="1701" w:type="dxa"/>
          </w:tcPr>
          <w:p w14:paraId="224B6BEA" w14:textId="77777777" w:rsidR="00DB035C" w:rsidRPr="00105ACC" w:rsidRDefault="00DB035C" w:rsidP="007D5598">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Study</w:t>
            </w:r>
            <w:r>
              <w:rPr>
                <w:rFonts w:ascii="Calibri" w:eastAsia="Calibri" w:hAnsi="Calibri" w:cs="Times New Roman"/>
                <w:sz w:val="18"/>
                <w:szCs w:val="18"/>
              </w:rPr>
              <w:t xml:space="preserve"> </w:t>
            </w:r>
          </w:p>
        </w:tc>
        <w:tc>
          <w:tcPr>
            <w:tcW w:w="1701" w:type="dxa"/>
          </w:tcPr>
          <w:p w14:paraId="4277C474" w14:textId="77777777" w:rsidR="00DB035C" w:rsidRPr="00105ACC" w:rsidRDefault="00DB035C" w:rsidP="007805FC">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Applicability</w:t>
            </w:r>
          </w:p>
        </w:tc>
      </w:tr>
      <w:tr w:rsidR="000766FA" w:rsidRPr="00105ACC" w14:paraId="0CB63968" w14:textId="77777777" w:rsidTr="00DB035C">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418" w:type="dxa"/>
            <w:vMerge w:val="restart"/>
          </w:tcPr>
          <w:p w14:paraId="04F27620" w14:textId="77777777" w:rsidR="000766FA" w:rsidRDefault="000766FA" w:rsidP="000766FA">
            <w:pPr>
              <w:rPr>
                <w:rFonts w:ascii="Calibri" w:eastAsia="Calibri" w:hAnsi="Calibri" w:cs="Times New Roman"/>
                <w:sz w:val="18"/>
                <w:szCs w:val="18"/>
              </w:rPr>
            </w:pPr>
            <w:r w:rsidRPr="00105ACC">
              <w:rPr>
                <w:rFonts w:ascii="Calibri" w:eastAsia="Calibri" w:hAnsi="Calibri" w:cs="Times New Roman"/>
                <w:sz w:val="18"/>
                <w:szCs w:val="18"/>
              </w:rPr>
              <w:t>Behavioural regulation</w:t>
            </w:r>
          </w:p>
          <w:p w14:paraId="64AA4AD1" w14:textId="77777777" w:rsidR="000766FA" w:rsidRDefault="000766FA" w:rsidP="000766FA">
            <w:pPr>
              <w:rPr>
                <w:rFonts w:ascii="Calibri" w:eastAsia="Calibri" w:hAnsi="Calibri" w:cs="Times New Roman"/>
                <w:sz w:val="18"/>
                <w:szCs w:val="18"/>
              </w:rPr>
            </w:pPr>
          </w:p>
          <w:p w14:paraId="74051FAB" w14:textId="77777777" w:rsidR="000766FA" w:rsidRDefault="000766FA" w:rsidP="000766FA">
            <w:pPr>
              <w:rPr>
                <w:rFonts w:ascii="Calibri" w:eastAsia="Calibri" w:hAnsi="Calibri" w:cs="Times New Roman"/>
                <w:sz w:val="18"/>
                <w:szCs w:val="18"/>
              </w:rPr>
            </w:pPr>
          </w:p>
          <w:p w14:paraId="039CEAF8" w14:textId="77777777" w:rsidR="000766FA" w:rsidRDefault="000766FA" w:rsidP="000766FA">
            <w:pPr>
              <w:rPr>
                <w:rFonts w:ascii="Calibri" w:eastAsia="Calibri" w:hAnsi="Calibri" w:cs="Times New Roman"/>
                <w:sz w:val="18"/>
                <w:szCs w:val="18"/>
              </w:rPr>
            </w:pPr>
          </w:p>
          <w:p w14:paraId="35EEEBB5" w14:textId="77777777" w:rsidR="000766FA" w:rsidRDefault="000766FA" w:rsidP="000766FA">
            <w:pPr>
              <w:rPr>
                <w:rFonts w:ascii="Calibri" w:eastAsia="Calibri" w:hAnsi="Calibri" w:cs="Times New Roman"/>
                <w:sz w:val="18"/>
                <w:szCs w:val="18"/>
              </w:rPr>
            </w:pPr>
          </w:p>
          <w:p w14:paraId="29D560C3" w14:textId="77777777" w:rsidR="000766FA" w:rsidRDefault="000766FA" w:rsidP="000766FA">
            <w:pPr>
              <w:rPr>
                <w:rFonts w:ascii="Calibri" w:eastAsia="Calibri" w:hAnsi="Calibri" w:cs="Times New Roman"/>
                <w:sz w:val="18"/>
                <w:szCs w:val="18"/>
              </w:rPr>
            </w:pPr>
          </w:p>
          <w:p w14:paraId="79EDE2CA" w14:textId="77777777" w:rsidR="000766FA" w:rsidRDefault="000766FA" w:rsidP="000766FA">
            <w:pPr>
              <w:rPr>
                <w:rFonts w:ascii="Calibri" w:eastAsia="Calibri" w:hAnsi="Calibri" w:cs="Times New Roman"/>
                <w:sz w:val="18"/>
                <w:szCs w:val="18"/>
              </w:rPr>
            </w:pPr>
          </w:p>
          <w:p w14:paraId="36226A4D" w14:textId="77777777" w:rsidR="000766FA" w:rsidRDefault="000766FA" w:rsidP="000766FA">
            <w:pPr>
              <w:rPr>
                <w:rFonts w:ascii="Calibri" w:eastAsia="Calibri" w:hAnsi="Calibri" w:cs="Times New Roman"/>
                <w:sz w:val="18"/>
                <w:szCs w:val="18"/>
              </w:rPr>
            </w:pPr>
          </w:p>
          <w:p w14:paraId="6154DCD2" w14:textId="77777777" w:rsidR="000766FA" w:rsidRDefault="000766FA" w:rsidP="000766FA">
            <w:pPr>
              <w:rPr>
                <w:rFonts w:ascii="Calibri" w:eastAsia="Calibri" w:hAnsi="Calibri" w:cs="Times New Roman"/>
                <w:sz w:val="18"/>
                <w:szCs w:val="18"/>
              </w:rPr>
            </w:pPr>
          </w:p>
          <w:p w14:paraId="0FA83DC2" w14:textId="77777777" w:rsidR="000766FA" w:rsidRDefault="000766FA" w:rsidP="000766FA">
            <w:pPr>
              <w:rPr>
                <w:rFonts w:ascii="Calibri" w:eastAsia="Calibri" w:hAnsi="Calibri" w:cs="Times New Roman"/>
                <w:sz w:val="18"/>
                <w:szCs w:val="18"/>
              </w:rPr>
            </w:pPr>
          </w:p>
          <w:p w14:paraId="4455EA4F" w14:textId="77777777" w:rsidR="000766FA" w:rsidRDefault="000766FA" w:rsidP="000766FA">
            <w:pPr>
              <w:rPr>
                <w:rFonts w:ascii="Calibri" w:eastAsia="Calibri" w:hAnsi="Calibri" w:cs="Times New Roman"/>
                <w:sz w:val="18"/>
                <w:szCs w:val="18"/>
              </w:rPr>
            </w:pPr>
          </w:p>
          <w:p w14:paraId="2F0AA055" w14:textId="77777777" w:rsidR="000766FA" w:rsidRDefault="000766FA" w:rsidP="000766FA">
            <w:pPr>
              <w:rPr>
                <w:rFonts w:ascii="Calibri" w:eastAsia="Calibri" w:hAnsi="Calibri" w:cs="Times New Roman"/>
                <w:sz w:val="18"/>
                <w:szCs w:val="18"/>
              </w:rPr>
            </w:pPr>
          </w:p>
          <w:p w14:paraId="652A19CB" w14:textId="77777777" w:rsidR="000766FA" w:rsidRDefault="000766FA" w:rsidP="000766FA">
            <w:pPr>
              <w:rPr>
                <w:rFonts w:ascii="Calibri" w:eastAsia="Calibri" w:hAnsi="Calibri" w:cs="Times New Roman"/>
                <w:sz w:val="18"/>
                <w:szCs w:val="18"/>
              </w:rPr>
            </w:pPr>
          </w:p>
          <w:p w14:paraId="549A263D" w14:textId="727EC903" w:rsidR="000766FA" w:rsidRPr="00105ACC" w:rsidRDefault="000766FA" w:rsidP="000766FA">
            <w:pPr>
              <w:rPr>
                <w:rFonts w:ascii="Calibri" w:eastAsia="Calibri" w:hAnsi="Calibri" w:cs="Times New Roman"/>
                <w:sz w:val="18"/>
                <w:szCs w:val="18"/>
              </w:rPr>
            </w:pPr>
          </w:p>
        </w:tc>
        <w:tc>
          <w:tcPr>
            <w:tcW w:w="9214" w:type="dxa"/>
          </w:tcPr>
          <w:p w14:paraId="117928B3" w14:textId="77777777" w:rsidR="000766FA" w:rsidRPr="00B77E30" w:rsidRDefault="000766FA" w:rsidP="004F631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B77E30">
              <w:rPr>
                <w:rFonts w:ascii="Calibri" w:eastAsia="Calibri" w:hAnsi="Calibri" w:cs="Times New Roman"/>
                <w:sz w:val="18"/>
                <w:szCs w:val="18"/>
              </w:rPr>
              <w:t>“Locally we need to finalise guidelines and then begin to develop our audit and feedback processes.</w:t>
            </w:r>
            <w:r>
              <w:rPr>
                <w:rFonts w:ascii="Calibri" w:eastAsia="Calibri" w:hAnsi="Calibri" w:cs="Times New Roman"/>
                <w:sz w:val="18"/>
                <w:szCs w:val="18"/>
              </w:rPr>
              <w:t xml:space="preserve"> </w:t>
            </w:r>
            <w:r w:rsidRPr="00B77E30">
              <w:rPr>
                <w:rFonts w:ascii="Calibri" w:eastAsia="Calibri" w:hAnsi="Calibri" w:cs="Times New Roman"/>
                <w:sz w:val="18"/>
                <w:szCs w:val="18"/>
              </w:rPr>
              <w:t>(UK</w:t>
            </w:r>
            <w:proofErr w:type="gramStart"/>
            <w:r w:rsidRPr="00B77E30">
              <w:rPr>
                <w:rFonts w:ascii="Calibri" w:eastAsia="Calibri" w:hAnsi="Calibri" w:cs="Times New Roman"/>
                <w:sz w:val="18"/>
                <w:szCs w:val="18"/>
              </w:rPr>
              <w:t>)“</w:t>
            </w:r>
            <w:proofErr w:type="gramEnd"/>
          </w:p>
          <w:p w14:paraId="701B147F" w14:textId="77777777" w:rsidR="000766FA" w:rsidRPr="00B77E30" w:rsidRDefault="000766FA" w:rsidP="004F6318">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18"/>
                <w:szCs w:val="18"/>
              </w:rPr>
            </w:pPr>
            <w:r w:rsidRPr="00B77E30">
              <w:rPr>
                <w:rFonts w:ascii="Calibri" w:eastAsia="Calibri" w:hAnsi="Calibri" w:cs="Times New Roman"/>
                <w:sz w:val="18"/>
                <w:szCs w:val="18"/>
              </w:rPr>
              <w:t xml:space="preserve">“I think we have a comprehensive AMS which was identified by the SHA </w:t>
            </w:r>
            <w:r>
              <w:rPr>
                <w:rFonts w:ascii="Calibri" w:eastAsia="Calibri" w:hAnsi="Calibri" w:cs="Times New Roman"/>
                <w:sz w:val="18"/>
                <w:szCs w:val="18"/>
              </w:rPr>
              <w:t>[</w:t>
            </w:r>
            <w:r w:rsidRPr="00800191">
              <w:rPr>
                <w:sz w:val="18"/>
                <w:szCs w:val="18"/>
              </w:rPr>
              <w:t>Strategic Healthcare Authority</w:t>
            </w:r>
            <w:r>
              <w:rPr>
                <w:rFonts w:ascii="Calibri" w:eastAsia="Calibri" w:hAnsi="Calibri" w:cs="Times New Roman"/>
                <w:sz w:val="18"/>
                <w:szCs w:val="18"/>
              </w:rPr>
              <w:t xml:space="preserve">] </w:t>
            </w:r>
            <w:r w:rsidRPr="00B77E30">
              <w:rPr>
                <w:rFonts w:ascii="Calibri" w:eastAsia="Calibri" w:hAnsi="Calibri" w:cs="Times New Roman"/>
                <w:sz w:val="18"/>
                <w:szCs w:val="18"/>
              </w:rPr>
              <w:t xml:space="preserve">as a role model in the South East and I can see the main key strategy is to make sure all the trusts know how to implement </w:t>
            </w:r>
            <w:proofErr w:type="spellStart"/>
            <w:r w:rsidRPr="00B77E30">
              <w:rPr>
                <w:rFonts w:ascii="Calibri" w:eastAsia="Calibri" w:hAnsi="Calibri" w:cs="Times New Roman"/>
                <w:sz w:val="18"/>
                <w:szCs w:val="18"/>
              </w:rPr>
              <w:t>DoH</w:t>
            </w:r>
            <w:proofErr w:type="spellEnd"/>
            <w:r w:rsidRPr="00B77E30">
              <w:rPr>
                <w:rFonts w:ascii="Calibri" w:eastAsia="Calibri" w:hAnsi="Calibri" w:cs="Times New Roman"/>
                <w:sz w:val="18"/>
                <w:szCs w:val="18"/>
              </w:rPr>
              <w:t xml:space="preserve"> </w:t>
            </w:r>
            <w:r>
              <w:rPr>
                <w:rFonts w:ascii="Calibri" w:eastAsia="Calibri" w:hAnsi="Calibri" w:cs="Times New Roman"/>
                <w:sz w:val="18"/>
                <w:szCs w:val="18"/>
              </w:rPr>
              <w:t>[</w:t>
            </w:r>
            <w:r w:rsidRPr="00800191">
              <w:rPr>
                <w:sz w:val="18"/>
                <w:szCs w:val="18"/>
              </w:rPr>
              <w:t>Department of Health</w:t>
            </w:r>
            <w:r>
              <w:rPr>
                <w:rFonts w:ascii="Calibri" w:eastAsia="Calibri" w:hAnsi="Calibri" w:cs="Times New Roman"/>
                <w:sz w:val="18"/>
                <w:szCs w:val="18"/>
              </w:rPr>
              <w:t xml:space="preserve">] </w:t>
            </w:r>
            <w:r w:rsidRPr="00B77E30">
              <w:rPr>
                <w:rFonts w:ascii="Calibri" w:eastAsia="Calibri" w:hAnsi="Calibri" w:cs="Times New Roman"/>
                <w:sz w:val="18"/>
                <w:szCs w:val="18"/>
              </w:rPr>
              <w:t>Guidelines</w:t>
            </w:r>
            <w:r>
              <w:rPr>
                <w:rFonts w:ascii="Calibri" w:eastAsia="Calibri" w:hAnsi="Calibri" w:cs="Times New Roman"/>
                <w:sz w:val="18"/>
                <w:szCs w:val="18"/>
              </w:rPr>
              <w:t>.</w:t>
            </w:r>
            <w:r w:rsidRPr="00B77E30">
              <w:rPr>
                <w:rFonts w:ascii="Calibri" w:eastAsia="Calibri" w:hAnsi="Calibri" w:cs="Times New Roman"/>
                <w:sz w:val="18"/>
                <w:szCs w:val="18"/>
              </w:rPr>
              <w:t xml:space="preserve"> (UK)”</w:t>
            </w:r>
            <w:r w:rsidRPr="00B77E30">
              <w:rPr>
                <w:rFonts w:ascii="Calibri" w:eastAsia="Calibri" w:hAnsi="Calibri" w:cs="Times New Roman"/>
                <w:b/>
                <w:sz w:val="18"/>
                <w:szCs w:val="18"/>
              </w:rPr>
              <w:t xml:space="preserve"> </w:t>
            </w:r>
          </w:p>
          <w:p w14:paraId="4C385DA3" w14:textId="4A668F8D" w:rsidR="000766FA" w:rsidRPr="000766FA" w:rsidRDefault="000766FA" w:rsidP="004F6318">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0766FA">
              <w:rPr>
                <w:rFonts w:ascii="Calibri" w:eastAsia="Calibri" w:hAnsi="Calibri" w:cs="Times New Roman"/>
                <w:sz w:val="18"/>
              </w:rPr>
              <w:t>“Electronic prescribing would make monitoring much easier and feedback immediate and effective in changing prescribing patterns. (UK</w:t>
            </w:r>
            <w:proofErr w:type="gramStart"/>
            <w:r w:rsidRPr="000766FA">
              <w:rPr>
                <w:rFonts w:ascii="Calibri" w:eastAsia="Calibri" w:hAnsi="Calibri" w:cs="Times New Roman"/>
                <w:sz w:val="18"/>
              </w:rPr>
              <w:t>)“</w:t>
            </w:r>
            <w:proofErr w:type="gramEnd"/>
          </w:p>
        </w:tc>
        <w:tc>
          <w:tcPr>
            <w:tcW w:w="1701" w:type="dxa"/>
          </w:tcPr>
          <w:p w14:paraId="296D0351" w14:textId="323B1C15" w:rsidR="000766FA" w:rsidRPr="00105ACC"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Fleming, 2015</w:t>
            </w:r>
            <w:r>
              <w:rPr>
                <w:rFonts w:ascii="Calibri" w:eastAsia="Calibri" w:hAnsi="Calibri" w:cs="Times New Roman"/>
                <w:sz w:val="18"/>
                <w:szCs w:val="18"/>
                <w:vertAlign w:val="superscript"/>
              </w:rPr>
              <w:t>F</w:t>
            </w:r>
          </w:p>
        </w:tc>
        <w:tc>
          <w:tcPr>
            <w:tcW w:w="1701" w:type="dxa"/>
          </w:tcPr>
          <w:p w14:paraId="67002C74" w14:textId="20B12E51" w:rsidR="000766FA" w:rsidRPr="00105ACC"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G</w:t>
            </w:r>
            <w:r>
              <w:rPr>
                <w:rFonts w:ascii="Calibri" w:eastAsia="Calibri" w:hAnsi="Calibri" w:cs="Times New Roman"/>
                <w:sz w:val="18"/>
                <w:szCs w:val="18"/>
              </w:rPr>
              <w:t>eneric</w:t>
            </w:r>
          </w:p>
        </w:tc>
      </w:tr>
      <w:tr w:rsidR="000766FA" w:rsidRPr="00105ACC" w14:paraId="4B70A4A8" w14:textId="77777777" w:rsidTr="00DB035C">
        <w:trPr>
          <w:trHeight w:val="433"/>
        </w:trPr>
        <w:tc>
          <w:tcPr>
            <w:cnfStyle w:val="001000000000" w:firstRow="0" w:lastRow="0" w:firstColumn="1" w:lastColumn="0" w:oddVBand="0" w:evenVBand="0" w:oddHBand="0" w:evenHBand="0" w:firstRowFirstColumn="0" w:firstRowLastColumn="0" w:lastRowFirstColumn="0" w:lastRowLastColumn="0"/>
            <w:tcW w:w="1418" w:type="dxa"/>
            <w:vMerge/>
          </w:tcPr>
          <w:p w14:paraId="32B9ABDF" w14:textId="77777777" w:rsidR="000766FA" w:rsidRPr="00105ACC" w:rsidRDefault="000766FA" w:rsidP="000766FA">
            <w:pPr>
              <w:rPr>
                <w:rFonts w:ascii="Calibri" w:eastAsia="Calibri" w:hAnsi="Calibri" w:cs="Times New Roman"/>
                <w:sz w:val="18"/>
                <w:szCs w:val="18"/>
              </w:rPr>
            </w:pPr>
          </w:p>
        </w:tc>
        <w:tc>
          <w:tcPr>
            <w:tcW w:w="9214" w:type="dxa"/>
          </w:tcPr>
          <w:p w14:paraId="7302FDEF" w14:textId="77777777" w:rsidR="000766FA" w:rsidRDefault="000766FA" w:rsidP="004F631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415625">
              <w:rPr>
                <w:rFonts w:ascii="Calibri" w:eastAsia="Calibri" w:hAnsi="Calibri" w:cs="Times New Roman"/>
                <w:sz w:val="18"/>
                <w:szCs w:val="18"/>
              </w:rPr>
              <w:t>“Insufficient ID or ASP input into local clinical practice guidelines” [Inclusion of antimicrobial stewardship guidance in internally derived clinical practice guidelines is a barrier]</w:t>
            </w:r>
          </w:p>
          <w:p w14:paraId="330BB2B1" w14:textId="7BB8CE90" w:rsidR="000766FA" w:rsidRPr="00415625" w:rsidRDefault="000766FA" w:rsidP="000766FA">
            <w:pPr>
              <w:ind w:left="340" w:hanging="34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 xml:space="preserve">(B) </w:t>
            </w:r>
            <w:proofErr w:type="gramStart"/>
            <w:r>
              <w:rPr>
                <w:rFonts w:ascii="Calibri" w:eastAsia="Calibri" w:hAnsi="Calibri" w:cs="Times New Roman"/>
                <w:sz w:val="18"/>
                <w:szCs w:val="18"/>
              </w:rPr>
              <w:t xml:space="preserve">   </w:t>
            </w:r>
            <w:r w:rsidRPr="00652671">
              <w:rPr>
                <w:sz w:val="18"/>
                <w:szCs w:val="18"/>
              </w:rPr>
              <w:t>“</w:t>
            </w:r>
            <w:proofErr w:type="gramEnd"/>
            <w:r w:rsidRPr="00652671">
              <w:rPr>
                <w:sz w:val="18"/>
                <w:szCs w:val="18"/>
              </w:rPr>
              <w:t>Oncology clinicians follow externally derived collaborative group protocols” [Inclusion of antimicrobial stewardship guidance in externally derived collaborative group protocols is a barrier]</w:t>
            </w:r>
          </w:p>
        </w:tc>
        <w:tc>
          <w:tcPr>
            <w:tcW w:w="1701" w:type="dxa"/>
          </w:tcPr>
          <w:p w14:paraId="62D30F88" w14:textId="0011014A" w:rsidR="000766FA" w:rsidRPr="00105ACC"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Wolf, 2016</w:t>
            </w:r>
            <w:r>
              <w:rPr>
                <w:rFonts w:ascii="Calibri" w:eastAsia="Calibri" w:hAnsi="Calibri" w:cs="Times New Roman"/>
                <w:sz w:val="18"/>
                <w:szCs w:val="18"/>
                <w:vertAlign w:val="superscript"/>
              </w:rPr>
              <w:t>G</w:t>
            </w:r>
          </w:p>
        </w:tc>
        <w:tc>
          <w:tcPr>
            <w:tcW w:w="1701" w:type="dxa"/>
          </w:tcPr>
          <w:p w14:paraId="1D5B1CE8" w14:textId="276B209E" w:rsidR="000766FA" w:rsidRPr="00105ACC"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G</w:t>
            </w:r>
            <w:r>
              <w:rPr>
                <w:rFonts w:ascii="Calibri" w:eastAsia="Calibri" w:hAnsi="Calibri" w:cs="Times New Roman"/>
                <w:sz w:val="18"/>
                <w:szCs w:val="18"/>
              </w:rPr>
              <w:t>eneric</w:t>
            </w:r>
          </w:p>
        </w:tc>
      </w:tr>
      <w:tr w:rsidR="000766FA" w:rsidRPr="00105ACC" w14:paraId="44729566" w14:textId="77777777" w:rsidTr="00DB035C">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418" w:type="dxa"/>
            <w:vMerge/>
          </w:tcPr>
          <w:p w14:paraId="5D3650E1" w14:textId="77777777" w:rsidR="000766FA" w:rsidRPr="00105ACC" w:rsidRDefault="000766FA" w:rsidP="000766FA">
            <w:pPr>
              <w:rPr>
                <w:rFonts w:ascii="Calibri" w:eastAsia="Calibri" w:hAnsi="Calibri" w:cs="Times New Roman"/>
                <w:sz w:val="18"/>
                <w:szCs w:val="18"/>
              </w:rPr>
            </w:pPr>
          </w:p>
        </w:tc>
        <w:tc>
          <w:tcPr>
            <w:tcW w:w="9214" w:type="dxa"/>
          </w:tcPr>
          <w:p w14:paraId="4C0F93A9" w14:textId="77777777" w:rsidR="000766FA" w:rsidRPr="00B77E30" w:rsidRDefault="000766FA" w:rsidP="004F631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B77E30">
              <w:rPr>
                <w:rFonts w:ascii="Calibri" w:eastAsia="Calibri" w:hAnsi="Calibri" w:cs="Times New Roman"/>
                <w:sz w:val="18"/>
                <w:szCs w:val="18"/>
              </w:rPr>
              <w:t>Lack of national or international guidelines on AST results selective reporting (e.g. Each laboratory applies its own strategy for selective reporting of AST results, or does not use selective reporting at all)</w:t>
            </w:r>
            <w:r>
              <w:rPr>
                <w:rFonts w:ascii="Calibri" w:eastAsia="Calibri" w:hAnsi="Calibri" w:cs="Times New Roman"/>
                <w:sz w:val="18"/>
                <w:szCs w:val="18"/>
              </w:rPr>
              <w:t>”</w:t>
            </w:r>
          </w:p>
          <w:p w14:paraId="07C9C0D3" w14:textId="0CA08ACC" w:rsidR="000766FA" w:rsidRPr="00B77E30" w:rsidRDefault="000766FA" w:rsidP="004F6318">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B77E30">
              <w:rPr>
                <w:rFonts w:ascii="Calibri" w:eastAsia="Calibri" w:hAnsi="Calibri" w:cs="Times New Roman"/>
                <w:sz w:val="18"/>
                <w:szCs w:val="18"/>
              </w:rPr>
              <w:t>Difficult applicability to complicated cases (e.g. Polymicrobial infections, PK/PD factors</w:t>
            </w:r>
            <w:r>
              <w:rPr>
                <w:rFonts w:ascii="Calibri" w:eastAsia="Calibri" w:hAnsi="Calibri" w:cs="Times New Roman"/>
                <w:sz w:val="18"/>
                <w:szCs w:val="18"/>
              </w:rPr>
              <w:t xml:space="preserve"> [</w:t>
            </w:r>
            <w:r w:rsidRPr="002671F1">
              <w:rPr>
                <w:rFonts w:ascii="Calibri" w:eastAsia="Calibri" w:hAnsi="Calibri" w:cs="Times New Roman"/>
                <w:sz w:val="18"/>
                <w:szCs w:val="18"/>
              </w:rPr>
              <w:t>pharmacodynamics/</w:t>
            </w:r>
            <w:r>
              <w:rPr>
                <w:rFonts w:ascii="Calibri" w:eastAsia="Calibri" w:hAnsi="Calibri" w:cs="Times New Roman"/>
                <w:sz w:val="18"/>
                <w:szCs w:val="18"/>
              </w:rPr>
              <w:t xml:space="preserve"> </w:t>
            </w:r>
            <w:r w:rsidRPr="002671F1">
              <w:rPr>
                <w:rFonts w:ascii="Calibri" w:eastAsia="Calibri" w:hAnsi="Calibri" w:cs="Times New Roman"/>
                <w:sz w:val="18"/>
                <w:szCs w:val="18"/>
              </w:rPr>
              <w:t>pharmacokinetics</w:t>
            </w:r>
            <w:r>
              <w:rPr>
                <w:rFonts w:ascii="Calibri" w:eastAsia="Calibri" w:hAnsi="Calibri" w:cs="Times New Roman"/>
                <w:sz w:val="18"/>
                <w:szCs w:val="18"/>
              </w:rPr>
              <w:t>]</w:t>
            </w:r>
            <w:r w:rsidRPr="00B77E30">
              <w:rPr>
                <w:rFonts w:ascii="Calibri" w:eastAsia="Calibri" w:hAnsi="Calibri" w:cs="Times New Roman"/>
                <w:sz w:val="18"/>
                <w:szCs w:val="18"/>
              </w:rPr>
              <w:t>, severe infections and other factors make selective reporting difficult to use in some patients)</w:t>
            </w:r>
            <w:r>
              <w:rPr>
                <w:rFonts w:ascii="Calibri" w:eastAsia="Calibri" w:hAnsi="Calibri" w:cs="Times New Roman"/>
                <w:sz w:val="18"/>
                <w:szCs w:val="18"/>
              </w:rPr>
              <w:t>”</w:t>
            </w:r>
          </w:p>
        </w:tc>
        <w:tc>
          <w:tcPr>
            <w:tcW w:w="1701" w:type="dxa"/>
          </w:tcPr>
          <w:p w14:paraId="618D2A7B" w14:textId="4B751DC2" w:rsidR="000766FA" w:rsidRPr="00105ACC"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roofErr w:type="spellStart"/>
            <w:r w:rsidRPr="00105ACC">
              <w:rPr>
                <w:rFonts w:ascii="Calibri" w:eastAsia="Calibri" w:hAnsi="Calibri" w:cs="Times New Roman"/>
                <w:sz w:val="18"/>
                <w:szCs w:val="18"/>
              </w:rPr>
              <w:t>P</w:t>
            </w:r>
            <w:r>
              <w:rPr>
                <w:rFonts w:ascii="Calibri" w:eastAsia="Calibri" w:hAnsi="Calibri" w:cs="Times New Roman"/>
                <w:sz w:val="18"/>
                <w:szCs w:val="18"/>
              </w:rPr>
              <w:t>ulcini</w:t>
            </w:r>
            <w:proofErr w:type="spellEnd"/>
            <w:r>
              <w:rPr>
                <w:rFonts w:ascii="Calibri" w:eastAsia="Calibri" w:hAnsi="Calibri" w:cs="Times New Roman"/>
                <w:sz w:val="18"/>
                <w:szCs w:val="18"/>
              </w:rPr>
              <w:t xml:space="preserve">, </w:t>
            </w:r>
            <w:r w:rsidRPr="00105ACC">
              <w:rPr>
                <w:rFonts w:ascii="Calibri" w:eastAsia="Calibri" w:hAnsi="Calibri" w:cs="Times New Roman"/>
                <w:sz w:val="18"/>
                <w:szCs w:val="18"/>
              </w:rPr>
              <w:t>2017</w:t>
            </w:r>
            <w:r>
              <w:rPr>
                <w:rFonts w:ascii="Calibri" w:eastAsia="Calibri" w:hAnsi="Calibri" w:cs="Times New Roman"/>
                <w:sz w:val="18"/>
                <w:szCs w:val="18"/>
                <w:vertAlign w:val="superscript"/>
              </w:rPr>
              <w:t>B</w:t>
            </w:r>
          </w:p>
        </w:tc>
        <w:tc>
          <w:tcPr>
            <w:tcW w:w="1701" w:type="dxa"/>
          </w:tcPr>
          <w:p w14:paraId="7FA3A80A" w14:textId="0D677731" w:rsidR="000766FA" w:rsidRPr="00105ACC"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Strategy specific</w:t>
            </w:r>
          </w:p>
        </w:tc>
      </w:tr>
      <w:tr w:rsidR="000766FA" w:rsidRPr="00105ACC" w14:paraId="0FD86840" w14:textId="77777777" w:rsidTr="000766FA">
        <w:trPr>
          <w:trHeight w:val="53"/>
        </w:trPr>
        <w:tc>
          <w:tcPr>
            <w:cnfStyle w:val="001000000000" w:firstRow="0" w:lastRow="0" w:firstColumn="1" w:lastColumn="0" w:oddVBand="0" w:evenVBand="0" w:oddHBand="0" w:evenHBand="0" w:firstRowFirstColumn="0" w:firstRowLastColumn="0" w:lastRowFirstColumn="0" w:lastRowLastColumn="0"/>
            <w:tcW w:w="1418" w:type="dxa"/>
            <w:vMerge/>
          </w:tcPr>
          <w:p w14:paraId="207D101C" w14:textId="77777777" w:rsidR="000766FA" w:rsidRPr="00105ACC" w:rsidRDefault="000766FA" w:rsidP="000766FA">
            <w:pPr>
              <w:rPr>
                <w:rFonts w:ascii="Calibri" w:eastAsia="Calibri" w:hAnsi="Calibri" w:cs="Times New Roman"/>
                <w:sz w:val="18"/>
                <w:szCs w:val="18"/>
              </w:rPr>
            </w:pPr>
          </w:p>
        </w:tc>
        <w:tc>
          <w:tcPr>
            <w:tcW w:w="9214" w:type="dxa"/>
          </w:tcPr>
          <w:p w14:paraId="78DFC7A1" w14:textId="1EE7AEA5" w:rsidR="000766FA" w:rsidRPr="00B77E30" w:rsidRDefault="000766FA" w:rsidP="004F631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0669B3">
              <w:rPr>
                <w:rFonts w:ascii="Calibri" w:eastAsia="Calibri" w:hAnsi="Calibri" w:cs="Times New Roman"/>
                <w:sz w:val="18"/>
                <w:szCs w:val="18"/>
              </w:rPr>
              <w:t>“Lack of stewardship [performance] metrics” [required for conducting audit and feedback]</w:t>
            </w:r>
          </w:p>
        </w:tc>
        <w:tc>
          <w:tcPr>
            <w:tcW w:w="1701" w:type="dxa"/>
          </w:tcPr>
          <w:p w14:paraId="3BFA53F0" w14:textId="2B3D83A2" w:rsidR="000766FA"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roofErr w:type="spellStart"/>
            <w:r>
              <w:rPr>
                <w:rFonts w:ascii="Calibri" w:eastAsia="Calibri" w:hAnsi="Calibri" w:cs="Times New Roman"/>
                <w:sz w:val="18"/>
                <w:szCs w:val="18"/>
              </w:rPr>
              <w:t>Livorsi</w:t>
            </w:r>
            <w:proofErr w:type="spellEnd"/>
            <w:r>
              <w:rPr>
                <w:rFonts w:ascii="Calibri" w:eastAsia="Calibri" w:hAnsi="Calibri" w:cs="Times New Roman"/>
                <w:sz w:val="18"/>
                <w:szCs w:val="18"/>
              </w:rPr>
              <w:t>, 2016</w:t>
            </w:r>
            <w:r>
              <w:rPr>
                <w:rFonts w:ascii="Calibri" w:eastAsia="Calibri" w:hAnsi="Calibri" w:cs="Times New Roman"/>
                <w:sz w:val="18"/>
                <w:szCs w:val="18"/>
                <w:vertAlign w:val="superscript"/>
              </w:rPr>
              <w:t>E</w:t>
            </w:r>
          </w:p>
        </w:tc>
        <w:tc>
          <w:tcPr>
            <w:tcW w:w="1701" w:type="dxa"/>
          </w:tcPr>
          <w:p w14:paraId="0D73001F" w14:textId="138F3CAD" w:rsidR="000766FA"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Strategy specific</w:t>
            </w:r>
          </w:p>
        </w:tc>
      </w:tr>
      <w:tr w:rsidR="000766FA" w:rsidRPr="00105ACC" w14:paraId="60075E0F" w14:textId="77777777" w:rsidTr="00F942F9">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418" w:type="dxa"/>
            <w:vMerge w:val="restart"/>
          </w:tcPr>
          <w:p w14:paraId="7F8D5844" w14:textId="77777777" w:rsidR="000766FA" w:rsidRPr="00105ACC" w:rsidRDefault="000766FA" w:rsidP="00F942F9">
            <w:pPr>
              <w:rPr>
                <w:rFonts w:ascii="Calibri" w:eastAsia="Calibri" w:hAnsi="Calibri" w:cs="Times New Roman"/>
                <w:sz w:val="18"/>
                <w:szCs w:val="18"/>
              </w:rPr>
            </w:pPr>
            <w:r w:rsidRPr="00777E67">
              <w:rPr>
                <w:rFonts w:ascii="Calibri" w:eastAsia="Calibri" w:hAnsi="Calibri" w:cs="Times New Roman"/>
                <w:sz w:val="18"/>
                <w:szCs w:val="18"/>
              </w:rPr>
              <w:t>Beliefs about consequences</w:t>
            </w:r>
          </w:p>
        </w:tc>
        <w:tc>
          <w:tcPr>
            <w:tcW w:w="9214" w:type="dxa"/>
          </w:tcPr>
          <w:p w14:paraId="6C802D66" w14:textId="77777777" w:rsidR="000766FA" w:rsidRPr="00105ACC" w:rsidRDefault="000766FA" w:rsidP="00F942F9">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(B)</w:t>
            </w:r>
            <w:proofErr w:type="gramStart"/>
            <w:r>
              <w:rPr>
                <w:rFonts w:ascii="Calibri" w:eastAsia="Calibri" w:hAnsi="Calibri" w:cs="Times New Roman"/>
                <w:sz w:val="18"/>
                <w:szCs w:val="18"/>
              </w:rPr>
              <w:t xml:space="preserve">   “</w:t>
            </w:r>
            <w:proofErr w:type="gramEnd"/>
            <w:r w:rsidRPr="00811596">
              <w:rPr>
                <w:rFonts w:ascii="Calibri" w:eastAsia="Calibri" w:hAnsi="Calibri" w:cs="Times New Roman"/>
                <w:sz w:val="18"/>
                <w:szCs w:val="18"/>
              </w:rPr>
              <w:t>Administration not aware of value of ASP</w:t>
            </w:r>
            <w:r>
              <w:rPr>
                <w:rFonts w:ascii="Calibri" w:eastAsia="Calibri" w:hAnsi="Calibri" w:cs="Times New Roman"/>
                <w:sz w:val="18"/>
                <w:szCs w:val="18"/>
              </w:rPr>
              <w:t>”</w:t>
            </w:r>
          </w:p>
        </w:tc>
        <w:tc>
          <w:tcPr>
            <w:tcW w:w="1701" w:type="dxa"/>
          </w:tcPr>
          <w:p w14:paraId="0C5A9646" w14:textId="77777777" w:rsidR="000766FA" w:rsidRPr="00105ACC" w:rsidRDefault="000766FA" w:rsidP="00F942F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Johannsson, 2011</w:t>
            </w:r>
            <w:r>
              <w:rPr>
                <w:rFonts w:ascii="Calibri" w:eastAsia="Calibri" w:hAnsi="Calibri" w:cs="Times New Roman"/>
                <w:sz w:val="18"/>
                <w:szCs w:val="18"/>
                <w:vertAlign w:val="superscript"/>
              </w:rPr>
              <w:t>C</w:t>
            </w:r>
          </w:p>
        </w:tc>
        <w:tc>
          <w:tcPr>
            <w:tcW w:w="1701" w:type="dxa"/>
          </w:tcPr>
          <w:p w14:paraId="0A43A46B" w14:textId="77777777" w:rsidR="000766FA" w:rsidRPr="00105ACC" w:rsidRDefault="000766FA" w:rsidP="00F942F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811596">
              <w:rPr>
                <w:rFonts w:ascii="Calibri" w:eastAsia="Calibri" w:hAnsi="Calibri" w:cs="Times New Roman"/>
                <w:sz w:val="18"/>
                <w:szCs w:val="18"/>
              </w:rPr>
              <w:t>G</w:t>
            </w:r>
            <w:r>
              <w:rPr>
                <w:rFonts w:ascii="Calibri" w:eastAsia="Calibri" w:hAnsi="Calibri" w:cs="Times New Roman"/>
                <w:sz w:val="18"/>
                <w:szCs w:val="18"/>
              </w:rPr>
              <w:t>eneric</w:t>
            </w:r>
          </w:p>
        </w:tc>
      </w:tr>
      <w:tr w:rsidR="000766FA" w:rsidRPr="00105ACC" w14:paraId="19BA8748" w14:textId="77777777" w:rsidTr="00F942F9">
        <w:trPr>
          <w:trHeight w:val="56"/>
        </w:trPr>
        <w:tc>
          <w:tcPr>
            <w:cnfStyle w:val="001000000000" w:firstRow="0" w:lastRow="0" w:firstColumn="1" w:lastColumn="0" w:oddVBand="0" w:evenVBand="0" w:oddHBand="0" w:evenHBand="0" w:firstRowFirstColumn="0" w:firstRowLastColumn="0" w:lastRowFirstColumn="0" w:lastRowLastColumn="0"/>
            <w:tcW w:w="1418" w:type="dxa"/>
            <w:vMerge/>
          </w:tcPr>
          <w:p w14:paraId="15B04057" w14:textId="77777777" w:rsidR="000766FA" w:rsidRPr="00105ACC" w:rsidRDefault="000766FA" w:rsidP="00F942F9">
            <w:pPr>
              <w:rPr>
                <w:rFonts w:ascii="Calibri" w:eastAsia="Calibri" w:hAnsi="Calibri" w:cs="Times New Roman"/>
                <w:sz w:val="18"/>
                <w:szCs w:val="18"/>
              </w:rPr>
            </w:pPr>
          </w:p>
        </w:tc>
        <w:tc>
          <w:tcPr>
            <w:tcW w:w="9214" w:type="dxa"/>
          </w:tcPr>
          <w:p w14:paraId="25A109BF" w14:textId="77777777" w:rsidR="000766FA" w:rsidRPr="00597861" w:rsidRDefault="000766FA" w:rsidP="004F6318">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rPr>
            </w:pPr>
            <w:r>
              <w:rPr>
                <w:rFonts w:ascii="Calibri" w:eastAsia="Calibri" w:hAnsi="Calibri" w:cs="Times New Roman"/>
                <w:sz w:val="18"/>
              </w:rPr>
              <w:t xml:space="preserve"> “ASP </w:t>
            </w:r>
            <w:r w:rsidRPr="00597861">
              <w:rPr>
                <w:rFonts w:ascii="Calibri" w:eastAsia="Calibri" w:hAnsi="Calibri" w:cs="Times New Roman"/>
                <w:sz w:val="18"/>
              </w:rPr>
              <w:t>does not have enough expertise in managing infections in immunocompromised hosts</w:t>
            </w:r>
            <w:r>
              <w:rPr>
                <w:rFonts w:ascii="Calibri" w:eastAsia="Calibri" w:hAnsi="Calibri" w:cs="Times New Roman"/>
                <w:sz w:val="18"/>
              </w:rPr>
              <w:t xml:space="preserve">” </w:t>
            </w:r>
            <w:r w:rsidRPr="00652671">
              <w:rPr>
                <w:sz w:val="18"/>
                <w:szCs w:val="18"/>
              </w:rPr>
              <w:t>[An ASP has a limited applicability to immunosuppressed hosts]</w:t>
            </w:r>
          </w:p>
        </w:tc>
        <w:tc>
          <w:tcPr>
            <w:tcW w:w="1701" w:type="dxa"/>
          </w:tcPr>
          <w:p w14:paraId="2DFFAA72" w14:textId="77777777" w:rsidR="000766FA" w:rsidRPr="00105ACC" w:rsidRDefault="000766FA" w:rsidP="00F942F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18"/>
                <w:szCs w:val="18"/>
              </w:rPr>
            </w:pPr>
            <w:r w:rsidRPr="00105ACC">
              <w:rPr>
                <w:rFonts w:ascii="Calibri" w:eastAsia="Calibri" w:hAnsi="Calibri" w:cs="Times New Roman"/>
                <w:sz w:val="18"/>
                <w:szCs w:val="18"/>
              </w:rPr>
              <w:t>Wolf, 2016</w:t>
            </w:r>
            <w:r>
              <w:rPr>
                <w:rFonts w:ascii="Calibri" w:eastAsia="Calibri" w:hAnsi="Calibri" w:cs="Times New Roman"/>
                <w:sz w:val="18"/>
                <w:szCs w:val="18"/>
                <w:vertAlign w:val="superscript"/>
              </w:rPr>
              <w:t>G</w:t>
            </w:r>
          </w:p>
        </w:tc>
        <w:tc>
          <w:tcPr>
            <w:tcW w:w="1701" w:type="dxa"/>
          </w:tcPr>
          <w:p w14:paraId="443AAAE2" w14:textId="77777777" w:rsidR="000766FA" w:rsidRPr="00105ACC" w:rsidRDefault="000766FA" w:rsidP="00F942F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18"/>
                <w:szCs w:val="18"/>
              </w:rPr>
            </w:pPr>
            <w:r>
              <w:rPr>
                <w:rFonts w:ascii="Calibri" w:eastAsia="Calibri" w:hAnsi="Calibri" w:cs="Times New Roman"/>
                <w:sz w:val="18"/>
              </w:rPr>
              <w:t>Context specific</w:t>
            </w:r>
          </w:p>
        </w:tc>
      </w:tr>
      <w:tr w:rsidR="000766FA" w:rsidRPr="00105ACC" w14:paraId="2CBF5C47" w14:textId="77777777" w:rsidTr="00F942F9">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418" w:type="dxa"/>
            <w:vMerge/>
          </w:tcPr>
          <w:p w14:paraId="23E48D34" w14:textId="77777777" w:rsidR="000766FA" w:rsidRPr="00105ACC" w:rsidRDefault="000766FA" w:rsidP="00F942F9">
            <w:pPr>
              <w:rPr>
                <w:rFonts w:ascii="Calibri" w:eastAsia="Calibri" w:hAnsi="Calibri" w:cs="Times New Roman"/>
                <w:sz w:val="18"/>
                <w:szCs w:val="18"/>
              </w:rPr>
            </w:pPr>
          </w:p>
        </w:tc>
        <w:tc>
          <w:tcPr>
            <w:tcW w:w="9214" w:type="dxa"/>
          </w:tcPr>
          <w:p w14:paraId="1209D8A3" w14:textId="77777777" w:rsidR="000766FA" w:rsidRPr="00597861" w:rsidRDefault="000766FA" w:rsidP="004F6318">
            <w:pPr>
              <w:pStyle w:val="ListParagraph"/>
              <w:numPr>
                <w:ilvl w:val="0"/>
                <w:numId w:val="54"/>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rPr>
            </w:pPr>
            <w:r w:rsidRPr="00597861">
              <w:rPr>
                <w:rFonts w:ascii="Calibri" w:eastAsia="Calibri" w:hAnsi="Calibri" w:cs="Times New Roman"/>
                <w:sz w:val="18"/>
              </w:rPr>
              <w:t>“Lack of agreement (e.g. Some experts have doubts regarding usefulness or applicability of selective reporting)”</w:t>
            </w:r>
          </w:p>
          <w:p w14:paraId="1EC8A967" w14:textId="77777777" w:rsidR="000766FA" w:rsidRPr="00597861" w:rsidRDefault="000766FA" w:rsidP="004F6318">
            <w:pPr>
              <w:pStyle w:val="ListParagraph"/>
              <w:numPr>
                <w:ilvl w:val="0"/>
                <w:numId w:val="55"/>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rPr>
            </w:pPr>
            <w:r w:rsidRPr="00597861">
              <w:rPr>
                <w:rFonts w:ascii="Calibri" w:eastAsia="Calibri" w:hAnsi="Calibri" w:cs="Times New Roman"/>
                <w:sz w:val="18"/>
              </w:rPr>
              <w:t>“Lack of awareness, familiarity and engagement (e.g. Professionals’ awareness of antibiotic resistance and usefulness of selective reporting is low)”</w:t>
            </w:r>
          </w:p>
        </w:tc>
        <w:tc>
          <w:tcPr>
            <w:tcW w:w="1701" w:type="dxa"/>
          </w:tcPr>
          <w:p w14:paraId="13179323" w14:textId="77777777" w:rsidR="000766FA" w:rsidRPr="00105ACC" w:rsidRDefault="000766FA" w:rsidP="00F942F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roofErr w:type="spellStart"/>
            <w:r w:rsidRPr="00105ACC">
              <w:rPr>
                <w:rFonts w:ascii="Calibri" w:eastAsia="Calibri" w:hAnsi="Calibri" w:cs="Times New Roman"/>
                <w:sz w:val="18"/>
                <w:szCs w:val="18"/>
              </w:rPr>
              <w:t>Pulcini</w:t>
            </w:r>
            <w:proofErr w:type="spellEnd"/>
            <w:r w:rsidRPr="00105ACC">
              <w:rPr>
                <w:rFonts w:ascii="Calibri" w:eastAsia="Calibri" w:hAnsi="Calibri" w:cs="Times New Roman"/>
                <w:sz w:val="18"/>
                <w:szCs w:val="18"/>
              </w:rPr>
              <w:t>, 2017</w:t>
            </w:r>
            <w:r>
              <w:rPr>
                <w:rFonts w:ascii="Calibri" w:eastAsia="Calibri" w:hAnsi="Calibri" w:cs="Times New Roman"/>
                <w:sz w:val="18"/>
                <w:szCs w:val="18"/>
                <w:vertAlign w:val="superscript"/>
              </w:rPr>
              <w:t>B</w:t>
            </w:r>
          </w:p>
        </w:tc>
        <w:tc>
          <w:tcPr>
            <w:tcW w:w="1701" w:type="dxa"/>
          </w:tcPr>
          <w:p w14:paraId="0A745A78" w14:textId="77777777" w:rsidR="000766FA" w:rsidRPr="00105ACC" w:rsidRDefault="000766FA" w:rsidP="00F942F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rPr>
            </w:pPr>
            <w:r>
              <w:rPr>
                <w:rFonts w:ascii="Calibri" w:eastAsia="Calibri" w:hAnsi="Calibri" w:cs="Times New Roman"/>
                <w:sz w:val="18"/>
              </w:rPr>
              <w:t>Strategy specific</w:t>
            </w:r>
          </w:p>
        </w:tc>
      </w:tr>
      <w:tr w:rsidR="000766FA" w:rsidRPr="00105ACC" w14:paraId="3BAC76CE" w14:textId="77777777" w:rsidTr="00F942F9">
        <w:trPr>
          <w:trHeight w:val="209"/>
        </w:trPr>
        <w:tc>
          <w:tcPr>
            <w:cnfStyle w:val="001000000000" w:firstRow="0" w:lastRow="0" w:firstColumn="1" w:lastColumn="0" w:oddVBand="0" w:evenVBand="0" w:oddHBand="0" w:evenHBand="0" w:firstRowFirstColumn="0" w:firstRowLastColumn="0" w:lastRowFirstColumn="0" w:lastRowLastColumn="0"/>
            <w:tcW w:w="1418" w:type="dxa"/>
            <w:vMerge/>
          </w:tcPr>
          <w:p w14:paraId="4443C97D" w14:textId="77777777" w:rsidR="000766FA" w:rsidRPr="00105ACC" w:rsidRDefault="000766FA" w:rsidP="00F942F9">
            <w:pPr>
              <w:rPr>
                <w:rFonts w:ascii="Calibri" w:eastAsia="Calibri" w:hAnsi="Calibri" w:cs="Times New Roman"/>
                <w:sz w:val="18"/>
                <w:szCs w:val="18"/>
              </w:rPr>
            </w:pPr>
          </w:p>
        </w:tc>
        <w:tc>
          <w:tcPr>
            <w:tcW w:w="9214" w:type="dxa"/>
          </w:tcPr>
          <w:p w14:paraId="77959500" w14:textId="77777777" w:rsidR="000766FA" w:rsidRDefault="000766FA" w:rsidP="004F6318">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rPr>
            </w:pPr>
            <w:r w:rsidRPr="00597861">
              <w:rPr>
                <w:rFonts w:ascii="Calibri" w:eastAsia="Calibri" w:hAnsi="Calibri" w:cs="Times New Roman"/>
                <w:sz w:val="18"/>
              </w:rPr>
              <w:t>“Meeting the challenge posed by emergent multidrug resistant organisms e.g. carbapenem resistant enterococci, in the face of the paucity of new classes of antimicrobial agents. (Ireland)”</w:t>
            </w:r>
          </w:p>
          <w:p w14:paraId="408223FA" w14:textId="77777777" w:rsidR="000766FA" w:rsidRDefault="000766FA" w:rsidP="004F6318">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rPr>
            </w:pPr>
            <w:r w:rsidRPr="002671F1">
              <w:rPr>
                <w:rFonts w:ascii="Calibri" w:eastAsia="Calibri" w:hAnsi="Calibri" w:cs="Times New Roman"/>
                <w:sz w:val="18"/>
              </w:rPr>
              <w:t xml:space="preserve">“Targeting and interventions to reduce </w:t>
            </w:r>
            <w:proofErr w:type="spellStart"/>
            <w:r w:rsidRPr="002671F1">
              <w:rPr>
                <w:rFonts w:ascii="Calibri" w:eastAsia="Calibri" w:hAnsi="Calibri" w:cs="Times New Roman"/>
                <w:sz w:val="18"/>
              </w:rPr>
              <w:t>carbapenemase</w:t>
            </w:r>
            <w:proofErr w:type="spellEnd"/>
            <w:r w:rsidRPr="002671F1">
              <w:rPr>
                <w:rFonts w:ascii="Calibri" w:eastAsia="Calibri" w:hAnsi="Calibri" w:cs="Times New Roman"/>
                <w:sz w:val="18"/>
              </w:rPr>
              <w:t xml:space="preserve"> producing organisms e.g. carbapenem review rounds to rationalise empiric use of carbapenems (UK)”</w:t>
            </w:r>
          </w:p>
          <w:p w14:paraId="5BAAF4C7" w14:textId="77777777" w:rsidR="000766FA" w:rsidRPr="002671F1" w:rsidRDefault="000766FA" w:rsidP="004F6318">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rPr>
            </w:pPr>
            <w:r w:rsidRPr="002671F1">
              <w:rPr>
                <w:rFonts w:ascii="Calibri" w:eastAsia="Calibri" w:hAnsi="Calibri" w:cs="Times New Roman"/>
                <w:sz w:val="18"/>
              </w:rPr>
              <w:t>“Monitoring ESBL [Extended Spectrum Beta-Lactamases] and VRE [</w:t>
            </w:r>
            <w:r w:rsidRPr="002671F1">
              <w:rPr>
                <w:rFonts w:ascii="Calibri" w:eastAsia="Calibri" w:hAnsi="Calibri" w:cs="Times New Roman"/>
                <w:sz w:val="18"/>
                <w:szCs w:val="18"/>
              </w:rPr>
              <w:t>vancomycin-resistant enterococci</w:t>
            </w:r>
            <w:r>
              <w:rPr>
                <w:rFonts w:ascii="Calibri" w:eastAsia="Calibri" w:hAnsi="Calibri" w:cs="Times New Roman"/>
                <w:sz w:val="18"/>
                <w:szCs w:val="18"/>
              </w:rPr>
              <w:t>]</w:t>
            </w:r>
            <w:r w:rsidRPr="002671F1">
              <w:rPr>
                <w:rFonts w:ascii="Calibri" w:eastAsia="Calibri" w:hAnsi="Calibri" w:cs="Times New Roman"/>
                <w:sz w:val="18"/>
              </w:rPr>
              <w:t xml:space="preserve"> organisms. (UK)”</w:t>
            </w:r>
          </w:p>
        </w:tc>
        <w:tc>
          <w:tcPr>
            <w:tcW w:w="1701" w:type="dxa"/>
          </w:tcPr>
          <w:p w14:paraId="487D50A8" w14:textId="77777777" w:rsidR="000766FA" w:rsidRPr="00105ACC" w:rsidRDefault="000766FA" w:rsidP="00F942F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Fleming, 2015</w:t>
            </w:r>
            <w:r>
              <w:rPr>
                <w:rFonts w:ascii="Calibri" w:eastAsia="Calibri" w:hAnsi="Calibri" w:cs="Times New Roman"/>
                <w:sz w:val="18"/>
                <w:szCs w:val="18"/>
                <w:vertAlign w:val="superscript"/>
              </w:rPr>
              <w:t>F</w:t>
            </w:r>
          </w:p>
        </w:tc>
        <w:tc>
          <w:tcPr>
            <w:tcW w:w="1701" w:type="dxa"/>
          </w:tcPr>
          <w:p w14:paraId="0A8C191F" w14:textId="77777777" w:rsidR="000766FA" w:rsidRPr="00105ACC" w:rsidRDefault="000766FA" w:rsidP="00F942F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rPr>
            </w:pPr>
            <w:r>
              <w:rPr>
                <w:rFonts w:ascii="Calibri" w:eastAsia="Calibri" w:hAnsi="Calibri" w:cs="Times New Roman"/>
                <w:sz w:val="18"/>
              </w:rPr>
              <w:t>Context specific</w:t>
            </w:r>
          </w:p>
        </w:tc>
      </w:tr>
      <w:tr w:rsidR="000766FA" w:rsidRPr="00105ACC" w14:paraId="603B4BF6" w14:textId="77777777" w:rsidTr="00F942F9">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418" w:type="dxa"/>
            <w:vMerge w:val="restart"/>
            <w:tcBorders>
              <w:bottom w:val="dashed" w:sz="4" w:space="0" w:color="A5A5A5" w:themeColor="accent3"/>
            </w:tcBorders>
          </w:tcPr>
          <w:p w14:paraId="0AD1EE03" w14:textId="77777777" w:rsidR="000766FA" w:rsidRPr="00105ACC" w:rsidRDefault="000766FA" w:rsidP="00F942F9">
            <w:pPr>
              <w:rPr>
                <w:rFonts w:ascii="Calibri" w:eastAsia="Calibri" w:hAnsi="Calibri" w:cs="Times New Roman"/>
                <w:sz w:val="18"/>
                <w:szCs w:val="18"/>
              </w:rPr>
            </w:pPr>
            <w:r>
              <w:rPr>
                <w:rFonts w:ascii="Calibri" w:eastAsia="Calibri" w:hAnsi="Calibri" w:cs="Times New Roman"/>
                <w:sz w:val="18"/>
                <w:szCs w:val="18"/>
              </w:rPr>
              <w:t>Competing goals</w:t>
            </w:r>
          </w:p>
        </w:tc>
        <w:tc>
          <w:tcPr>
            <w:tcW w:w="9214" w:type="dxa"/>
          </w:tcPr>
          <w:p w14:paraId="32A4A017" w14:textId="77777777" w:rsidR="000766FA" w:rsidRPr="00597861" w:rsidRDefault="000766FA" w:rsidP="004F6318">
            <w:pPr>
              <w:pStyle w:val="ListParagraph"/>
              <w:numPr>
                <w:ilvl w:val="0"/>
                <w:numId w:val="57"/>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18"/>
                <w:szCs w:val="18"/>
              </w:rPr>
            </w:pPr>
            <w:r>
              <w:rPr>
                <w:rFonts w:ascii="Calibri" w:eastAsia="Calibri" w:hAnsi="Calibri" w:cs="Times New Roman"/>
                <w:sz w:val="18"/>
                <w:szCs w:val="18"/>
              </w:rPr>
              <w:t>“</w:t>
            </w:r>
            <w:r w:rsidRPr="00597861">
              <w:rPr>
                <w:rFonts w:ascii="Calibri" w:eastAsia="Calibri" w:hAnsi="Calibri" w:cs="Times New Roman"/>
                <w:sz w:val="18"/>
                <w:szCs w:val="18"/>
              </w:rPr>
              <w:t>Other highe</w:t>
            </w:r>
            <w:r>
              <w:rPr>
                <w:rFonts w:ascii="Calibri" w:eastAsia="Calibri" w:hAnsi="Calibri" w:cs="Times New Roman"/>
                <w:sz w:val="18"/>
                <w:szCs w:val="18"/>
              </w:rPr>
              <w:t>r-priority clinical initiatives”</w:t>
            </w:r>
          </w:p>
        </w:tc>
        <w:tc>
          <w:tcPr>
            <w:tcW w:w="1701" w:type="dxa"/>
          </w:tcPr>
          <w:p w14:paraId="709E5244" w14:textId="77777777" w:rsidR="000766FA" w:rsidRPr="00105ACC" w:rsidRDefault="000766FA" w:rsidP="00F942F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Johannsson, 2011</w:t>
            </w:r>
            <w:r>
              <w:rPr>
                <w:rFonts w:ascii="Calibri" w:eastAsia="Calibri" w:hAnsi="Calibri" w:cs="Times New Roman"/>
                <w:sz w:val="18"/>
                <w:szCs w:val="18"/>
                <w:vertAlign w:val="superscript"/>
              </w:rPr>
              <w:t>C</w:t>
            </w:r>
          </w:p>
        </w:tc>
        <w:tc>
          <w:tcPr>
            <w:tcW w:w="1701" w:type="dxa"/>
          </w:tcPr>
          <w:p w14:paraId="04C6F896" w14:textId="77777777" w:rsidR="000766FA" w:rsidRPr="00105ACC" w:rsidRDefault="000766FA" w:rsidP="00F942F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18"/>
                <w:szCs w:val="18"/>
              </w:rPr>
            </w:pPr>
            <w:r w:rsidRPr="00105ACC">
              <w:rPr>
                <w:rFonts w:ascii="Calibri" w:eastAsia="Calibri" w:hAnsi="Calibri" w:cs="Times New Roman"/>
                <w:sz w:val="18"/>
                <w:szCs w:val="18"/>
              </w:rPr>
              <w:t>G</w:t>
            </w:r>
            <w:r>
              <w:rPr>
                <w:rFonts w:ascii="Calibri" w:eastAsia="Calibri" w:hAnsi="Calibri" w:cs="Times New Roman"/>
                <w:sz w:val="18"/>
                <w:szCs w:val="18"/>
              </w:rPr>
              <w:t>eneric</w:t>
            </w:r>
          </w:p>
        </w:tc>
      </w:tr>
      <w:tr w:rsidR="000766FA" w:rsidRPr="00105ACC" w14:paraId="2222C41E" w14:textId="77777777" w:rsidTr="00F942F9">
        <w:trPr>
          <w:trHeight w:val="209"/>
        </w:trPr>
        <w:tc>
          <w:tcPr>
            <w:cnfStyle w:val="001000000000" w:firstRow="0" w:lastRow="0" w:firstColumn="1" w:lastColumn="0" w:oddVBand="0" w:evenVBand="0" w:oddHBand="0" w:evenHBand="0" w:firstRowFirstColumn="0" w:firstRowLastColumn="0" w:lastRowFirstColumn="0" w:lastRowLastColumn="0"/>
            <w:tcW w:w="1418" w:type="dxa"/>
            <w:vMerge/>
            <w:tcBorders>
              <w:top w:val="dashed" w:sz="4" w:space="0" w:color="A5A5A5" w:themeColor="accent3"/>
              <w:bottom w:val="dashed" w:sz="4" w:space="0" w:color="A5A5A5" w:themeColor="accent3"/>
            </w:tcBorders>
          </w:tcPr>
          <w:p w14:paraId="5DDE026B" w14:textId="77777777" w:rsidR="000766FA" w:rsidRPr="00105ACC" w:rsidRDefault="000766FA" w:rsidP="00F942F9">
            <w:pPr>
              <w:rPr>
                <w:rFonts w:ascii="Calibri" w:eastAsia="Calibri" w:hAnsi="Calibri" w:cs="Times New Roman"/>
                <w:sz w:val="18"/>
                <w:szCs w:val="18"/>
              </w:rPr>
            </w:pPr>
          </w:p>
        </w:tc>
        <w:tc>
          <w:tcPr>
            <w:tcW w:w="9214" w:type="dxa"/>
          </w:tcPr>
          <w:p w14:paraId="290FABD9" w14:textId="77777777" w:rsidR="000766FA" w:rsidRPr="00597861" w:rsidRDefault="000766FA" w:rsidP="004F6318">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597861">
              <w:rPr>
                <w:rFonts w:ascii="Calibri" w:eastAsia="Calibri" w:hAnsi="Calibri" w:cs="Times New Roman"/>
                <w:sz w:val="18"/>
                <w:szCs w:val="18"/>
              </w:rPr>
              <w:t>Other higher priority initiatives</w:t>
            </w:r>
            <w:r>
              <w:rPr>
                <w:rFonts w:ascii="Calibri" w:eastAsia="Calibri" w:hAnsi="Calibri" w:cs="Times New Roman"/>
                <w:sz w:val="18"/>
                <w:szCs w:val="18"/>
              </w:rPr>
              <w:t>”</w:t>
            </w:r>
          </w:p>
        </w:tc>
        <w:tc>
          <w:tcPr>
            <w:tcW w:w="1701" w:type="dxa"/>
          </w:tcPr>
          <w:p w14:paraId="594069AA" w14:textId="77777777" w:rsidR="000766FA" w:rsidRPr="00105ACC" w:rsidRDefault="000766FA" w:rsidP="00F942F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Howard, 2015</w:t>
            </w:r>
            <w:r>
              <w:rPr>
                <w:rFonts w:ascii="Calibri" w:eastAsia="Calibri" w:hAnsi="Calibri" w:cs="Times New Roman"/>
                <w:sz w:val="18"/>
                <w:szCs w:val="18"/>
                <w:vertAlign w:val="superscript"/>
              </w:rPr>
              <w:t>D</w:t>
            </w:r>
          </w:p>
        </w:tc>
        <w:tc>
          <w:tcPr>
            <w:tcW w:w="1701" w:type="dxa"/>
          </w:tcPr>
          <w:p w14:paraId="172283B0" w14:textId="77777777" w:rsidR="000766FA" w:rsidRPr="00105ACC" w:rsidRDefault="000766FA" w:rsidP="00F942F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G</w:t>
            </w:r>
            <w:r>
              <w:rPr>
                <w:rFonts w:ascii="Calibri" w:eastAsia="Calibri" w:hAnsi="Calibri" w:cs="Times New Roman"/>
                <w:sz w:val="18"/>
                <w:szCs w:val="18"/>
              </w:rPr>
              <w:t>eneric</w:t>
            </w:r>
          </w:p>
        </w:tc>
      </w:tr>
      <w:tr w:rsidR="000766FA" w:rsidRPr="00105ACC" w14:paraId="2BA93633" w14:textId="77777777" w:rsidTr="00F942F9">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418" w:type="dxa"/>
            <w:vMerge/>
            <w:tcBorders>
              <w:top w:val="dashed" w:sz="4" w:space="0" w:color="A5A5A5" w:themeColor="accent3"/>
              <w:bottom w:val="dashed" w:sz="4" w:space="0" w:color="A5A5A5" w:themeColor="accent3"/>
            </w:tcBorders>
          </w:tcPr>
          <w:p w14:paraId="2ACA69D3" w14:textId="77777777" w:rsidR="000766FA" w:rsidRPr="00105ACC" w:rsidRDefault="000766FA" w:rsidP="00F942F9">
            <w:pPr>
              <w:rPr>
                <w:rFonts w:ascii="Calibri" w:eastAsia="Calibri" w:hAnsi="Calibri" w:cs="Times New Roman"/>
                <w:sz w:val="18"/>
                <w:szCs w:val="18"/>
              </w:rPr>
            </w:pPr>
          </w:p>
        </w:tc>
        <w:tc>
          <w:tcPr>
            <w:tcW w:w="9214" w:type="dxa"/>
          </w:tcPr>
          <w:p w14:paraId="324A7C99" w14:textId="77777777" w:rsidR="000766FA" w:rsidRPr="00597861" w:rsidRDefault="000766FA" w:rsidP="004F6318">
            <w:pPr>
              <w:pStyle w:val="ListParagraph"/>
              <w:numPr>
                <w:ilvl w:val="0"/>
                <w:numId w:val="59"/>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652671">
              <w:rPr>
                <w:sz w:val="18"/>
                <w:szCs w:val="18"/>
              </w:rPr>
              <w:t>“ASP believes that other populations [than paediatric oncology patients] have higher priority” [ASPs having higher priority populations than immunosuppressed hosts acting as a barrier]</w:t>
            </w:r>
          </w:p>
        </w:tc>
        <w:tc>
          <w:tcPr>
            <w:tcW w:w="1701" w:type="dxa"/>
          </w:tcPr>
          <w:p w14:paraId="6E9AD538" w14:textId="77777777" w:rsidR="000766FA" w:rsidRPr="00105ACC" w:rsidRDefault="000766FA" w:rsidP="00F942F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Wolf, 2016</w:t>
            </w:r>
            <w:r>
              <w:rPr>
                <w:rFonts w:ascii="Calibri" w:eastAsia="Calibri" w:hAnsi="Calibri" w:cs="Times New Roman"/>
                <w:sz w:val="18"/>
                <w:szCs w:val="18"/>
                <w:vertAlign w:val="superscript"/>
              </w:rPr>
              <w:t>G</w:t>
            </w:r>
          </w:p>
        </w:tc>
        <w:tc>
          <w:tcPr>
            <w:tcW w:w="1701" w:type="dxa"/>
          </w:tcPr>
          <w:p w14:paraId="44F2A4CD" w14:textId="77777777" w:rsidR="000766FA" w:rsidRPr="00105ACC" w:rsidRDefault="000766FA" w:rsidP="00F942F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Context specific</w:t>
            </w:r>
          </w:p>
        </w:tc>
      </w:tr>
      <w:tr w:rsidR="000766FA" w:rsidRPr="00105ACC" w14:paraId="5026953B" w14:textId="77777777" w:rsidTr="00F942F9">
        <w:trPr>
          <w:trHeight w:val="209"/>
        </w:trPr>
        <w:tc>
          <w:tcPr>
            <w:cnfStyle w:val="001000000000" w:firstRow="0" w:lastRow="0" w:firstColumn="1" w:lastColumn="0" w:oddVBand="0" w:evenVBand="0" w:oddHBand="0" w:evenHBand="0" w:firstRowFirstColumn="0" w:firstRowLastColumn="0" w:lastRowFirstColumn="0" w:lastRowLastColumn="0"/>
            <w:tcW w:w="1418" w:type="dxa"/>
            <w:vMerge/>
            <w:tcBorders>
              <w:top w:val="dashed" w:sz="4" w:space="0" w:color="A5A5A5" w:themeColor="accent3"/>
              <w:bottom w:val="dashed" w:sz="4" w:space="0" w:color="A5A5A5" w:themeColor="accent3"/>
            </w:tcBorders>
          </w:tcPr>
          <w:p w14:paraId="15910152" w14:textId="77777777" w:rsidR="000766FA" w:rsidRPr="00105ACC" w:rsidRDefault="000766FA" w:rsidP="00F942F9">
            <w:pPr>
              <w:rPr>
                <w:rFonts w:ascii="Calibri" w:eastAsia="Calibri" w:hAnsi="Calibri" w:cs="Times New Roman"/>
                <w:sz w:val="18"/>
                <w:szCs w:val="18"/>
              </w:rPr>
            </w:pPr>
          </w:p>
        </w:tc>
        <w:tc>
          <w:tcPr>
            <w:tcW w:w="9214" w:type="dxa"/>
          </w:tcPr>
          <w:p w14:paraId="76EC6281" w14:textId="77777777" w:rsidR="000766FA" w:rsidRPr="00597861" w:rsidRDefault="000766FA" w:rsidP="004F6318">
            <w:pPr>
              <w:pStyle w:val="ListParagraph"/>
              <w:numPr>
                <w:ilvl w:val="0"/>
                <w:numId w:val="60"/>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597861">
              <w:rPr>
                <w:rFonts w:ascii="Calibri" w:eastAsia="Calibri" w:hAnsi="Calibri" w:cs="Times New Roman"/>
                <w:sz w:val="18"/>
                <w:szCs w:val="18"/>
              </w:rPr>
              <w:t>Other more basic priorities (e.g. Quality control and standardisation of testing procedures are still the main issue)</w:t>
            </w:r>
            <w:r>
              <w:rPr>
                <w:rFonts w:ascii="Calibri" w:eastAsia="Calibri" w:hAnsi="Calibri" w:cs="Times New Roman"/>
                <w:sz w:val="18"/>
                <w:szCs w:val="18"/>
              </w:rPr>
              <w:t>”</w:t>
            </w:r>
          </w:p>
        </w:tc>
        <w:tc>
          <w:tcPr>
            <w:tcW w:w="1701" w:type="dxa"/>
          </w:tcPr>
          <w:p w14:paraId="658BE626" w14:textId="77777777" w:rsidR="000766FA" w:rsidRPr="00105ACC" w:rsidRDefault="000766FA" w:rsidP="00F942F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roofErr w:type="spellStart"/>
            <w:r w:rsidRPr="00105ACC">
              <w:rPr>
                <w:rFonts w:ascii="Calibri" w:eastAsia="Calibri" w:hAnsi="Calibri" w:cs="Times New Roman"/>
                <w:sz w:val="18"/>
                <w:szCs w:val="18"/>
              </w:rPr>
              <w:t>Pulcini</w:t>
            </w:r>
            <w:proofErr w:type="spellEnd"/>
            <w:r w:rsidRPr="00105ACC">
              <w:rPr>
                <w:rFonts w:ascii="Calibri" w:eastAsia="Calibri" w:hAnsi="Calibri" w:cs="Times New Roman"/>
                <w:sz w:val="18"/>
                <w:szCs w:val="18"/>
              </w:rPr>
              <w:t>, 2017</w:t>
            </w:r>
            <w:r>
              <w:rPr>
                <w:rFonts w:ascii="Calibri" w:eastAsia="Calibri" w:hAnsi="Calibri" w:cs="Times New Roman"/>
                <w:sz w:val="18"/>
                <w:szCs w:val="18"/>
                <w:vertAlign w:val="superscript"/>
              </w:rPr>
              <w:t>B</w:t>
            </w:r>
          </w:p>
        </w:tc>
        <w:tc>
          <w:tcPr>
            <w:tcW w:w="1701" w:type="dxa"/>
          </w:tcPr>
          <w:p w14:paraId="4309203D" w14:textId="77777777" w:rsidR="000766FA" w:rsidRPr="00105ACC" w:rsidRDefault="000766FA" w:rsidP="00F942F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Strategy specific</w:t>
            </w:r>
          </w:p>
        </w:tc>
      </w:tr>
      <w:tr w:rsidR="000766FA" w:rsidRPr="00105ACC" w14:paraId="3A67A6F4" w14:textId="77777777" w:rsidTr="00F942F9">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418" w:type="dxa"/>
            <w:tcBorders>
              <w:top w:val="dashed" w:sz="4" w:space="0" w:color="A5A5A5" w:themeColor="accent3"/>
            </w:tcBorders>
          </w:tcPr>
          <w:p w14:paraId="7337E6CD" w14:textId="77777777" w:rsidR="000766FA" w:rsidRPr="00105ACC" w:rsidRDefault="000766FA" w:rsidP="00F942F9">
            <w:pPr>
              <w:rPr>
                <w:rFonts w:ascii="Calibri" w:eastAsia="Calibri" w:hAnsi="Calibri" w:cs="Times New Roman"/>
                <w:sz w:val="18"/>
                <w:szCs w:val="18"/>
              </w:rPr>
            </w:pPr>
            <w:r>
              <w:rPr>
                <w:rFonts w:ascii="Calibri" w:eastAsia="Calibri" w:hAnsi="Calibri" w:cs="Times New Roman"/>
                <w:sz w:val="18"/>
                <w:szCs w:val="18"/>
              </w:rPr>
              <w:t>Goal setting</w:t>
            </w:r>
          </w:p>
        </w:tc>
        <w:tc>
          <w:tcPr>
            <w:tcW w:w="9214" w:type="dxa"/>
          </w:tcPr>
          <w:p w14:paraId="429E35AB" w14:textId="77777777" w:rsidR="000766FA" w:rsidRPr="00597861" w:rsidRDefault="000766FA" w:rsidP="004F6318">
            <w:pPr>
              <w:pStyle w:val="ListParagraph"/>
              <w:numPr>
                <w:ilvl w:val="0"/>
                <w:numId w:val="61"/>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597861">
              <w:rPr>
                <w:rFonts w:ascii="Calibri" w:eastAsia="Calibri" w:hAnsi="Calibri" w:cs="Times New Roman"/>
                <w:sz w:val="18"/>
                <w:szCs w:val="18"/>
              </w:rPr>
              <w:t>Lack of priority (e.g. Selective reporting has not been included in the national/local AMS programmes</w:t>
            </w:r>
            <w:r>
              <w:rPr>
                <w:rFonts w:ascii="Calibri" w:eastAsia="Calibri" w:hAnsi="Calibri" w:cs="Times New Roman"/>
                <w:sz w:val="18"/>
                <w:szCs w:val="18"/>
              </w:rPr>
              <w:t>)”</w:t>
            </w:r>
          </w:p>
        </w:tc>
        <w:tc>
          <w:tcPr>
            <w:tcW w:w="1701" w:type="dxa"/>
          </w:tcPr>
          <w:p w14:paraId="4A7DA9E0" w14:textId="77777777" w:rsidR="000766FA" w:rsidRPr="00105ACC" w:rsidRDefault="000766FA" w:rsidP="00F942F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roofErr w:type="spellStart"/>
            <w:r w:rsidRPr="00105ACC">
              <w:rPr>
                <w:rFonts w:ascii="Calibri" w:eastAsia="Calibri" w:hAnsi="Calibri" w:cs="Times New Roman"/>
                <w:sz w:val="18"/>
                <w:szCs w:val="18"/>
              </w:rPr>
              <w:t>Pulcini</w:t>
            </w:r>
            <w:proofErr w:type="spellEnd"/>
            <w:r w:rsidRPr="00105ACC">
              <w:rPr>
                <w:rFonts w:ascii="Calibri" w:eastAsia="Calibri" w:hAnsi="Calibri" w:cs="Times New Roman"/>
                <w:sz w:val="18"/>
                <w:szCs w:val="18"/>
              </w:rPr>
              <w:t>, 2017</w:t>
            </w:r>
            <w:r>
              <w:rPr>
                <w:rFonts w:ascii="Calibri" w:eastAsia="Calibri" w:hAnsi="Calibri" w:cs="Times New Roman"/>
                <w:sz w:val="18"/>
                <w:szCs w:val="18"/>
                <w:vertAlign w:val="superscript"/>
              </w:rPr>
              <w:t>B</w:t>
            </w:r>
          </w:p>
        </w:tc>
        <w:tc>
          <w:tcPr>
            <w:tcW w:w="1701" w:type="dxa"/>
          </w:tcPr>
          <w:p w14:paraId="51EADE86" w14:textId="77777777" w:rsidR="000766FA" w:rsidRPr="00105ACC" w:rsidRDefault="000766FA" w:rsidP="00F942F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Strategy specific</w:t>
            </w:r>
          </w:p>
        </w:tc>
      </w:tr>
      <w:tr w:rsidR="000766FA" w:rsidRPr="00105ACC" w14:paraId="34F8183F" w14:textId="77777777" w:rsidTr="00DB035C">
        <w:trPr>
          <w:trHeight w:val="301"/>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5A5A5" w:themeColor="accent3"/>
              <w:bottom w:val="dashed" w:sz="4" w:space="0" w:color="A5A5A5" w:themeColor="accent3"/>
            </w:tcBorders>
          </w:tcPr>
          <w:p w14:paraId="5C3963E7" w14:textId="77777777" w:rsidR="000766FA" w:rsidRPr="00105ACC" w:rsidRDefault="000766FA" w:rsidP="000766FA">
            <w:pPr>
              <w:rPr>
                <w:rFonts w:ascii="Calibri" w:eastAsia="Calibri" w:hAnsi="Calibri" w:cs="Times New Roman"/>
                <w:sz w:val="18"/>
                <w:szCs w:val="18"/>
              </w:rPr>
            </w:pPr>
            <w:r w:rsidRPr="00105ACC">
              <w:rPr>
                <w:rFonts w:ascii="Calibri" w:eastAsia="Calibri" w:hAnsi="Calibri" w:cs="Times New Roman"/>
                <w:sz w:val="18"/>
                <w:szCs w:val="18"/>
              </w:rPr>
              <w:t>Envir</w:t>
            </w:r>
            <w:r>
              <w:rPr>
                <w:rFonts w:ascii="Calibri" w:eastAsia="Calibri" w:hAnsi="Calibri" w:cs="Times New Roman"/>
                <w:sz w:val="18"/>
                <w:szCs w:val="18"/>
              </w:rPr>
              <w:t>onmental context and</w:t>
            </w:r>
          </w:p>
        </w:tc>
        <w:tc>
          <w:tcPr>
            <w:tcW w:w="9214" w:type="dxa"/>
          </w:tcPr>
          <w:p w14:paraId="20BA75BA" w14:textId="77777777" w:rsidR="000766FA" w:rsidRPr="00B15EA1" w:rsidRDefault="000766FA" w:rsidP="004F631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rPr>
            </w:pPr>
            <w:r>
              <w:rPr>
                <w:rFonts w:ascii="Calibri" w:eastAsia="Calibri" w:hAnsi="Calibri" w:cs="Times New Roman"/>
                <w:sz w:val="18"/>
              </w:rPr>
              <w:t>“</w:t>
            </w:r>
            <w:r w:rsidRPr="00B77E30">
              <w:rPr>
                <w:rFonts w:ascii="Calibri" w:eastAsia="Calibri" w:hAnsi="Calibri" w:cs="Times New Roman"/>
                <w:sz w:val="18"/>
              </w:rPr>
              <w:t xml:space="preserve">Complex implementation in areas with high MDR </w:t>
            </w:r>
            <w:r>
              <w:rPr>
                <w:rFonts w:ascii="Calibri" w:eastAsia="Calibri" w:hAnsi="Calibri" w:cs="Times New Roman"/>
                <w:sz w:val="18"/>
              </w:rPr>
              <w:t>[</w:t>
            </w:r>
            <w:r w:rsidRPr="00800191">
              <w:rPr>
                <w:sz w:val="18"/>
                <w:szCs w:val="18"/>
              </w:rPr>
              <w:t>multiple drug resistant</w:t>
            </w:r>
            <w:r>
              <w:rPr>
                <w:rFonts w:ascii="Calibri" w:eastAsia="Calibri" w:hAnsi="Calibri" w:cs="Times New Roman"/>
                <w:sz w:val="18"/>
              </w:rPr>
              <w:t xml:space="preserve">] </w:t>
            </w:r>
            <w:r w:rsidRPr="00B77E30">
              <w:rPr>
                <w:rFonts w:ascii="Calibri" w:eastAsia="Calibri" w:hAnsi="Calibri" w:cs="Times New Roman"/>
                <w:sz w:val="18"/>
              </w:rPr>
              <w:t>bacteria prevalence (e.g. A high prevalence of MDR pathogens limits the number of available antibiotic options)</w:t>
            </w:r>
            <w:r>
              <w:rPr>
                <w:rFonts w:ascii="Calibri" w:eastAsia="Calibri" w:hAnsi="Calibri" w:cs="Times New Roman"/>
                <w:sz w:val="18"/>
              </w:rPr>
              <w:t>”</w:t>
            </w:r>
          </w:p>
        </w:tc>
        <w:tc>
          <w:tcPr>
            <w:tcW w:w="1701" w:type="dxa"/>
          </w:tcPr>
          <w:p w14:paraId="2C432E1F" w14:textId="77777777" w:rsidR="000766FA" w:rsidRPr="00105ACC"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roofErr w:type="spellStart"/>
            <w:r w:rsidRPr="00105ACC">
              <w:rPr>
                <w:rFonts w:ascii="Calibri" w:eastAsia="Calibri" w:hAnsi="Calibri" w:cs="Times New Roman"/>
                <w:sz w:val="18"/>
                <w:szCs w:val="18"/>
              </w:rPr>
              <w:t>Pulcini</w:t>
            </w:r>
            <w:proofErr w:type="spellEnd"/>
            <w:r w:rsidRPr="00105ACC">
              <w:rPr>
                <w:rFonts w:ascii="Calibri" w:eastAsia="Calibri" w:hAnsi="Calibri" w:cs="Times New Roman"/>
                <w:sz w:val="18"/>
                <w:szCs w:val="18"/>
              </w:rPr>
              <w:t>, 2017</w:t>
            </w:r>
            <w:r>
              <w:rPr>
                <w:rFonts w:ascii="Calibri" w:eastAsia="Calibri" w:hAnsi="Calibri" w:cs="Times New Roman"/>
                <w:sz w:val="18"/>
                <w:szCs w:val="18"/>
                <w:vertAlign w:val="superscript"/>
              </w:rPr>
              <w:t>B</w:t>
            </w:r>
          </w:p>
        </w:tc>
        <w:tc>
          <w:tcPr>
            <w:tcW w:w="1701" w:type="dxa"/>
          </w:tcPr>
          <w:p w14:paraId="284D3507" w14:textId="77777777" w:rsidR="000766FA" w:rsidRPr="00105ACC"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Context specific</w:t>
            </w:r>
          </w:p>
        </w:tc>
      </w:tr>
      <w:tr w:rsidR="000766FA" w:rsidRPr="00105ACC" w14:paraId="23F26792" w14:textId="77777777" w:rsidTr="00DB035C">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dashed" w:sz="4" w:space="0" w:color="A5A5A5" w:themeColor="accent3"/>
            </w:tcBorders>
          </w:tcPr>
          <w:p w14:paraId="6A4D44E7" w14:textId="77777777" w:rsidR="000766FA" w:rsidRPr="00105ACC" w:rsidRDefault="000766FA" w:rsidP="000766FA">
            <w:pPr>
              <w:rPr>
                <w:rFonts w:ascii="Calibri" w:eastAsia="Calibri" w:hAnsi="Calibri" w:cs="Times New Roman"/>
                <w:sz w:val="18"/>
                <w:szCs w:val="18"/>
              </w:rPr>
            </w:pPr>
            <w:r>
              <w:rPr>
                <w:rFonts w:ascii="Calibri" w:eastAsia="Calibri" w:hAnsi="Calibri" w:cs="Times New Roman"/>
                <w:sz w:val="18"/>
                <w:szCs w:val="18"/>
              </w:rPr>
              <w:t>Resources</w:t>
            </w:r>
          </w:p>
        </w:tc>
        <w:tc>
          <w:tcPr>
            <w:tcW w:w="9214" w:type="dxa"/>
          </w:tcPr>
          <w:p w14:paraId="3159478E" w14:textId="2CF5161D" w:rsidR="000766FA" w:rsidRPr="00105ACC" w:rsidRDefault="000766FA" w:rsidP="000766F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 xml:space="preserve">(B) </w:t>
            </w:r>
            <w:proofErr w:type="gramStart"/>
            <w:r>
              <w:rPr>
                <w:rFonts w:ascii="Calibri" w:eastAsia="Calibri" w:hAnsi="Calibri" w:cs="Times New Roman"/>
                <w:sz w:val="18"/>
                <w:szCs w:val="18"/>
              </w:rPr>
              <w:t xml:space="preserve">   “</w:t>
            </w:r>
            <w:proofErr w:type="gramEnd"/>
            <w:r w:rsidRPr="00105ACC">
              <w:rPr>
                <w:rFonts w:ascii="Calibri" w:eastAsia="Calibri" w:hAnsi="Calibri" w:cs="Times New Roman"/>
                <w:sz w:val="18"/>
                <w:szCs w:val="18"/>
              </w:rPr>
              <w:t>Dedicated pharmacist time</w:t>
            </w:r>
            <w:r>
              <w:rPr>
                <w:rFonts w:ascii="Calibri" w:eastAsia="Calibri" w:hAnsi="Calibri" w:cs="Times New Roman"/>
                <w:sz w:val="18"/>
                <w:szCs w:val="18"/>
              </w:rPr>
              <w:t>”</w:t>
            </w:r>
            <w:r>
              <w:t xml:space="preserve"> </w:t>
            </w:r>
            <w:r w:rsidRPr="000669B3">
              <w:rPr>
                <w:rFonts w:ascii="Calibri" w:eastAsia="Calibri" w:hAnsi="Calibri" w:cs="Times New Roman"/>
                <w:sz w:val="18"/>
                <w:szCs w:val="18"/>
              </w:rPr>
              <w:t>(also coded at ‘</w:t>
            </w:r>
            <w:r w:rsidRPr="000669B3">
              <w:rPr>
                <w:rFonts w:ascii="Calibri" w:eastAsia="Calibri" w:hAnsi="Calibri" w:cs="Times New Roman"/>
                <w:i/>
                <w:sz w:val="18"/>
                <w:szCs w:val="18"/>
              </w:rPr>
              <w:t>social influences</w:t>
            </w:r>
            <w:r w:rsidRPr="000669B3">
              <w:rPr>
                <w:rFonts w:ascii="Calibri" w:eastAsia="Calibri" w:hAnsi="Calibri" w:cs="Times New Roman"/>
                <w:sz w:val="18"/>
                <w:szCs w:val="18"/>
              </w:rPr>
              <w:t>’)</w:t>
            </w:r>
          </w:p>
          <w:p w14:paraId="491AF32B" w14:textId="46B71C3E" w:rsidR="000766FA" w:rsidRPr="00B77E30" w:rsidRDefault="000766FA" w:rsidP="004F631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lastRenderedPageBreak/>
              <w:t>“</w:t>
            </w:r>
            <w:r w:rsidRPr="00B77E30">
              <w:rPr>
                <w:rFonts w:ascii="Calibri" w:eastAsia="Calibri" w:hAnsi="Calibri" w:cs="Times New Roman"/>
                <w:sz w:val="18"/>
                <w:szCs w:val="18"/>
              </w:rPr>
              <w:t>ID physician participation</w:t>
            </w:r>
            <w:r>
              <w:rPr>
                <w:rFonts w:ascii="Calibri" w:eastAsia="Calibri" w:hAnsi="Calibri" w:cs="Times New Roman"/>
                <w:sz w:val="18"/>
                <w:szCs w:val="18"/>
              </w:rPr>
              <w:t>”</w:t>
            </w:r>
            <w:r>
              <w:t xml:space="preserve"> </w:t>
            </w:r>
            <w:r w:rsidRPr="000669B3">
              <w:rPr>
                <w:rFonts w:ascii="Calibri" w:eastAsia="Calibri" w:hAnsi="Calibri" w:cs="Times New Roman"/>
                <w:sz w:val="18"/>
                <w:szCs w:val="18"/>
              </w:rPr>
              <w:t>(also coded at ‘</w:t>
            </w:r>
            <w:r w:rsidRPr="000669B3">
              <w:rPr>
                <w:rFonts w:ascii="Calibri" w:eastAsia="Calibri" w:hAnsi="Calibri" w:cs="Times New Roman"/>
                <w:i/>
                <w:sz w:val="18"/>
                <w:szCs w:val="18"/>
              </w:rPr>
              <w:t>social influences</w:t>
            </w:r>
            <w:r w:rsidRPr="000669B3">
              <w:rPr>
                <w:rFonts w:ascii="Calibri" w:eastAsia="Calibri" w:hAnsi="Calibri" w:cs="Times New Roman"/>
                <w:sz w:val="18"/>
                <w:szCs w:val="18"/>
              </w:rPr>
              <w:t>’)</w:t>
            </w:r>
          </w:p>
          <w:p w14:paraId="29EF97A2" w14:textId="5641DAFA" w:rsidR="000766FA" w:rsidRPr="000669B3" w:rsidRDefault="000766FA" w:rsidP="004F631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0669B3">
              <w:rPr>
                <w:rFonts w:ascii="Calibri" w:eastAsia="Calibri" w:hAnsi="Calibri" w:cs="Times New Roman"/>
                <w:sz w:val="18"/>
                <w:szCs w:val="18"/>
              </w:rPr>
              <w:t>“Pharmacy administration”</w:t>
            </w:r>
            <w:r>
              <w:t xml:space="preserve"> </w:t>
            </w:r>
            <w:r w:rsidRPr="000669B3">
              <w:rPr>
                <w:rFonts w:ascii="Calibri" w:eastAsia="Calibri" w:hAnsi="Calibri" w:cs="Times New Roman"/>
                <w:sz w:val="18"/>
                <w:szCs w:val="18"/>
              </w:rPr>
              <w:t>(also coded at ‘</w:t>
            </w:r>
            <w:r w:rsidRPr="000669B3">
              <w:rPr>
                <w:rFonts w:ascii="Calibri" w:eastAsia="Calibri" w:hAnsi="Calibri" w:cs="Times New Roman"/>
                <w:i/>
                <w:sz w:val="18"/>
                <w:szCs w:val="18"/>
              </w:rPr>
              <w:t>social influences</w:t>
            </w:r>
            <w:r w:rsidRPr="000669B3">
              <w:rPr>
                <w:rFonts w:ascii="Calibri" w:eastAsia="Calibri" w:hAnsi="Calibri" w:cs="Times New Roman"/>
                <w:sz w:val="18"/>
                <w:szCs w:val="18"/>
              </w:rPr>
              <w:t>’)</w:t>
            </w:r>
          </w:p>
          <w:p w14:paraId="6798E19D" w14:textId="77777777" w:rsidR="000766FA" w:rsidRPr="00B77E30" w:rsidRDefault="000766FA" w:rsidP="004F6318">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B77E30">
              <w:rPr>
                <w:rFonts w:ascii="Calibri" w:eastAsia="Calibri" w:hAnsi="Calibri" w:cs="Times New Roman"/>
                <w:sz w:val="18"/>
                <w:szCs w:val="18"/>
              </w:rPr>
              <w:t>Inadequate computer linkage between the pharmacy and microbiology laboratory</w:t>
            </w:r>
            <w:r>
              <w:rPr>
                <w:rFonts w:ascii="Calibri" w:eastAsia="Calibri" w:hAnsi="Calibri" w:cs="Times New Roman"/>
                <w:sz w:val="18"/>
                <w:szCs w:val="18"/>
              </w:rPr>
              <w:t>”</w:t>
            </w:r>
          </w:p>
        </w:tc>
        <w:tc>
          <w:tcPr>
            <w:tcW w:w="1701" w:type="dxa"/>
          </w:tcPr>
          <w:p w14:paraId="6F1433FA" w14:textId="77777777" w:rsidR="000766FA" w:rsidRPr="00105ACC"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roofErr w:type="spellStart"/>
            <w:r w:rsidRPr="00105ACC">
              <w:rPr>
                <w:rFonts w:ascii="Calibri" w:eastAsia="Calibri" w:hAnsi="Calibri" w:cs="Times New Roman"/>
                <w:sz w:val="18"/>
                <w:szCs w:val="18"/>
              </w:rPr>
              <w:lastRenderedPageBreak/>
              <w:t>Itokazu</w:t>
            </w:r>
            <w:proofErr w:type="spellEnd"/>
            <w:r w:rsidRPr="00105ACC">
              <w:rPr>
                <w:rFonts w:ascii="Calibri" w:eastAsia="Calibri" w:hAnsi="Calibri" w:cs="Times New Roman"/>
                <w:sz w:val="18"/>
                <w:szCs w:val="18"/>
              </w:rPr>
              <w:t>, 2006</w:t>
            </w:r>
            <w:r>
              <w:rPr>
                <w:rFonts w:ascii="Calibri" w:eastAsia="Calibri" w:hAnsi="Calibri" w:cs="Times New Roman"/>
                <w:sz w:val="18"/>
                <w:szCs w:val="18"/>
                <w:vertAlign w:val="superscript"/>
              </w:rPr>
              <w:t>H</w:t>
            </w:r>
          </w:p>
        </w:tc>
        <w:tc>
          <w:tcPr>
            <w:tcW w:w="1701" w:type="dxa"/>
          </w:tcPr>
          <w:p w14:paraId="751AE5E5" w14:textId="77777777" w:rsidR="000766FA" w:rsidRPr="00105ACC"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G</w:t>
            </w:r>
            <w:r>
              <w:rPr>
                <w:rFonts w:ascii="Calibri" w:eastAsia="Calibri" w:hAnsi="Calibri" w:cs="Times New Roman"/>
                <w:sz w:val="18"/>
                <w:szCs w:val="18"/>
              </w:rPr>
              <w:t>eneric</w:t>
            </w:r>
          </w:p>
        </w:tc>
      </w:tr>
      <w:tr w:rsidR="000766FA" w:rsidRPr="00105ACC" w14:paraId="05BAF861" w14:textId="77777777" w:rsidTr="00DB035C">
        <w:trPr>
          <w:trHeight w:val="281"/>
        </w:trPr>
        <w:tc>
          <w:tcPr>
            <w:cnfStyle w:val="001000000000" w:firstRow="0" w:lastRow="0" w:firstColumn="1" w:lastColumn="0" w:oddVBand="0" w:evenVBand="0" w:oddHBand="0" w:evenHBand="0" w:firstRowFirstColumn="0" w:firstRowLastColumn="0" w:lastRowFirstColumn="0" w:lastRowLastColumn="0"/>
            <w:tcW w:w="1418" w:type="dxa"/>
            <w:vMerge/>
          </w:tcPr>
          <w:p w14:paraId="25674A31" w14:textId="77777777" w:rsidR="000766FA" w:rsidRPr="00105ACC" w:rsidRDefault="000766FA" w:rsidP="000766FA">
            <w:pPr>
              <w:rPr>
                <w:rFonts w:ascii="Calibri" w:eastAsia="Calibri" w:hAnsi="Calibri" w:cs="Times New Roman"/>
                <w:sz w:val="18"/>
                <w:szCs w:val="18"/>
              </w:rPr>
            </w:pPr>
          </w:p>
        </w:tc>
        <w:tc>
          <w:tcPr>
            <w:tcW w:w="9214" w:type="dxa"/>
          </w:tcPr>
          <w:p w14:paraId="0695F0E0" w14:textId="77777777" w:rsidR="000766FA" w:rsidRPr="00B77E30" w:rsidRDefault="000766FA" w:rsidP="004F6318">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rPr>
            </w:pPr>
            <w:r>
              <w:rPr>
                <w:rFonts w:ascii="Calibri" w:eastAsia="Calibri" w:hAnsi="Calibri" w:cs="Times New Roman"/>
                <w:sz w:val="18"/>
              </w:rPr>
              <w:t>“</w:t>
            </w:r>
            <w:r w:rsidRPr="00B77E30">
              <w:rPr>
                <w:rFonts w:ascii="Calibri" w:eastAsia="Calibri" w:hAnsi="Calibri" w:cs="Times New Roman"/>
                <w:sz w:val="18"/>
              </w:rPr>
              <w:t>Lack of funding or personnel</w:t>
            </w:r>
            <w:r>
              <w:rPr>
                <w:rFonts w:ascii="Calibri" w:eastAsia="Calibri" w:hAnsi="Calibri" w:cs="Times New Roman"/>
                <w:sz w:val="18"/>
              </w:rPr>
              <w:t>”</w:t>
            </w:r>
          </w:p>
          <w:p w14:paraId="41468842" w14:textId="462078DB" w:rsidR="000766FA" w:rsidRPr="00B77E30" w:rsidRDefault="000766FA" w:rsidP="004F6318">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rPr>
            </w:pPr>
            <w:r w:rsidRPr="00652671">
              <w:rPr>
                <w:sz w:val="18"/>
                <w:szCs w:val="18"/>
              </w:rPr>
              <w:t>“Lack of information technology [to] support [an ASP] and/or inability to get [patient] data” (also coded at ‘</w:t>
            </w:r>
            <w:r w:rsidRPr="00652671">
              <w:rPr>
                <w:i/>
                <w:sz w:val="18"/>
                <w:szCs w:val="18"/>
              </w:rPr>
              <w:t>knowledge</w:t>
            </w:r>
            <w:r w:rsidRPr="00652671">
              <w:rPr>
                <w:sz w:val="18"/>
                <w:szCs w:val="18"/>
              </w:rPr>
              <w:t>’)</w:t>
            </w:r>
          </w:p>
        </w:tc>
        <w:tc>
          <w:tcPr>
            <w:tcW w:w="1701" w:type="dxa"/>
          </w:tcPr>
          <w:p w14:paraId="49E61F5F" w14:textId="77777777" w:rsidR="000766FA" w:rsidRPr="00105ACC"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Johannsson, 2011</w:t>
            </w:r>
            <w:r>
              <w:rPr>
                <w:rFonts w:ascii="Calibri" w:eastAsia="Calibri" w:hAnsi="Calibri" w:cs="Times New Roman"/>
                <w:sz w:val="18"/>
                <w:szCs w:val="18"/>
                <w:vertAlign w:val="superscript"/>
              </w:rPr>
              <w:t>C</w:t>
            </w:r>
          </w:p>
        </w:tc>
        <w:tc>
          <w:tcPr>
            <w:tcW w:w="1701" w:type="dxa"/>
          </w:tcPr>
          <w:p w14:paraId="1C4E5FB9" w14:textId="77777777" w:rsidR="000766FA" w:rsidRPr="00105ACC"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G</w:t>
            </w:r>
            <w:r>
              <w:rPr>
                <w:rFonts w:ascii="Calibri" w:eastAsia="Calibri" w:hAnsi="Calibri" w:cs="Times New Roman"/>
                <w:sz w:val="18"/>
                <w:szCs w:val="18"/>
              </w:rPr>
              <w:t>eneric</w:t>
            </w:r>
          </w:p>
        </w:tc>
      </w:tr>
      <w:tr w:rsidR="000766FA" w:rsidRPr="00105ACC" w14:paraId="6A780A35" w14:textId="77777777" w:rsidTr="00DB035C">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418" w:type="dxa"/>
            <w:vMerge/>
          </w:tcPr>
          <w:p w14:paraId="0F07EB99" w14:textId="77777777" w:rsidR="000766FA" w:rsidRPr="00105ACC" w:rsidRDefault="000766FA" w:rsidP="000766FA">
            <w:pPr>
              <w:rPr>
                <w:rFonts w:ascii="Calibri" w:eastAsia="Calibri" w:hAnsi="Calibri" w:cs="Times New Roman"/>
                <w:sz w:val="18"/>
                <w:szCs w:val="18"/>
              </w:rPr>
            </w:pPr>
          </w:p>
        </w:tc>
        <w:tc>
          <w:tcPr>
            <w:tcW w:w="9214" w:type="dxa"/>
          </w:tcPr>
          <w:p w14:paraId="3DE5F99D" w14:textId="77777777" w:rsidR="000766FA" w:rsidRPr="00B77E30" w:rsidRDefault="000766FA" w:rsidP="004F6318">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rPr>
            </w:pPr>
            <w:r>
              <w:rPr>
                <w:rFonts w:ascii="Calibri" w:eastAsia="Calibri" w:hAnsi="Calibri" w:cs="Times New Roman"/>
                <w:sz w:val="18"/>
              </w:rPr>
              <w:t>“</w:t>
            </w:r>
            <w:r w:rsidRPr="00B77E30">
              <w:rPr>
                <w:rFonts w:ascii="Calibri" w:eastAsia="Calibri" w:hAnsi="Calibri" w:cs="Times New Roman"/>
                <w:sz w:val="18"/>
              </w:rPr>
              <w:t>Lack of dedicated pharmacy staff</w:t>
            </w:r>
            <w:r>
              <w:rPr>
                <w:rFonts w:ascii="Calibri" w:eastAsia="Calibri" w:hAnsi="Calibri" w:cs="Times New Roman"/>
                <w:sz w:val="18"/>
              </w:rPr>
              <w:t>”</w:t>
            </w:r>
          </w:p>
          <w:p w14:paraId="3AA5DC3E" w14:textId="77777777" w:rsidR="000766FA" w:rsidRPr="00B77E30" w:rsidRDefault="000766FA" w:rsidP="004F6318">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rPr>
            </w:pPr>
            <w:r>
              <w:rPr>
                <w:rFonts w:ascii="Calibri" w:eastAsia="Calibri" w:hAnsi="Calibri" w:cs="Times New Roman"/>
                <w:sz w:val="18"/>
              </w:rPr>
              <w:t>“</w:t>
            </w:r>
            <w:r w:rsidRPr="00B77E30">
              <w:rPr>
                <w:rFonts w:ascii="Calibri" w:eastAsia="Calibri" w:hAnsi="Calibri" w:cs="Times New Roman"/>
                <w:sz w:val="18"/>
              </w:rPr>
              <w:t>Lack of dedicated medical staff</w:t>
            </w:r>
            <w:r>
              <w:rPr>
                <w:rFonts w:ascii="Calibri" w:eastAsia="Calibri" w:hAnsi="Calibri" w:cs="Times New Roman"/>
                <w:sz w:val="18"/>
              </w:rPr>
              <w:t>”</w:t>
            </w:r>
          </w:p>
        </w:tc>
        <w:tc>
          <w:tcPr>
            <w:tcW w:w="1701" w:type="dxa"/>
          </w:tcPr>
          <w:p w14:paraId="07FF190F" w14:textId="77777777" w:rsidR="000766FA" w:rsidRPr="00105ACC"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Bryant, 2015</w:t>
            </w:r>
            <w:r>
              <w:rPr>
                <w:rFonts w:ascii="Calibri" w:eastAsia="Calibri" w:hAnsi="Calibri" w:cs="Times New Roman"/>
                <w:sz w:val="18"/>
                <w:szCs w:val="18"/>
                <w:vertAlign w:val="superscript"/>
              </w:rPr>
              <w:t>A</w:t>
            </w:r>
          </w:p>
        </w:tc>
        <w:tc>
          <w:tcPr>
            <w:tcW w:w="1701" w:type="dxa"/>
          </w:tcPr>
          <w:p w14:paraId="60710274" w14:textId="77777777" w:rsidR="000766FA" w:rsidRPr="00105ACC"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G</w:t>
            </w:r>
            <w:r>
              <w:rPr>
                <w:rFonts w:ascii="Calibri" w:eastAsia="Calibri" w:hAnsi="Calibri" w:cs="Times New Roman"/>
                <w:sz w:val="18"/>
                <w:szCs w:val="18"/>
              </w:rPr>
              <w:t>eneric</w:t>
            </w:r>
          </w:p>
        </w:tc>
      </w:tr>
      <w:tr w:rsidR="000766FA" w:rsidRPr="00105ACC" w14:paraId="36459CB2" w14:textId="77777777" w:rsidTr="00DB035C">
        <w:trPr>
          <w:trHeight w:val="132"/>
        </w:trPr>
        <w:tc>
          <w:tcPr>
            <w:cnfStyle w:val="001000000000" w:firstRow="0" w:lastRow="0" w:firstColumn="1" w:lastColumn="0" w:oddVBand="0" w:evenVBand="0" w:oddHBand="0" w:evenHBand="0" w:firstRowFirstColumn="0" w:firstRowLastColumn="0" w:lastRowFirstColumn="0" w:lastRowLastColumn="0"/>
            <w:tcW w:w="1418" w:type="dxa"/>
            <w:vMerge/>
          </w:tcPr>
          <w:p w14:paraId="3A27AC6E" w14:textId="77777777" w:rsidR="000766FA" w:rsidRPr="00105ACC" w:rsidRDefault="000766FA" w:rsidP="000766FA">
            <w:pPr>
              <w:rPr>
                <w:rFonts w:ascii="Calibri" w:eastAsia="Calibri" w:hAnsi="Calibri" w:cs="Times New Roman"/>
                <w:sz w:val="18"/>
                <w:szCs w:val="18"/>
              </w:rPr>
            </w:pPr>
          </w:p>
        </w:tc>
        <w:tc>
          <w:tcPr>
            <w:tcW w:w="9214" w:type="dxa"/>
          </w:tcPr>
          <w:p w14:paraId="1F0EB840" w14:textId="77777777" w:rsidR="000766FA" w:rsidRPr="00B77E30" w:rsidRDefault="000766FA" w:rsidP="004F6318">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B77E30">
              <w:rPr>
                <w:rFonts w:ascii="Calibri" w:eastAsia="Calibri" w:hAnsi="Calibri" w:cs="Times New Roman"/>
                <w:sz w:val="18"/>
                <w:szCs w:val="18"/>
              </w:rPr>
              <w:t>Lack of resources, inclu</w:t>
            </w:r>
            <w:r>
              <w:rPr>
                <w:rFonts w:ascii="Calibri" w:eastAsia="Calibri" w:hAnsi="Calibri" w:cs="Times New Roman"/>
                <w:sz w:val="18"/>
                <w:szCs w:val="18"/>
              </w:rPr>
              <w:t>ding limited time and personnel”</w:t>
            </w:r>
          </w:p>
          <w:p w14:paraId="12BF433F" w14:textId="77777777" w:rsidR="000766FA" w:rsidRPr="00B77E30" w:rsidRDefault="000766FA" w:rsidP="004F631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B77E30">
              <w:rPr>
                <w:rFonts w:ascii="Calibri" w:eastAsia="Calibri" w:hAnsi="Calibri" w:cs="Times New Roman"/>
                <w:sz w:val="18"/>
                <w:szCs w:val="18"/>
              </w:rPr>
              <w:t>The need for more rigorous informatics support</w:t>
            </w:r>
            <w:r>
              <w:rPr>
                <w:rFonts w:ascii="Calibri" w:eastAsia="Calibri" w:hAnsi="Calibri" w:cs="Times New Roman"/>
                <w:sz w:val="18"/>
                <w:szCs w:val="18"/>
              </w:rPr>
              <w:t>”</w:t>
            </w:r>
          </w:p>
          <w:p w14:paraId="4E83931D" w14:textId="6A34E9E2" w:rsidR="000766FA" w:rsidRPr="00B77E30" w:rsidRDefault="000766FA" w:rsidP="004F6318">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B77E30">
              <w:rPr>
                <w:rFonts w:ascii="Calibri" w:eastAsia="Calibri" w:hAnsi="Calibri" w:cs="Times New Roman"/>
                <w:sz w:val="18"/>
                <w:szCs w:val="18"/>
              </w:rPr>
              <w:t>Lack of high-quality data on appropriate antimicrobial use</w:t>
            </w:r>
            <w:r>
              <w:rPr>
                <w:rFonts w:ascii="Calibri" w:eastAsia="Calibri" w:hAnsi="Calibri" w:cs="Times New Roman"/>
                <w:sz w:val="18"/>
                <w:szCs w:val="18"/>
              </w:rPr>
              <w:t>”</w:t>
            </w:r>
            <w:r w:rsidRPr="00652671">
              <w:rPr>
                <w:sz w:val="18"/>
                <w:szCs w:val="18"/>
              </w:rPr>
              <w:t xml:space="preserve"> (also coded at ‘</w:t>
            </w:r>
            <w:r w:rsidRPr="00652671">
              <w:rPr>
                <w:i/>
                <w:sz w:val="18"/>
                <w:szCs w:val="18"/>
              </w:rPr>
              <w:t>knowledge</w:t>
            </w:r>
            <w:r w:rsidRPr="00652671">
              <w:rPr>
                <w:sz w:val="18"/>
                <w:szCs w:val="18"/>
              </w:rPr>
              <w:t>’)</w:t>
            </w:r>
          </w:p>
        </w:tc>
        <w:tc>
          <w:tcPr>
            <w:tcW w:w="1701" w:type="dxa"/>
          </w:tcPr>
          <w:p w14:paraId="28AFA776" w14:textId="77777777" w:rsidR="000766FA" w:rsidRPr="00105ACC"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roofErr w:type="spellStart"/>
            <w:r w:rsidRPr="00105ACC">
              <w:rPr>
                <w:rFonts w:ascii="Calibri" w:eastAsia="Calibri" w:hAnsi="Calibri" w:cs="Times New Roman"/>
                <w:sz w:val="18"/>
                <w:szCs w:val="18"/>
              </w:rPr>
              <w:t>Livorsi</w:t>
            </w:r>
            <w:proofErr w:type="spellEnd"/>
            <w:r w:rsidRPr="00105ACC">
              <w:rPr>
                <w:rFonts w:ascii="Calibri" w:eastAsia="Calibri" w:hAnsi="Calibri" w:cs="Times New Roman"/>
                <w:sz w:val="18"/>
                <w:szCs w:val="18"/>
              </w:rPr>
              <w:t>, 2016</w:t>
            </w:r>
            <w:r>
              <w:rPr>
                <w:rFonts w:ascii="Calibri" w:eastAsia="Calibri" w:hAnsi="Calibri" w:cs="Times New Roman"/>
                <w:sz w:val="18"/>
                <w:szCs w:val="18"/>
                <w:vertAlign w:val="superscript"/>
              </w:rPr>
              <w:t>E</w:t>
            </w:r>
          </w:p>
        </w:tc>
        <w:tc>
          <w:tcPr>
            <w:tcW w:w="1701" w:type="dxa"/>
          </w:tcPr>
          <w:p w14:paraId="75B8313B" w14:textId="77777777" w:rsidR="000766FA" w:rsidRPr="00105ACC"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Strategy specific</w:t>
            </w:r>
          </w:p>
        </w:tc>
      </w:tr>
      <w:tr w:rsidR="000766FA" w:rsidRPr="00105ACC" w14:paraId="01045D4B" w14:textId="77777777" w:rsidTr="00DB035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18" w:type="dxa"/>
            <w:vMerge/>
          </w:tcPr>
          <w:p w14:paraId="38872F51" w14:textId="77777777" w:rsidR="000766FA" w:rsidRPr="00105ACC" w:rsidRDefault="000766FA" w:rsidP="000766FA">
            <w:pPr>
              <w:rPr>
                <w:rFonts w:ascii="Calibri" w:eastAsia="Calibri" w:hAnsi="Calibri" w:cs="Times New Roman"/>
                <w:sz w:val="18"/>
                <w:szCs w:val="18"/>
              </w:rPr>
            </w:pPr>
          </w:p>
        </w:tc>
        <w:tc>
          <w:tcPr>
            <w:tcW w:w="9214" w:type="dxa"/>
          </w:tcPr>
          <w:p w14:paraId="352EFF2F" w14:textId="77777777" w:rsidR="000766FA" w:rsidRPr="00B77E30" w:rsidRDefault="000766FA" w:rsidP="004F631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B77E30">
              <w:rPr>
                <w:rFonts w:ascii="Calibri" w:eastAsia="Calibri" w:hAnsi="Calibri" w:cs="Times New Roman"/>
                <w:sz w:val="18"/>
                <w:szCs w:val="18"/>
              </w:rPr>
              <w:t>Insufficient data analysis resources</w:t>
            </w:r>
            <w:r>
              <w:rPr>
                <w:rFonts w:ascii="Calibri" w:eastAsia="Calibri" w:hAnsi="Calibri" w:cs="Times New Roman"/>
                <w:sz w:val="18"/>
                <w:szCs w:val="18"/>
              </w:rPr>
              <w:t>”</w:t>
            </w:r>
          </w:p>
          <w:p w14:paraId="67006FDC" w14:textId="77777777" w:rsidR="000766FA" w:rsidRPr="00B77E30" w:rsidRDefault="000766FA" w:rsidP="004F631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B77E30">
              <w:rPr>
                <w:rFonts w:ascii="Calibri" w:eastAsia="Calibri" w:hAnsi="Calibri" w:cs="Times New Roman"/>
                <w:sz w:val="18"/>
                <w:szCs w:val="18"/>
              </w:rPr>
              <w:t>Insufficient clinician time assigned to antimicrobial stewardship</w:t>
            </w:r>
            <w:r>
              <w:rPr>
                <w:rFonts w:ascii="Calibri" w:eastAsia="Calibri" w:hAnsi="Calibri" w:cs="Times New Roman"/>
                <w:sz w:val="18"/>
                <w:szCs w:val="18"/>
              </w:rPr>
              <w:t>”</w:t>
            </w:r>
          </w:p>
          <w:p w14:paraId="16D03732" w14:textId="77777777" w:rsidR="000766FA" w:rsidRPr="00B77E30" w:rsidRDefault="000766FA" w:rsidP="004F6318">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B77E30">
              <w:rPr>
                <w:rFonts w:ascii="Calibri" w:eastAsia="Calibri" w:hAnsi="Calibri" w:cs="Times New Roman"/>
                <w:sz w:val="18"/>
                <w:szCs w:val="18"/>
              </w:rPr>
              <w:t>Lack of electronic prescribing</w:t>
            </w:r>
            <w:r>
              <w:rPr>
                <w:rFonts w:ascii="Calibri" w:eastAsia="Calibri" w:hAnsi="Calibri" w:cs="Times New Roman"/>
                <w:sz w:val="18"/>
                <w:szCs w:val="18"/>
              </w:rPr>
              <w:t>”</w:t>
            </w:r>
          </w:p>
        </w:tc>
        <w:tc>
          <w:tcPr>
            <w:tcW w:w="1701" w:type="dxa"/>
          </w:tcPr>
          <w:p w14:paraId="4CE23EB2" w14:textId="77777777" w:rsidR="000766FA" w:rsidRPr="00105ACC"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Wolf, 2016</w:t>
            </w:r>
            <w:r>
              <w:rPr>
                <w:rFonts w:ascii="Calibri" w:eastAsia="Calibri" w:hAnsi="Calibri" w:cs="Times New Roman"/>
                <w:sz w:val="18"/>
                <w:szCs w:val="18"/>
                <w:vertAlign w:val="superscript"/>
              </w:rPr>
              <w:t>G</w:t>
            </w:r>
          </w:p>
        </w:tc>
        <w:tc>
          <w:tcPr>
            <w:tcW w:w="1701" w:type="dxa"/>
          </w:tcPr>
          <w:p w14:paraId="1E8C2216" w14:textId="77777777" w:rsidR="000766FA" w:rsidRPr="00105ACC"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G</w:t>
            </w:r>
            <w:r>
              <w:rPr>
                <w:rFonts w:ascii="Calibri" w:eastAsia="Calibri" w:hAnsi="Calibri" w:cs="Times New Roman"/>
                <w:sz w:val="18"/>
                <w:szCs w:val="18"/>
              </w:rPr>
              <w:t>eneric</w:t>
            </w:r>
          </w:p>
        </w:tc>
      </w:tr>
      <w:tr w:rsidR="000766FA" w:rsidRPr="00105ACC" w14:paraId="6A1E4A91" w14:textId="77777777" w:rsidTr="00DB035C">
        <w:trPr>
          <w:trHeight w:val="281"/>
        </w:trPr>
        <w:tc>
          <w:tcPr>
            <w:cnfStyle w:val="001000000000" w:firstRow="0" w:lastRow="0" w:firstColumn="1" w:lastColumn="0" w:oddVBand="0" w:evenVBand="0" w:oddHBand="0" w:evenHBand="0" w:firstRowFirstColumn="0" w:firstRowLastColumn="0" w:lastRowFirstColumn="0" w:lastRowLastColumn="0"/>
            <w:tcW w:w="1418" w:type="dxa"/>
            <w:vMerge/>
          </w:tcPr>
          <w:p w14:paraId="68DB7C84" w14:textId="77777777" w:rsidR="000766FA" w:rsidRPr="00105ACC" w:rsidRDefault="000766FA" w:rsidP="000766FA">
            <w:pPr>
              <w:rPr>
                <w:rFonts w:ascii="Calibri" w:eastAsia="Calibri" w:hAnsi="Calibri" w:cs="Times New Roman"/>
                <w:sz w:val="18"/>
                <w:szCs w:val="18"/>
              </w:rPr>
            </w:pPr>
          </w:p>
        </w:tc>
        <w:tc>
          <w:tcPr>
            <w:tcW w:w="9214" w:type="dxa"/>
          </w:tcPr>
          <w:p w14:paraId="4744C0C9" w14:textId="77777777" w:rsidR="000766FA" w:rsidRPr="00B77E30" w:rsidRDefault="000766FA" w:rsidP="004F6318">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rPr>
            </w:pPr>
            <w:r>
              <w:rPr>
                <w:rFonts w:ascii="Calibri" w:eastAsia="Calibri" w:hAnsi="Calibri" w:cs="Times New Roman"/>
                <w:sz w:val="18"/>
              </w:rPr>
              <w:t>“</w:t>
            </w:r>
            <w:r w:rsidRPr="00B77E30">
              <w:rPr>
                <w:rFonts w:ascii="Calibri" w:eastAsia="Calibri" w:hAnsi="Calibri" w:cs="Times New Roman"/>
                <w:sz w:val="18"/>
              </w:rPr>
              <w:t>Lack of personnel or funding</w:t>
            </w:r>
            <w:r>
              <w:rPr>
                <w:rFonts w:ascii="Calibri" w:eastAsia="Calibri" w:hAnsi="Calibri" w:cs="Times New Roman"/>
                <w:sz w:val="18"/>
              </w:rPr>
              <w:t>”</w:t>
            </w:r>
          </w:p>
          <w:p w14:paraId="33A4C5AC" w14:textId="51429C34" w:rsidR="000766FA" w:rsidRPr="00B77E30" w:rsidRDefault="000766FA" w:rsidP="004F631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652671">
              <w:rPr>
                <w:sz w:val="18"/>
                <w:szCs w:val="18"/>
              </w:rPr>
              <w:t>“Lack of information technology [to] support [an ASP] and/or inability to get [patient] data” (also coded at ‘</w:t>
            </w:r>
            <w:r w:rsidRPr="00652671">
              <w:rPr>
                <w:i/>
                <w:sz w:val="18"/>
                <w:szCs w:val="18"/>
              </w:rPr>
              <w:t>knowledge</w:t>
            </w:r>
            <w:r w:rsidRPr="00652671">
              <w:rPr>
                <w:sz w:val="18"/>
                <w:szCs w:val="18"/>
              </w:rPr>
              <w:t>’)</w:t>
            </w:r>
          </w:p>
        </w:tc>
        <w:tc>
          <w:tcPr>
            <w:tcW w:w="1701" w:type="dxa"/>
          </w:tcPr>
          <w:p w14:paraId="53402B7A" w14:textId="77777777" w:rsidR="000766FA" w:rsidRPr="00105ACC"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Howard, 2015</w:t>
            </w:r>
            <w:r>
              <w:rPr>
                <w:rFonts w:ascii="Calibri" w:eastAsia="Calibri" w:hAnsi="Calibri" w:cs="Times New Roman"/>
                <w:sz w:val="18"/>
                <w:szCs w:val="18"/>
                <w:vertAlign w:val="superscript"/>
              </w:rPr>
              <w:t>D</w:t>
            </w:r>
          </w:p>
        </w:tc>
        <w:tc>
          <w:tcPr>
            <w:tcW w:w="1701" w:type="dxa"/>
          </w:tcPr>
          <w:p w14:paraId="5FD0D8E9" w14:textId="77777777" w:rsidR="000766FA" w:rsidRPr="00105ACC"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G</w:t>
            </w:r>
            <w:r>
              <w:rPr>
                <w:rFonts w:ascii="Calibri" w:eastAsia="Calibri" w:hAnsi="Calibri" w:cs="Times New Roman"/>
                <w:sz w:val="18"/>
                <w:szCs w:val="18"/>
              </w:rPr>
              <w:t>eneric</w:t>
            </w:r>
          </w:p>
        </w:tc>
      </w:tr>
      <w:tr w:rsidR="000766FA" w:rsidRPr="00105ACC" w14:paraId="406B6721" w14:textId="77777777" w:rsidTr="00DB035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18" w:type="dxa"/>
            <w:vMerge/>
          </w:tcPr>
          <w:p w14:paraId="027359AF" w14:textId="77777777" w:rsidR="000766FA" w:rsidRPr="00105ACC" w:rsidRDefault="000766FA" w:rsidP="000766FA">
            <w:pPr>
              <w:rPr>
                <w:rFonts w:ascii="Calibri" w:eastAsia="Calibri" w:hAnsi="Calibri" w:cs="Times New Roman"/>
                <w:sz w:val="18"/>
                <w:szCs w:val="18"/>
              </w:rPr>
            </w:pPr>
          </w:p>
        </w:tc>
        <w:tc>
          <w:tcPr>
            <w:tcW w:w="9214" w:type="dxa"/>
          </w:tcPr>
          <w:p w14:paraId="1E443025" w14:textId="77777777" w:rsidR="000766FA" w:rsidRPr="00B77E30" w:rsidRDefault="000766FA" w:rsidP="004F631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rPr>
            </w:pPr>
            <w:r>
              <w:rPr>
                <w:rFonts w:ascii="Calibri" w:eastAsia="Calibri" w:hAnsi="Calibri" w:cs="Times New Roman"/>
                <w:sz w:val="18"/>
              </w:rPr>
              <w:t>“</w:t>
            </w:r>
            <w:r w:rsidRPr="00B77E30">
              <w:rPr>
                <w:rFonts w:ascii="Calibri" w:eastAsia="Calibri" w:hAnsi="Calibri" w:cs="Times New Roman"/>
                <w:sz w:val="18"/>
              </w:rPr>
              <w:t>Lack of human resources (e.g. Human resources in the laboratory are insufficient to guarantee the availability of results 24 h/day and 7 days/week in case of clinician request)</w:t>
            </w:r>
            <w:r>
              <w:rPr>
                <w:rFonts w:ascii="Calibri" w:eastAsia="Calibri" w:hAnsi="Calibri" w:cs="Times New Roman"/>
                <w:sz w:val="18"/>
              </w:rPr>
              <w:t>”</w:t>
            </w:r>
          </w:p>
          <w:p w14:paraId="38F7BD4E" w14:textId="77777777" w:rsidR="000766FA" w:rsidRPr="00B77E30" w:rsidRDefault="000766FA" w:rsidP="004F6318">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rPr>
            </w:pPr>
            <w:r>
              <w:rPr>
                <w:rFonts w:ascii="Calibri" w:eastAsia="Calibri" w:hAnsi="Calibri" w:cs="Times New Roman"/>
                <w:sz w:val="18"/>
              </w:rPr>
              <w:t>“</w:t>
            </w:r>
            <w:r w:rsidRPr="00B77E30">
              <w:rPr>
                <w:rFonts w:ascii="Calibri" w:eastAsia="Calibri" w:hAnsi="Calibri" w:cs="Times New Roman"/>
                <w:sz w:val="18"/>
              </w:rPr>
              <w:t>Lack of dedicated IT (e.g. Available IT does not assist the microbiologist in selective reporting and makes it an additional workload)</w:t>
            </w:r>
            <w:r>
              <w:rPr>
                <w:rFonts w:ascii="Calibri" w:eastAsia="Calibri" w:hAnsi="Calibri" w:cs="Times New Roman"/>
                <w:sz w:val="18"/>
              </w:rPr>
              <w:t>”</w:t>
            </w:r>
          </w:p>
          <w:p w14:paraId="13263D38" w14:textId="77777777" w:rsidR="000766FA" w:rsidRPr="00B77E30" w:rsidRDefault="000766FA" w:rsidP="004F631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rPr>
            </w:pPr>
            <w:r>
              <w:rPr>
                <w:rFonts w:ascii="Calibri" w:eastAsia="Calibri" w:hAnsi="Calibri" w:cs="Times New Roman"/>
                <w:sz w:val="18"/>
              </w:rPr>
              <w:t>“</w:t>
            </w:r>
            <w:r w:rsidRPr="00B77E30">
              <w:rPr>
                <w:rFonts w:ascii="Calibri" w:eastAsia="Calibri" w:hAnsi="Calibri" w:cs="Times New Roman"/>
                <w:sz w:val="18"/>
              </w:rPr>
              <w:t>Lack of regular supply of laboratory materials (e.g. Shortage of laboratory materials makes it difficult to organise AST according to guidelines)</w:t>
            </w:r>
            <w:r>
              <w:rPr>
                <w:rFonts w:ascii="Calibri" w:eastAsia="Calibri" w:hAnsi="Calibri" w:cs="Times New Roman"/>
                <w:sz w:val="18"/>
              </w:rPr>
              <w:t>”</w:t>
            </w:r>
          </w:p>
          <w:p w14:paraId="3D0745B1" w14:textId="77777777" w:rsidR="000766FA" w:rsidRPr="00B77E30" w:rsidRDefault="000766FA" w:rsidP="004F631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rPr>
            </w:pPr>
            <w:r>
              <w:rPr>
                <w:rFonts w:ascii="Calibri" w:eastAsia="Calibri" w:hAnsi="Calibri" w:cs="Times New Roman"/>
                <w:sz w:val="18"/>
              </w:rPr>
              <w:t>“</w:t>
            </w:r>
            <w:r w:rsidRPr="00B77E30">
              <w:rPr>
                <w:rFonts w:ascii="Calibri" w:eastAsia="Calibri" w:hAnsi="Calibri" w:cs="Times New Roman"/>
                <w:sz w:val="18"/>
              </w:rPr>
              <w:t>Significant economic constraints on healthcare budget (e.g. There are significant financial problems that are prioritised in health system planning)</w:t>
            </w:r>
            <w:r>
              <w:rPr>
                <w:rFonts w:ascii="Calibri" w:eastAsia="Calibri" w:hAnsi="Calibri" w:cs="Times New Roman"/>
                <w:sz w:val="18"/>
              </w:rPr>
              <w:t>”</w:t>
            </w:r>
          </w:p>
          <w:p w14:paraId="5B09618E" w14:textId="3DEC9F1B" w:rsidR="000766FA" w:rsidRPr="00B77E30" w:rsidRDefault="000766FA" w:rsidP="004F6318">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rPr>
            </w:pPr>
            <w:r>
              <w:rPr>
                <w:rFonts w:ascii="Calibri" w:eastAsia="Calibri" w:hAnsi="Calibri" w:cs="Times New Roman"/>
                <w:sz w:val="18"/>
              </w:rPr>
              <w:t>“</w:t>
            </w:r>
            <w:r w:rsidRPr="00B77E30">
              <w:rPr>
                <w:rFonts w:ascii="Calibri" w:eastAsia="Calibri" w:hAnsi="Calibri" w:cs="Times New Roman"/>
                <w:sz w:val="18"/>
              </w:rPr>
              <w:t>Lack of communication (e.g. Patient clinical data available in the laboratory are insufficient or Informing clinicians on hidden results is difficult and time consuming)</w:t>
            </w:r>
            <w:r>
              <w:rPr>
                <w:rFonts w:ascii="Calibri" w:eastAsia="Calibri" w:hAnsi="Calibri" w:cs="Times New Roman"/>
                <w:sz w:val="18"/>
              </w:rPr>
              <w:t>”</w:t>
            </w:r>
            <w:r w:rsidRPr="00652671">
              <w:rPr>
                <w:sz w:val="18"/>
                <w:szCs w:val="18"/>
              </w:rPr>
              <w:t xml:space="preserve"> (also coded at ‘</w:t>
            </w:r>
            <w:r w:rsidRPr="00652671">
              <w:rPr>
                <w:i/>
                <w:sz w:val="18"/>
                <w:szCs w:val="18"/>
              </w:rPr>
              <w:t>knowledge</w:t>
            </w:r>
            <w:r w:rsidRPr="00652671">
              <w:rPr>
                <w:sz w:val="18"/>
                <w:szCs w:val="18"/>
              </w:rPr>
              <w:t>’)</w:t>
            </w:r>
          </w:p>
        </w:tc>
        <w:tc>
          <w:tcPr>
            <w:tcW w:w="1701" w:type="dxa"/>
          </w:tcPr>
          <w:p w14:paraId="11F05EA7" w14:textId="77777777" w:rsidR="000766FA" w:rsidRPr="00105ACC"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roofErr w:type="spellStart"/>
            <w:r w:rsidRPr="00105ACC">
              <w:rPr>
                <w:rFonts w:ascii="Calibri" w:eastAsia="Calibri" w:hAnsi="Calibri" w:cs="Times New Roman"/>
                <w:sz w:val="18"/>
                <w:szCs w:val="18"/>
              </w:rPr>
              <w:t>Pulcini</w:t>
            </w:r>
            <w:proofErr w:type="spellEnd"/>
            <w:r w:rsidRPr="00105ACC">
              <w:rPr>
                <w:rFonts w:ascii="Calibri" w:eastAsia="Calibri" w:hAnsi="Calibri" w:cs="Times New Roman"/>
                <w:sz w:val="18"/>
                <w:szCs w:val="18"/>
              </w:rPr>
              <w:t>, 2017</w:t>
            </w:r>
            <w:r>
              <w:rPr>
                <w:rFonts w:ascii="Calibri" w:eastAsia="Calibri" w:hAnsi="Calibri" w:cs="Times New Roman"/>
                <w:sz w:val="18"/>
                <w:szCs w:val="18"/>
                <w:vertAlign w:val="superscript"/>
              </w:rPr>
              <w:t>B</w:t>
            </w:r>
          </w:p>
        </w:tc>
        <w:tc>
          <w:tcPr>
            <w:tcW w:w="1701" w:type="dxa"/>
          </w:tcPr>
          <w:p w14:paraId="4D6BECE2" w14:textId="77777777" w:rsidR="000766FA" w:rsidRPr="00105ACC"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Strategy specific</w:t>
            </w:r>
          </w:p>
        </w:tc>
      </w:tr>
      <w:tr w:rsidR="000766FA" w:rsidRPr="00105ACC" w14:paraId="5C7670C6" w14:textId="77777777" w:rsidTr="00DB035C">
        <w:trPr>
          <w:trHeight w:val="64"/>
        </w:trPr>
        <w:tc>
          <w:tcPr>
            <w:cnfStyle w:val="001000000000" w:firstRow="0" w:lastRow="0" w:firstColumn="1" w:lastColumn="0" w:oddVBand="0" w:evenVBand="0" w:oddHBand="0" w:evenHBand="0" w:firstRowFirstColumn="0" w:firstRowLastColumn="0" w:lastRowFirstColumn="0" w:lastRowLastColumn="0"/>
            <w:tcW w:w="1418" w:type="dxa"/>
            <w:vMerge/>
            <w:tcBorders>
              <w:bottom w:val="single" w:sz="4" w:space="0" w:color="A5A5A5" w:themeColor="accent3"/>
            </w:tcBorders>
          </w:tcPr>
          <w:p w14:paraId="4B91C6CB" w14:textId="77777777" w:rsidR="000766FA" w:rsidRPr="00105ACC" w:rsidRDefault="000766FA" w:rsidP="000766FA">
            <w:pPr>
              <w:rPr>
                <w:rFonts w:ascii="Calibri" w:eastAsia="Calibri" w:hAnsi="Calibri" w:cs="Times New Roman"/>
                <w:sz w:val="18"/>
                <w:szCs w:val="18"/>
              </w:rPr>
            </w:pPr>
          </w:p>
        </w:tc>
        <w:tc>
          <w:tcPr>
            <w:tcW w:w="9214" w:type="dxa"/>
          </w:tcPr>
          <w:p w14:paraId="328434C9" w14:textId="77777777" w:rsidR="000766FA" w:rsidRPr="0067012D" w:rsidRDefault="000766FA" w:rsidP="004F6318">
            <w:pPr>
              <w:pStyle w:val="ListParagraph"/>
              <w:numPr>
                <w:ilvl w:val="0"/>
                <w:numId w:val="65"/>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rPr>
            </w:pPr>
            <w:r w:rsidRPr="0067012D">
              <w:rPr>
                <w:rFonts w:ascii="Calibri" w:eastAsia="Calibri" w:hAnsi="Calibri" w:cs="Times New Roman"/>
                <w:sz w:val="18"/>
              </w:rPr>
              <w:t>“It will be difficult to progress programs without ring fencing of resources needed to implement and develop antibiotic programmes. (Ireland)”</w:t>
            </w:r>
          </w:p>
        </w:tc>
        <w:tc>
          <w:tcPr>
            <w:tcW w:w="1701" w:type="dxa"/>
          </w:tcPr>
          <w:p w14:paraId="14E9D119" w14:textId="77777777" w:rsidR="000766FA" w:rsidRPr="00105ACC"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67012D">
              <w:rPr>
                <w:rFonts w:ascii="Calibri" w:eastAsia="Calibri" w:hAnsi="Calibri" w:cs="Times New Roman"/>
                <w:sz w:val="18"/>
              </w:rPr>
              <w:t>Fleming, 2015F</w:t>
            </w:r>
            <w:r w:rsidRPr="0067012D">
              <w:rPr>
                <w:rFonts w:ascii="Calibri" w:eastAsia="Calibri" w:hAnsi="Calibri" w:cs="Times New Roman"/>
                <w:sz w:val="18"/>
              </w:rPr>
              <w:tab/>
            </w:r>
          </w:p>
        </w:tc>
        <w:tc>
          <w:tcPr>
            <w:tcW w:w="1701" w:type="dxa"/>
          </w:tcPr>
          <w:p w14:paraId="690769E5" w14:textId="77777777" w:rsidR="000766FA"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67012D">
              <w:rPr>
                <w:rFonts w:ascii="Calibri" w:eastAsia="Calibri" w:hAnsi="Calibri" w:cs="Times New Roman"/>
                <w:sz w:val="18"/>
              </w:rPr>
              <w:t>Generic</w:t>
            </w:r>
          </w:p>
        </w:tc>
      </w:tr>
      <w:tr w:rsidR="000766FA" w:rsidRPr="00105ACC" w14:paraId="402C6B2A" w14:textId="77777777" w:rsidTr="00F942F9">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418" w:type="dxa"/>
          </w:tcPr>
          <w:p w14:paraId="0EDE0406" w14:textId="77777777" w:rsidR="000766FA" w:rsidRPr="00105ACC" w:rsidRDefault="000766FA" w:rsidP="00F942F9">
            <w:pPr>
              <w:rPr>
                <w:rFonts w:ascii="Calibri" w:eastAsia="Calibri" w:hAnsi="Calibri" w:cs="Times New Roman"/>
                <w:sz w:val="18"/>
                <w:szCs w:val="18"/>
              </w:rPr>
            </w:pPr>
            <w:r w:rsidRPr="00105ACC">
              <w:rPr>
                <w:rFonts w:ascii="Calibri" w:eastAsia="Calibri" w:hAnsi="Calibri" w:cs="Times New Roman"/>
                <w:sz w:val="18"/>
                <w:szCs w:val="18"/>
              </w:rPr>
              <w:t>Intentions</w:t>
            </w:r>
          </w:p>
        </w:tc>
        <w:tc>
          <w:tcPr>
            <w:tcW w:w="9214" w:type="dxa"/>
          </w:tcPr>
          <w:p w14:paraId="764D239B" w14:textId="77777777" w:rsidR="000766FA" w:rsidRPr="00597861" w:rsidRDefault="000766FA" w:rsidP="004F6318">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597861">
              <w:rPr>
                <w:rFonts w:ascii="Calibri" w:eastAsia="Calibri" w:hAnsi="Calibri" w:cs="Times New Roman"/>
                <w:sz w:val="18"/>
                <w:szCs w:val="18"/>
              </w:rPr>
              <w:t>Lack of willingness to change</w:t>
            </w:r>
            <w:r>
              <w:rPr>
                <w:rFonts w:ascii="Calibri" w:eastAsia="Calibri" w:hAnsi="Calibri" w:cs="Times New Roman"/>
                <w:sz w:val="18"/>
                <w:szCs w:val="18"/>
              </w:rPr>
              <w:t>”</w:t>
            </w:r>
          </w:p>
        </w:tc>
        <w:tc>
          <w:tcPr>
            <w:tcW w:w="1701" w:type="dxa"/>
          </w:tcPr>
          <w:p w14:paraId="085BF1D0" w14:textId="77777777" w:rsidR="000766FA" w:rsidRPr="00105ACC" w:rsidRDefault="000766FA" w:rsidP="00F942F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Bryant, 2015</w:t>
            </w:r>
            <w:r>
              <w:rPr>
                <w:rFonts w:ascii="Calibri" w:eastAsia="Calibri" w:hAnsi="Calibri" w:cs="Times New Roman"/>
                <w:sz w:val="18"/>
                <w:szCs w:val="18"/>
                <w:vertAlign w:val="superscript"/>
              </w:rPr>
              <w:t>A</w:t>
            </w:r>
          </w:p>
        </w:tc>
        <w:tc>
          <w:tcPr>
            <w:tcW w:w="1701" w:type="dxa"/>
          </w:tcPr>
          <w:p w14:paraId="4A587FD2" w14:textId="77777777" w:rsidR="000766FA" w:rsidRPr="00105ACC" w:rsidRDefault="000766FA" w:rsidP="00F942F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G</w:t>
            </w:r>
            <w:r>
              <w:rPr>
                <w:rFonts w:ascii="Calibri" w:eastAsia="Calibri" w:hAnsi="Calibri" w:cs="Times New Roman"/>
                <w:sz w:val="18"/>
                <w:szCs w:val="18"/>
              </w:rPr>
              <w:t>eneric</w:t>
            </w:r>
          </w:p>
        </w:tc>
      </w:tr>
      <w:tr w:rsidR="000766FA" w:rsidRPr="00105ACC" w14:paraId="576EFDF3" w14:textId="77777777" w:rsidTr="00F942F9">
        <w:trPr>
          <w:trHeight w:val="433"/>
        </w:trPr>
        <w:tc>
          <w:tcPr>
            <w:cnfStyle w:val="001000000000" w:firstRow="0" w:lastRow="0" w:firstColumn="1" w:lastColumn="0" w:oddVBand="0" w:evenVBand="0" w:oddHBand="0" w:evenHBand="0" w:firstRowFirstColumn="0" w:firstRowLastColumn="0" w:lastRowFirstColumn="0" w:lastRowLastColumn="0"/>
            <w:tcW w:w="1418" w:type="dxa"/>
            <w:vMerge w:val="restart"/>
          </w:tcPr>
          <w:p w14:paraId="40066A86" w14:textId="77777777" w:rsidR="000766FA" w:rsidRPr="00105ACC" w:rsidRDefault="000766FA" w:rsidP="00F942F9">
            <w:pPr>
              <w:rPr>
                <w:rFonts w:ascii="Calibri" w:eastAsia="Calibri" w:hAnsi="Calibri" w:cs="Times New Roman"/>
                <w:sz w:val="18"/>
                <w:szCs w:val="18"/>
              </w:rPr>
            </w:pPr>
            <w:r w:rsidRPr="00105ACC">
              <w:rPr>
                <w:rFonts w:ascii="Calibri" w:eastAsia="Calibri" w:hAnsi="Calibri" w:cs="Times New Roman"/>
                <w:sz w:val="18"/>
                <w:szCs w:val="18"/>
              </w:rPr>
              <w:t>Knowledge</w:t>
            </w:r>
          </w:p>
        </w:tc>
        <w:tc>
          <w:tcPr>
            <w:tcW w:w="9214" w:type="dxa"/>
          </w:tcPr>
          <w:p w14:paraId="51316641" w14:textId="77777777" w:rsidR="000766FA" w:rsidRPr="00A145FB" w:rsidRDefault="000766FA" w:rsidP="00F942F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A145FB">
              <w:rPr>
                <w:rFonts w:ascii="Calibri" w:eastAsia="Calibri" w:hAnsi="Calibri" w:cs="Times New Roman"/>
                <w:sz w:val="18"/>
                <w:szCs w:val="18"/>
              </w:rPr>
              <w:t>Lack of education</w:t>
            </w:r>
            <w:r>
              <w:rPr>
                <w:rFonts w:ascii="Calibri" w:eastAsia="Calibri" w:hAnsi="Calibri" w:cs="Times New Roman"/>
                <w:sz w:val="18"/>
                <w:szCs w:val="18"/>
              </w:rPr>
              <w:t>”</w:t>
            </w:r>
          </w:p>
          <w:p w14:paraId="6F2CA1B4" w14:textId="5E1333B7" w:rsidR="000766FA" w:rsidRPr="000766FA"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 xml:space="preserve">(B)  </w:t>
            </w:r>
            <w:proofErr w:type="gramStart"/>
            <w:r>
              <w:rPr>
                <w:rFonts w:ascii="Calibri" w:eastAsia="Calibri" w:hAnsi="Calibri" w:cs="Times New Roman"/>
                <w:sz w:val="18"/>
                <w:szCs w:val="18"/>
              </w:rPr>
              <w:t xml:space="preserve">   </w:t>
            </w:r>
            <w:r w:rsidRPr="000766FA">
              <w:rPr>
                <w:rFonts w:ascii="Calibri" w:eastAsia="Calibri" w:hAnsi="Calibri" w:cs="Times New Roman"/>
                <w:sz w:val="18"/>
                <w:szCs w:val="18"/>
              </w:rPr>
              <w:t>[</w:t>
            </w:r>
            <w:proofErr w:type="gramEnd"/>
            <w:r w:rsidRPr="000766FA">
              <w:rPr>
                <w:rFonts w:ascii="Calibri" w:eastAsia="Calibri" w:hAnsi="Calibri" w:cs="Times New Roman"/>
                <w:sz w:val="18"/>
                <w:szCs w:val="18"/>
              </w:rPr>
              <w:t>High level of] “transient junior staff” [that implies an inevitable leakage and loss of knowledge]</w:t>
            </w:r>
          </w:p>
        </w:tc>
        <w:tc>
          <w:tcPr>
            <w:tcW w:w="1701" w:type="dxa"/>
          </w:tcPr>
          <w:p w14:paraId="1E446B48" w14:textId="77777777" w:rsidR="000766FA" w:rsidRPr="00105ACC" w:rsidRDefault="000766FA" w:rsidP="00F942F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Bryant, 2015</w:t>
            </w:r>
            <w:r>
              <w:rPr>
                <w:rFonts w:ascii="Calibri" w:eastAsia="Calibri" w:hAnsi="Calibri" w:cs="Times New Roman"/>
                <w:sz w:val="18"/>
                <w:szCs w:val="18"/>
                <w:vertAlign w:val="superscript"/>
              </w:rPr>
              <w:t xml:space="preserve">A </w:t>
            </w:r>
          </w:p>
        </w:tc>
        <w:tc>
          <w:tcPr>
            <w:tcW w:w="1701" w:type="dxa"/>
          </w:tcPr>
          <w:p w14:paraId="41D46A6B" w14:textId="77777777" w:rsidR="000766FA" w:rsidRPr="00105ACC" w:rsidRDefault="000766FA" w:rsidP="00F942F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G</w:t>
            </w:r>
            <w:r>
              <w:rPr>
                <w:rFonts w:ascii="Calibri" w:eastAsia="Calibri" w:hAnsi="Calibri" w:cs="Times New Roman"/>
                <w:sz w:val="18"/>
                <w:szCs w:val="18"/>
              </w:rPr>
              <w:t>eneric</w:t>
            </w:r>
          </w:p>
          <w:p w14:paraId="0D036CBB" w14:textId="77777777" w:rsidR="000766FA" w:rsidRPr="00105ACC" w:rsidRDefault="000766FA" w:rsidP="00F942F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r>
      <w:tr w:rsidR="000766FA" w:rsidRPr="00105ACC" w14:paraId="499A90E1" w14:textId="77777777" w:rsidTr="00F942F9">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418" w:type="dxa"/>
            <w:vMerge/>
          </w:tcPr>
          <w:p w14:paraId="58114012" w14:textId="77777777" w:rsidR="000766FA" w:rsidRPr="00105ACC" w:rsidRDefault="000766FA" w:rsidP="00F942F9">
            <w:pPr>
              <w:rPr>
                <w:rFonts w:ascii="Calibri" w:eastAsia="Calibri" w:hAnsi="Calibri" w:cs="Times New Roman"/>
                <w:sz w:val="18"/>
                <w:szCs w:val="18"/>
              </w:rPr>
            </w:pPr>
          </w:p>
        </w:tc>
        <w:tc>
          <w:tcPr>
            <w:tcW w:w="9214" w:type="dxa"/>
          </w:tcPr>
          <w:p w14:paraId="28D3E8DA" w14:textId="77777777" w:rsidR="000766FA" w:rsidRPr="00415625" w:rsidRDefault="000766FA" w:rsidP="004F631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415625">
              <w:rPr>
                <w:rFonts w:ascii="Calibri" w:eastAsia="Calibri" w:hAnsi="Calibri" w:cs="Times New Roman"/>
                <w:sz w:val="18"/>
                <w:szCs w:val="18"/>
              </w:rPr>
              <w:t xml:space="preserve">“Lack of awareness, familiarity and engagement (e.g. Professionals’ awareness of antibiotic resistance and usefulness of selective reporting is low)” (also coded at ‘beliefs about consequences’) </w:t>
            </w:r>
          </w:p>
          <w:p w14:paraId="6498C5C4" w14:textId="77777777" w:rsidR="000766FA" w:rsidRPr="00415625" w:rsidRDefault="000766FA" w:rsidP="004F6318">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415625">
              <w:rPr>
                <w:sz w:val="18"/>
                <w:szCs w:val="18"/>
              </w:rPr>
              <w:t xml:space="preserve">“Lack of capability (e.g. </w:t>
            </w:r>
            <w:r w:rsidRPr="00415625">
              <w:rPr>
                <w:sz w:val="18"/>
                <w:szCs w:val="18"/>
                <w:u w:val="single"/>
              </w:rPr>
              <w:t>Scientific background</w:t>
            </w:r>
            <w:r w:rsidRPr="00415625">
              <w:rPr>
                <w:sz w:val="18"/>
                <w:szCs w:val="18"/>
              </w:rPr>
              <w:t xml:space="preserve"> and capabilities </w:t>
            </w:r>
            <w:r w:rsidRPr="00415625">
              <w:rPr>
                <w:sz w:val="18"/>
                <w:szCs w:val="18"/>
                <w:u w:val="single"/>
              </w:rPr>
              <w:t>of local professionals are insufficient</w:t>
            </w:r>
            <w:r>
              <w:rPr>
                <w:sz w:val="18"/>
                <w:szCs w:val="18"/>
              </w:rPr>
              <w:t xml:space="preserve">)” </w:t>
            </w:r>
            <w:r w:rsidRPr="00415625">
              <w:rPr>
                <w:sz w:val="18"/>
                <w:szCs w:val="18"/>
              </w:rPr>
              <w:t>(also coded at ‘</w:t>
            </w:r>
            <w:r w:rsidRPr="00415625">
              <w:rPr>
                <w:i/>
                <w:sz w:val="18"/>
                <w:szCs w:val="18"/>
              </w:rPr>
              <w:t>skills</w:t>
            </w:r>
            <w:r w:rsidRPr="00415625">
              <w:rPr>
                <w:sz w:val="18"/>
                <w:szCs w:val="18"/>
              </w:rPr>
              <w:t xml:space="preserve">’) </w:t>
            </w:r>
          </w:p>
          <w:p w14:paraId="53E7D07C" w14:textId="77777777" w:rsidR="000766FA" w:rsidRPr="00415625" w:rsidRDefault="000766FA" w:rsidP="00F942F9">
            <w:pPr>
              <w:ind w:left="340" w:hanging="34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(B)</w:t>
            </w:r>
            <w:proofErr w:type="gramStart"/>
            <w:r>
              <w:rPr>
                <w:rFonts w:ascii="Calibri" w:eastAsia="Calibri" w:hAnsi="Calibri" w:cs="Times New Roman"/>
                <w:sz w:val="18"/>
                <w:szCs w:val="18"/>
              </w:rPr>
              <w:t xml:space="preserve">   </w:t>
            </w:r>
            <w:r w:rsidRPr="00415625">
              <w:rPr>
                <w:rFonts w:ascii="Calibri" w:eastAsia="Calibri" w:hAnsi="Calibri" w:cs="Times New Roman"/>
                <w:sz w:val="18"/>
                <w:szCs w:val="18"/>
              </w:rPr>
              <w:t>“</w:t>
            </w:r>
            <w:proofErr w:type="gramEnd"/>
            <w:r w:rsidRPr="00415625">
              <w:rPr>
                <w:rFonts w:ascii="Calibri" w:eastAsia="Calibri" w:hAnsi="Calibri" w:cs="Times New Roman"/>
                <w:sz w:val="18"/>
                <w:szCs w:val="18"/>
              </w:rPr>
              <w:t>Lack of physicians trained in clinical microbiology (e.g</w:t>
            </w:r>
            <w:r w:rsidRPr="00415625">
              <w:rPr>
                <w:rFonts w:ascii="Calibri" w:eastAsia="Calibri" w:hAnsi="Calibri" w:cs="Times New Roman"/>
                <w:sz w:val="18"/>
                <w:szCs w:val="18"/>
                <w:u w:val="single"/>
              </w:rPr>
              <w:t>. Microbiologists are mainly technicians with biology background</w:t>
            </w:r>
            <w:r w:rsidRPr="00415625">
              <w:rPr>
                <w:rFonts w:ascii="Calibri" w:eastAsia="Calibri" w:hAnsi="Calibri" w:cs="Times New Roman"/>
                <w:sz w:val="18"/>
                <w:szCs w:val="18"/>
              </w:rPr>
              <w:t>, clinical microbiology [training] is not available as medical specialty)” (also coded at ‘</w:t>
            </w:r>
            <w:r w:rsidRPr="00415625">
              <w:rPr>
                <w:rFonts w:ascii="Calibri" w:eastAsia="Calibri" w:hAnsi="Calibri" w:cs="Times New Roman"/>
                <w:i/>
                <w:sz w:val="18"/>
                <w:szCs w:val="18"/>
              </w:rPr>
              <w:t>skills</w:t>
            </w:r>
            <w:r w:rsidRPr="00415625">
              <w:rPr>
                <w:rFonts w:ascii="Calibri" w:eastAsia="Calibri" w:hAnsi="Calibri" w:cs="Times New Roman"/>
                <w:sz w:val="18"/>
                <w:szCs w:val="18"/>
              </w:rPr>
              <w:t>’)</w:t>
            </w:r>
          </w:p>
          <w:p w14:paraId="7F360E8B" w14:textId="77777777" w:rsidR="000766FA" w:rsidRPr="00415625" w:rsidRDefault="000766FA" w:rsidP="00F942F9">
            <w:pPr>
              <w:ind w:left="340" w:hanging="34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 xml:space="preserve">(B) </w:t>
            </w:r>
            <w:r w:rsidRPr="00415625">
              <w:rPr>
                <w:rFonts w:ascii="Calibri" w:eastAsia="Calibri" w:hAnsi="Calibri" w:cs="Times New Roman"/>
                <w:sz w:val="18"/>
                <w:szCs w:val="18"/>
              </w:rPr>
              <w:t>“Lack of communication (e.g. Patient clinical data available in the laboratory are insufficient or informing clinicians on hidden results is difficult and time consuming)” (also coded at ‘</w:t>
            </w:r>
            <w:r w:rsidRPr="00415625">
              <w:rPr>
                <w:rFonts w:ascii="Calibri" w:eastAsia="Calibri" w:hAnsi="Calibri" w:cs="Times New Roman"/>
                <w:i/>
                <w:sz w:val="18"/>
                <w:szCs w:val="18"/>
              </w:rPr>
              <w:t>environmental context and resources’</w:t>
            </w:r>
            <w:r w:rsidRPr="00415625">
              <w:rPr>
                <w:rFonts w:ascii="Calibri" w:eastAsia="Calibri" w:hAnsi="Calibri" w:cs="Times New Roman"/>
                <w:sz w:val="18"/>
                <w:szCs w:val="18"/>
              </w:rPr>
              <w:t>)</w:t>
            </w:r>
          </w:p>
        </w:tc>
        <w:tc>
          <w:tcPr>
            <w:tcW w:w="1701" w:type="dxa"/>
          </w:tcPr>
          <w:p w14:paraId="57D8E11B" w14:textId="77777777" w:rsidR="000766FA" w:rsidRPr="00105ACC" w:rsidRDefault="000766FA" w:rsidP="00F942F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roofErr w:type="spellStart"/>
            <w:r w:rsidRPr="00105ACC">
              <w:rPr>
                <w:rFonts w:ascii="Calibri" w:eastAsia="Calibri" w:hAnsi="Calibri" w:cs="Times New Roman"/>
                <w:sz w:val="18"/>
                <w:szCs w:val="18"/>
              </w:rPr>
              <w:t>Pulcini</w:t>
            </w:r>
            <w:proofErr w:type="spellEnd"/>
            <w:r w:rsidRPr="00105ACC">
              <w:rPr>
                <w:rFonts w:ascii="Calibri" w:eastAsia="Calibri" w:hAnsi="Calibri" w:cs="Times New Roman"/>
                <w:sz w:val="18"/>
                <w:szCs w:val="18"/>
              </w:rPr>
              <w:t>, 2017</w:t>
            </w:r>
            <w:r>
              <w:rPr>
                <w:rFonts w:ascii="Calibri" w:eastAsia="Calibri" w:hAnsi="Calibri" w:cs="Times New Roman"/>
                <w:sz w:val="18"/>
                <w:szCs w:val="18"/>
                <w:vertAlign w:val="superscript"/>
              </w:rPr>
              <w:t>B</w:t>
            </w:r>
          </w:p>
        </w:tc>
        <w:tc>
          <w:tcPr>
            <w:tcW w:w="1701" w:type="dxa"/>
          </w:tcPr>
          <w:p w14:paraId="3640B754" w14:textId="77777777" w:rsidR="000766FA" w:rsidRPr="00105ACC" w:rsidRDefault="000766FA" w:rsidP="00F942F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Strategy specific</w:t>
            </w:r>
          </w:p>
          <w:p w14:paraId="6BC5E848" w14:textId="77777777" w:rsidR="000766FA" w:rsidRPr="00105ACC" w:rsidRDefault="000766FA" w:rsidP="00F942F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p w14:paraId="226CF909" w14:textId="77777777" w:rsidR="000766FA" w:rsidRPr="00105ACC" w:rsidRDefault="000766FA" w:rsidP="00F942F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
        </w:tc>
      </w:tr>
      <w:tr w:rsidR="000766FA" w:rsidRPr="00105ACC" w14:paraId="1FF262F9" w14:textId="77777777" w:rsidTr="00F942F9">
        <w:trPr>
          <w:trHeight w:val="433"/>
        </w:trPr>
        <w:tc>
          <w:tcPr>
            <w:cnfStyle w:val="001000000000" w:firstRow="0" w:lastRow="0" w:firstColumn="1" w:lastColumn="0" w:oddVBand="0" w:evenVBand="0" w:oddHBand="0" w:evenHBand="0" w:firstRowFirstColumn="0" w:firstRowLastColumn="0" w:lastRowFirstColumn="0" w:lastRowLastColumn="0"/>
            <w:tcW w:w="1418" w:type="dxa"/>
            <w:vMerge/>
          </w:tcPr>
          <w:p w14:paraId="49B4F3EF" w14:textId="77777777" w:rsidR="000766FA" w:rsidRPr="00105ACC" w:rsidRDefault="000766FA" w:rsidP="00F942F9">
            <w:pPr>
              <w:rPr>
                <w:rFonts w:ascii="Calibri" w:eastAsia="Calibri" w:hAnsi="Calibri" w:cs="Times New Roman"/>
                <w:sz w:val="18"/>
                <w:szCs w:val="18"/>
              </w:rPr>
            </w:pPr>
          </w:p>
        </w:tc>
        <w:tc>
          <w:tcPr>
            <w:tcW w:w="9214" w:type="dxa"/>
          </w:tcPr>
          <w:p w14:paraId="3DFEFCC1" w14:textId="6A44B86B" w:rsidR="000766FA" w:rsidRPr="000766FA" w:rsidRDefault="000766FA" w:rsidP="004F6318">
            <w:pPr>
              <w:pStyle w:val="ListParagraph"/>
              <w:numPr>
                <w:ilvl w:val="0"/>
                <w:numId w:val="68"/>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0766FA">
              <w:rPr>
                <w:rFonts w:ascii="Calibri" w:eastAsia="Calibri" w:hAnsi="Calibri" w:cs="Times New Roman"/>
                <w:sz w:val="18"/>
                <w:szCs w:val="18"/>
              </w:rPr>
              <w:t>“Lack of information technology [to] support [an ASP] and/or inability to get [patient] data” (also coded at ‘</w:t>
            </w:r>
            <w:r w:rsidRPr="000766FA">
              <w:rPr>
                <w:rFonts w:ascii="Calibri" w:eastAsia="Calibri" w:hAnsi="Calibri" w:cs="Times New Roman"/>
                <w:i/>
                <w:sz w:val="18"/>
                <w:szCs w:val="18"/>
              </w:rPr>
              <w:t>environmental context and resources’</w:t>
            </w:r>
            <w:r w:rsidRPr="000766FA">
              <w:rPr>
                <w:rFonts w:ascii="Calibri" w:eastAsia="Calibri" w:hAnsi="Calibri" w:cs="Times New Roman"/>
                <w:sz w:val="18"/>
                <w:szCs w:val="18"/>
              </w:rPr>
              <w:t>)</w:t>
            </w:r>
          </w:p>
        </w:tc>
        <w:tc>
          <w:tcPr>
            <w:tcW w:w="1701" w:type="dxa"/>
          </w:tcPr>
          <w:p w14:paraId="7A334549" w14:textId="77777777" w:rsidR="000766FA" w:rsidRDefault="000766FA" w:rsidP="00F942F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Johannsson, 2011</w:t>
            </w:r>
            <w:r>
              <w:rPr>
                <w:rFonts w:ascii="Calibri" w:eastAsia="Calibri" w:hAnsi="Calibri" w:cs="Times New Roman"/>
                <w:sz w:val="18"/>
                <w:szCs w:val="18"/>
                <w:vertAlign w:val="superscript"/>
              </w:rPr>
              <w:t>C</w:t>
            </w:r>
          </w:p>
          <w:p w14:paraId="1BF6052C" w14:textId="77777777" w:rsidR="000766FA" w:rsidRPr="00105ACC" w:rsidRDefault="000766FA" w:rsidP="00F942F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Howard, 2015</w:t>
            </w:r>
            <w:r>
              <w:rPr>
                <w:rFonts w:ascii="Calibri" w:eastAsia="Calibri" w:hAnsi="Calibri" w:cs="Times New Roman"/>
                <w:sz w:val="18"/>
                <w:szCs w:val="18"/>
                <w:vertAlign w:val="superscript"/>
              </w:rPr>
              <w:t>D</w:t>
            </w:r>
          </w:p>
        </w:tc>
        <w:tc>
          <w:tcPr>
            <w:tcW w:w="1701" w:type="dxa"/>
          </w:tcPr>
          <w:p w14:paraId="48312201" w14:textId="77777777" w:rsidR="000766FA" w:rsidRPr="00105ACC" w:rsidRDefault="000766FA" w:rsidP="00F942F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Generic</w:t>
            </w:r>
          </w:p>
        </w:tc>
      </w:tr>
      <w:tr w:rsidR="000766FA" w14:paraId="050C3B34" w14:textId="77777777" w:rsidTr="00F942F9">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1418" w:type="dxa"/>
            <w:vMerge/>
          </w:tcPr>
          <w:p w14:paraId="30CB9F6F" w14:textId="77777777" w:rsidR="000766FA" w:rsidRPr="00105ACC" w:rsidRDefault="000766FA" w:rsidP="00F942F9">
            <w:pPr>
              <w:rPr>
                <w:rFonts w:ascii="Calibri" w:eastAsia="Calibri" w:hAnsi="Calibri" w:cs="Times New Roman"/>
                <w:sz w:val="18"/>
                <w:szCs w:val="18"/>
              </w:rPr>
            </w:pPr>
          </w:p>
        </w:tc>
        <w:tc>
          <w:tcPr>
            <w:tcW w:w="9214" w:type="dxa"/>
          </w:tcPr>
          <w:p w14:paraId="0EB028EA" w14:textId="4039243D" w:rsidR="000766FA" w:rsidRPr="000766FA" w:rsidRDefault="000766FA" w:rsidP="004F6318">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0766FA">
              <w:rPr>
                <w:rFonts w:ascii="Calibri" w:eastAsia="Calibri" w:hAnsi="Calibri" w:cs="Times New Roman"/>
                <w:sz w:val="18"/>
                <w:szCs w:val="18"/>
              </w:rPr>
              <w:t>“Lack of high-quality data on appropriate antimicrobial use” [A lack of knowledge of the current use of antimicrobials]</w:t>
            </w:r>
          </w:p>
        </w:tc>
        <w:tc>
          <w:tcPr>
            <w:tcW w:w="1701" w:type="dxa"/>
          </w:tcPr>
          <w:p w14:paraId="171E4658" w14:textId="77777777" w:rsidR="000766FA" w:rsidRDefault="000766FA" w:rsidP="00F942F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roofErr w:type="spellStart"/>
            <w:r w:rsidRPr="00C146A7">
              <w:rPr>
                <w:rFonts w:ascii="Calibri" w:eastAsia="Calibri" w:hAnsi="Calibri" w:cs="Times New Roman"/>
                <w:sz w:val="18"/>
                <w:szCs w:val="18"/>
              </w:rPr>
              <w:t>Livorsi</w:t>
            </w:r>
            <w:proofErr w:type="spellEnd"/>
            <w:r w:rsidRPr="00C146A7">
              <w:rPr>
                <w:rFonts w:ascii="Calibri" w:eastAsia="Calibri" w:hAnsi="Calibri" w:cs="Times New Roman"/>
                <w:sz w:val="18"/>
                <w:szCs w:val="18"/>
              </w:rPr>
              <w:t>, 2016</w:t>
            </w:r>
            <w:r>
              <w:rPr>
                <w:rFonts w:ascii="Calibri" w:eastAsia="Calibri" w:hAnsi="Calibri" w:cs="Times New Roman"/>
                <w:sz w:val="18"/>
                <w:szCs w:val="18"/>
                <w:vertAlign w:val="superscript"/>
              </w:rPr>
              <w:t>E</w:t>
            </w:r>
          </w:p>
        </w:tc>
        <w:tc>
          <w:tcPr>
            <w:tcW w:w="1701" w:type="dxa"/>
          </w:tcPr>
          <w:p w14:paraId="7F7D4D52" w14:textId="77777777" w:rsidR="000766FA" w:rsidRDefault="000766FA" w:rsidP="00F942F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Strategy specific</w:t>
            </w:r>
          </w:p>
        </w:tc>
      </w:tr>
      <w:tr w:rsidR="000766FA" w:rsidRPr="00105ACC" w14:paraId="0223705D" w14:textId="77777777" w:rsidTr="00F942F9">
        <w:trPr>
          <w:trHeight w:val="47"/>
        </w:trPr>
        <w:tc>
          <w:tcPr>
            <w:cnfStyle w:val="001000000000" w:firstRow="0" w:lastRow="0" w:firstColumn="1" w:lastColumn="0" w:oddVBand="0" w:evenVBand="0" w:oddHBand="0" w:evenHBand="0" w:firstRowFirstColumn="0" w:firstRowLastColumn="0" w:lastRowFirstColumn="0" w:lastRowLastColumn="0"/>
            <w:tcW w:w="1418" w:type="dxa"/>
          </w:tcPr>
          <w:p w14:paraId="0317F5DD" w14:textId="7E22D686" w:rsidR="000766FA" w:rsidRPr="00105ACC" w:rsidRDefault="000766FA" w:rsidP="000766FA">
            <w:pPr>
              <w:rPr>
                <w:rFonts w:ascii="Calibri" w:eastAsia="Calibri" w:hAnsi="Calibri" w:cs="Times New Roman"/>
                <w:sz w:val="18"/>
                <w:szCs w:val="18"/>
              </w:rPr>
            </w:pPr>
            <w:r w:rsidRPr="00105ACC">
              <w:rPr>
                <w:rFonts w:ascii="Calibri" w:eastAsia="Calibri" w:hAnsi="Calibri" w:cs="Times New Roman"/>
                <w:sz w:val="18"/>
                <w:szCs w:val="18"/>
              </w:rPr>
              <w:t>Reinforcement</w:t>
            </w:r>
          </w:p>
        </w:tc>
        <w:tc>
          <w:tcPr>
            <w:tcW w:w="9214" w:type="dxa"/>
          </w:tcPr>
          <w:p w14:paraId="321AA248" w14:textId="198CDCC6" w:rsidR="000766FA" w:rsidRPr="00415625" w:rsidRDefault="000766FA" w:rsidP="004F6318">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597861">
              <w:rPr>
                <w:rFonts w:ascii="Calibri" w:eastAsia="Calibri" w:hAnsi="Calibri" w:cs="Times New Roman"/>
                <w:sz w:val="18"/>
                <w:szCs w:val="18"/>
              </w:rPr>
              <w:t>Lack of recognition by the reimbursement system (e.g. Reimbursement system does not recognise or support selective reporting)</w:t>
            </w:r>
            <w:r>
              <w:rPr>
                <w:rFonts w:ascii="Calibri" w:eastAsia="Calibri" w:hAnsi="Calibri" w:cs="Times New Roman"/>
                <w:sz w:val="18"/>
                <w:szCs w:val="18"/>
              </w:rPr>
              <w:t>”</w:t>
            </w:r>
          </w:p>
        </w:tc>
        <w:tc>
          <w:tcPr>
            <w:tcW w:w="1701" w:type="dxa"/>
          </w:tcPr>
          <w:p w14:paraId="42D06891" w14:textId="4BFE68C7" w:rsidR="000766FA" w:rsidRPr="00105ACC"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roofErr w:type="spellStart"/>
            <w:r w:rsidRPr="00105ACC">
              <w:rPr>
                <w:rFonts w:ascii="Calibri" w:eastAsia="Calibri" w:hAnsi="Calibri" w:cs="Times New Roman"/>
                <w:sz w:val="18"/>
                <w:szCs w:val="18"/>
              </w:rPr>
              <w:t>Pulcini</w:t>
            </w:r>
            <w:proofErr w:type="spellEnd"/>
            <w:r w:rsidRPr="00105ACC">
              <w:rPr>
                <w:rFonts w:ascii="Calibri" w:eastAsia="Calibri" w:hAnsi="Calibri" w:cs="Times New Roman"/>
                <w:sz w:val="18"/>
                <w:szCs w:val="18"/>
              </w:rPr>
              <w:t>, 2017</w:t>
            </w:r>
            <w:r>
              <w:rPr>
                <w:rFonts w:ascii="Calibri" w:eastAsia="Calibri" w:hAnsi="Calibri" w:cs="Times New Roman"/>
                <w:sz w:val="18"/>
                <w:szCs w:val="18"/>
                <w:vertAlign w:val="superscript"/>
              </w:rPr>
              <w:t>B</w:t>
            </w:r>
          </w:p>
        </w:tc>
        <w:tc>
          <w:tcPr>
            <w:tcW w:w="1701" w:type="dxa"/>
          </w:tcPr>
          <w:p w14:paraId="5048564C" w14:textId="7A0673C1" w:rsidR="000766FA" w:rsidRPr="00105ACC"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S</w:t>
            </w:r>
            <w:r>
              <w:rPr>
                <w:rFonts w:ascii="Calibri" w:eastAsia="Calibri" w:hAnsi="Calibri" w:cs="Times New Roman"/>
                <w:sz w:val="18"/>
                <w:szCs w:val="18"/>
              </w:rPr>
              <w:t>trategy specific</w:t>
            </w:r>
          </w:p>
        </w:tc>
      </w:tr>
      <w:tr w:rsidR="000766FA" w:rsidRPr="00105ACC" w14:paraId="0E9FA0C9" w14:textId="77777777" w:rsidTr="00F942F9">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1418" w:type="dxa"/>
          </w:tcPr>
          <w:p w14:paraId="165CA311" w14:textId="77777777" w:rsidR="000766FA" w:rsidRPr="00105ACC" w:rsidRDefault="000766FA" w:rsidP="00F942F9">
            <w:pPr>
              <w:rPr>
                <w:rFonts w:ascii="Calibri" w:eastAsia="Calibri" w:hAnsi="Calibri" w:cs="Times New Roman"/>
                <w:sz w:val="18"/>
                <w:szCs w:val="18"/>
              </w:rPr>
            </w:pPr>
            <w:r>
              <w:rPr>
                <w:rFonts w:ascii="Calibri" w:eastAsia="Calibri" w:hAnsi="Calibri" w:cs="Times New Roman"/>
                <w:sz w:val="18"/>
                <w:szCs w:val="18"/>
              </w:rPr>
              <w:t>Skills</w:t>
            </w:r>
          </w:p>
        </w:tc>
        <w:tc>
          <w:tcPr>
            <w:tcW w:w="9214" w:type="dxa"/>
          </w:tcPr>
          <w:p w14:paraId="7AE8930C" w14:textId="77777777" w:rsidR="000766FA" w:rsidRDefault="000766FA" w:rsidP="004F631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415625">
              <w:rPr>
                <w:rFonts w:ascii="Calibri" w:eastAsia="Calibri" w:hAnsi="Calibri" w:cs="Times New Roman"/>
                <w:sz w:val="18"/>
                <w:szCs w:val="18"/>
              </w:rPr>
              <w:t>“Lack of capability (e.g. Scientific background and capabilities of local professionals are insufficient)” (also coded at ‘</w:t>
            </w:r>
            <w:r w:rsidRPr="00415625">
              <w:rPr>
                <w:rFonts w:ascii="Calibri" w:eastAsia="Calibri" w:hAnsi="Calibri" w:cs="Times New Roman"/>
                <w:i/>
                <w:sz w:val="18"/>
                <w:szCs w:val="18"/>
              </w:rPr>
              <w:t>knowledge</w:t>
            </w:r>
            <w:r w:rsidRPr="00415625">
              <w:rPr>
                <w:rFonts w:ascii="Calibri" w:eastAsia="Calibri" w:hAnsi="Calibri" w:cs="Times New Roman"/>
                <w:sz w:val="18"/>
                <w:szCs w:val="18"/>
              </w:rPr>
              <w:t xml:space="preserve">’) </w:t>
            </w:r>
          </w:p>
          <w:p w14:paraId="475E2553" w14:textId="63F8BFAB" w:rsidR="000766FA" w:rsidRPr="000766FA" w:rsidRDefault="000766FA" w:rsidP="004F6318">
            <w:pPr>
              <w:pStyle w:val="ListParagraph"/>
              <w:numPr>
                <w:ilvl w:val="0"/>
                <w:numId w:val="67"/>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0766FA">
              <w:rPr>
                <w:rFonts w:ascii="Calibri" w:eastAsia="Calibri" w:hAnsi="Calibri" w:cs="Times New Roman"/>
                <w:sz w:val="18"/>
                <w:szCs w:val="18"/>
              </w:rPr>
              <w:t>“Lack of physicians trained in clinical microbiology (e.g. Microbiologists are mainly technicians with biology background, clinical microbiology [training] is not available as medical specialty</w:t>
            </w:r>
            <w:proofErr w:type="gramStart"/>
            <w:r w:rsidRPr="000766FA">
              <w:rPr>
                <w:rFonts w:ascii="Calibri" w:eastAsia="Calibri" w:hAnsi="Calibri" w:cs="Times New Roman"/>
                <w:sz w:val="18"/>
                <w:szCs w:val="18"/>
              </w:rPr>
              <w:t>)”(</w:t>
            </w:r>
            <w:proofErr w:type="gramEnd"/>
            <w:r w:rsidRPr="000766FA">
              <w:rPr>
                <w:rFonts w:ascii="Calibri" w:eastAsia="Calibri" w:hAnsi="Calibri" w:cs="Times New Roman"/>
                <w:sz w:val="18"/>
                <w:szCs w:val="18"/>
              </w:rPr>
              <w:t>also coded at ‘</w:t>
            </w:r>
            <w:r w:rsidRPr="000766FA">
              <w:rPr>
                <w:rFonts w:ascii="Calibri" w:eastAsia="Calibri" w:hAnsi="Calibri" w:cs="Times New Roman"/>
                <w:i/>
                <w:sz w:val="18"/>
                <w:szCs w:val="18"/>
              </w:rPr>
              <w:t>knowledge</w:t>
            </w:r>
            <w:r w:rsidRPr="000766FA">
              <w:rPr>
                <w:rFonts w:ascii="Calibri" w:eastAsia="Calibri" w:hAnsi="Calibri" w:cs="Times New Roman"/>
                <w:sz w:val="18"/>
                <w:szCs w:val="18"/>
              </w:rPr>
              <w:t>’)</w:t>
            </w:r>
          </w:p>
        </w:tc>
        <w:tc>
          <w:tcPr>
            <w:tcW w:w="1701" w:type="dxa"/>
          </w:tcPr>
          <w:p w14:paraId="01CAC5A3" w14:textId="77777777" w:rsidR="000766FA" w:rsidRPr="00105ACC" w:rsidRDefault="000766FA" w:rsidP="00F942F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proofErr w:type="spellStart"/>
            <w:r w:rsidRPr="0049270A">
              <w:rPr>
                <w:rFonts w:ascii="Calibri" w:eastAsia="Calibri" w:hAnsi="Calibri" w:cs="Times New Roman"/>
                <w:sz w:val="18"/>
                <w:szCs w:val="18"/>
              </w:rPr>
              <w:t>Pulcini</w:t>
            </w:r>
            <w:proofErr w:type="spellEnd"/>
            <w:r w:rsidRPr="0049270A">
              <w:rPr>
                <w:rFonts w:ascii="Calibri" w:eastAsia="Calibri" w:hAnsi="Calibri" w:cs="Times New Roman"/>
                <w:sz w:val="18"/>
                <w:szCs w:val="18"/>
              </w:rPr>
              <w:t>, 2017</w:t>
            </w:r>
            <w:r>
              <w:rPr>
                <w:rFonts w:ascii="Calibri" w:eastAsia="Calibri" w:hAnsi="Calibri" w:cs="Times New Roman"/>
                <w:sz w:val="18"/>
                <w:szCs w:val="18"/>
                <w:vertAlign w:val="superscript"/>
              </w:rPr>
              <w:t>B</w:t>
            </w:r>
          </w:p>
        </w:tc>
        <w:tc>
          <w:tcPr>
            <w:tcW w:w="1701" w:type="dxa"/>
          </w:tcPr>
          <w:p w14:paraId="5B0CA194" w14:textId="77777777" w:rsidR="000766FA" w:rsidRPr="00105ACC" w:rsidRDefault="000766FA" w:rsidP="00F942F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593DB4">
              <w:rPr>
                <w:rFonts w:ascii="Calibri" w:eastAsia="Calibri" w:hAnsi="Calibri" w:cs="Times New Roman"/>
                <w:sz w:val="18"/>
                <w:szCs w:val="18"/>
              </w:rPr>
              <w:t>Strategy specific</w:t>
            </w:r>
          </w:p>
        </w:tc>
      </w:tr>
      <w:tr w:rsidR="000766FA" w:rsidRPr="00105ACC" w14:paraId="6D644416" w14:textId="77777777" w:rsidTr="000766FA">
        <w:trPr>
          <w:trHeight w:val="132"/>
        </w:trPr>
        <w:tc>
          <w:tcPr>
            <w:cnfStyle w:val="001000000000" w:firstRow="0" w:lastRow="0" w:firstColumn="1" w:lastColumn="0" w:oddVBand="0" w:evenVBand="0" w:oddHBand="0" w:evenHBand="0" w:firstRowFirstColumn="0" w:firstRowLastColumn="0" w:lastRowFirstColumn="0" w:lastRowLastColumn="0"/>
            <w:tcW w:w="1418" w:type="dxa"/>
            <w:vMerge w:val="restart"/>
          </w:tcPr>
          <w:p w14:paraId="63FA0D5F" w14:textId="77777777" w:rsidR="000766FA" w:rsidRPr="00105ACC" w:rsidRDefault="000766FA" w:rsidP="000766FA">
            <w:pPr>
              <w:rPr>
                <w:rFonts w:ascii="Calibri" w:eastAsia="Calibri" w:hAnsi="Calibri" w:cs="Times New Roman"/>
                <w:sz w:val="18"/>
                <w:szCs w:val="18"/>
              </w:rPr>
            </w:pPr>
            <w:r w:rsidRPr="00105ACC">
              <w:rPr>
                <w:rFonts w:ascii="Calibri" w:eastAsia="Calibri" w:hAnsi="Calibri" w:cs="Times New Roman"/>
                <w:sz w:val="18"/>
                <w:szCs w:val="18"/>
              </w:rPr>
              <w:t>Social influences</w:t>
            </w:r>
          </w:p>
          <w:p w14:paraId="0ADFF45E" w14:textId="77777777" w:rsidR="000766FA" w:rsidRDefault="000766FA" w:rsidP="000766FA">
            <w:pPr>
              <w:rPr>
                <w:rFonts w:ascii="Calibri" w:eastAsia="Calibri" w:hAnsi="Calibri" w:cs="Times New Roman"/>
                <w:sz w:val="18"/>
                <w:szCs w:val="18"/>
              </w:rPr>
            </w:pPr>
          </w:p>
          <w:p w14:paraId="4CAE817B" w14:textId="77777777" w:rsidR="000766FA" w:rsidRDefault="000766FA" w:rsidP="000766FA">
            <w:pPr>
              <w:rPr>
                <w:rFonts w:ascii="Calibri" w:eastAsia="Calibri" w:hAnsi="Calibri" w:cs="Times New Roman"/>
                <w:sz w:val="18"/>
                <w:szCs w:val="18"/>
              </w:rPr>
            </w:pPr>
          </w:p>
          <w:p w14:paraId="5DAA2286" w14:textId="77777777" w:rsidR="000766FA" w:rsidRDefault="000766FA" w:rsidP="000766FA">
            <w:pPr>
              <w:rPr>
                <w:rFonts w:ascii="Calibri" w:eastAsia="Calibri" w:hAnsi="Calibri" w:cs="Times New Roman"/>
                <w:sz w:val="18"/>
                <w:szCs w:val="18"/>
              </w:rPr>
            </w:pPr>
          </w:p>
          <w:p w14:paraId="62FB5C86" w14:textId="77777777" w:rsidR="000766FA" w:rsidRDefault="000766FA" w:rsidP="000766FA">
            <w:pPr>
              <w:rPr>
                <w:rFonts w:ascii="Calibri" w:eastAsia="Calibri" w:hAnsi="Calibri" w:cs="Times New Roman"/>
                <w:sz w:val="18"/>
                <w:szCs w:val="18"/>
              </w:rPr>
            </w:pPr>
          </w:p>
          <w:p w14:paraId="60196575" w14:textId="77777777" w:rsidR="000766FA" w:rsidRPr="00105ACC" w:rsidRDefault="000766FA" w:rsidP="000766FA">
            <w:pPr>
              <w:rPr>
                <w:rFonts w:ascii="Calibri" w:eastAsia="Calibri" w:hAnsi="Calibri" w:cs="Times New Roman"/>
                <w:sz w:val="18"/>
                <w:szCs w:val="18"/>
              </w:rPr>
            </w:pPr>
          </w:p>
        </w:tc>
        <w:tc>
          <w:tcPr>
            <w:tcW w:w="9214" w:type="dxa"/>
          </w:tcPr>
          <w:p w14:paraId="49561F1B" w14:textId="77777777" w:rsidR="000766FA" w:rsidRPr="00B77E30" w:rsidRDefault="000766FA" w:rsidP="004F631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B77E30">
              <w:rPr>
                <w:rFonts w:ascii="Calibri" w:eastAsia="Calibri" w:hAnsi="Calibri" w:cs="Times New Roman"/>
                <w:sz w:val="18"/>
                <w:szCs w:val="18"/>
              </w:rPr>
              <w:t>Medical staff cooperation</w:t>
            </w:r>
            <w:r>
              <w:rPr>
                <w:rFonts w:ascii="Calibri" w:eastAsia="Calibri" w:hAnsi="Calibri" w:cs="Times New Roman"/>
                <w:sz w:val="18"/>
                <w:szCs w:val="18"/>
              </w:rPr>
              <w:t>”</w:t>
            </w:r>
          </w:p>
          <w:p w14:paraId="07F43457" w14:textId="20271704" w:rsidR="000766FA" w:rsidRPr="00B15EA1" w:rsidRDefault="000766FA" w:rsidP="004F6318">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B15EA1">
              <w:rPr>
                <w:rFonts w:ascii="Calibri" w:eastAsia="Calibri" w:hAnsi="Calibri" w:cs="Times New Roman"/>
                <w:sz w:val="18"/>
                <w:szCs w:val="18"/>
              </w:rPr>
              <w:t>ID physician participation</w:t>
            </w:r>
            <w:r>
              <w:rPr>
                <w:rFonts w:ascii="Calibri" w:eastAsia="Calibri" w:hAnsi="Calibri" w:cs="Times New Roman"/>
                <w:sz w:val="18"/>
                <w:szCs w:val="18"/>
              </w:rPr>
              <w:t>”</w:t>
            </w:r>
            <w:r w:rsidRPr="00652671">
              <w:rPr>
                <w:sz w:val="18"/>
                <w:szCs w:val="18"/>
              </w:rPr>
              <w:t xml:space="preserve"> (also coded at ‘</w:t>
            </w:r>
            <w:r w:rsidRPr="00652671">
              <w:rPr>
                <w:i/>
                <w:sz w:val="18"/>
                <w:szCs w:val="18"/>
              </w:rPr>
              <w:t>environmental context and resources</w:t>
            </w:r>
            <w:r w:rsidRPr="00652671">
              <w:rPr>
                <w:sz w:val="18"/>
                <w:szCs w:val="18"/>
              </w:rPr>
              <w:t>’)</w:t>
            </w:r>
          </w:p>
          <w:p w14:paraId="3E88A5CD" w14:textId="77777777" w:rsidR="000766FA" w:rsidRPr="00B15EA1" w:rsidRDefault="000766FA" w:rsidP="004F6318">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18"/>
                <w:szCs w:val="18"/>
              </w:rPr>
            </w:pPr>
            <w:r>
              <w:rPr>
                <w:rFonts w:ascii="Calibri" w:eastAsia="Calibri" w:hAnsi="Calibri" w:cs="Times New Roman"/>
                <w:sz w:val="18"/>
                <w:szCs w:val="18"/>
              </w:rPr>
              <w:t>“</w:t>
            </w:r>
            <w:r w:rsidRPr="00B15EA1">
              <w:rPr>
                <w:rFonts w:ascii="Calibri" w:eastAsia="Calibri" w:hAnsi="Calibri" w:cs="Times New Roman"/>
                <w:sz w:val="18"/>
                <w:szCs w:val="18"/>
              </w:rPr>
              <w:t>Support of the hospital administrator</w:t>
            </w:r>
            <w:r>
              <w:rPr>
                <w:rFonts w:ascii="Calibri" w:eastAsia="Calibri" w:hAnsi="Calibri" w:cs="Times New Roman"/>
                <w:sz w:val="18"/>
                <w:szCs w:val="18"/>
              </w:rPr>
              <w:t>”</w:t>
            </w:r>
          </w:p>
          <w:p w14:paraId="1B4D8C28" w14:textId="2DBF1AF9" w:rsidR="000766FA" w:rsidRPr="00B15EA1" w:rsidRDefault="000766FA" w:rsidP="004F6318">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B15EA1">
              <w:rPr>
                <w:rFonts w:ascii="Calibri" w:eastAsia="Calibri" w:hAnsi="Calibri" w:cs="Times New Roman"/>
                <w:sz w:val="18"/>
                <w:szCs w:val="18"/>
              </w:rPr>
              <w:t>Dedicated pharmacist time</w:t>
            </w:r>
            <w:r>
              <w:rPr>
                <w:rFonts w:ascii="Calibri" w:eastAsia="Calibri" w:hAnsi="Calibri" w:cs="Times New Roman"/>
                <w:sz w:val="18"/>
                <w:szCs w:val="18"/>
              </w:rPr>
              <w:t>”</w:t>
            </w:r>
            <w:r w:rsidRPr="00652671">
              <w:rPr>
                <w:sz w:val="18"/>
                <w:szCs w:val="18"/>
              </w:rPr>
              <w:t xml:space="preserve"> (also coded at ‘</w:t>
            </w:r>
            <w:r w:rsidRPr="00652671">
              <w:rPr>
                <w:i/>
                <w:sz w:val="18"/>
                <w:szCs w:val="18"/>
              </w:rPr>
              <w:t>environmental context and resources</w:t>
            </w:r>
            <w:r w:rsidRPr="00652671">
              <w:rPr>
                <w:sz w:val="18"/>
                <w:szCs w:val="18"/>
              </w:rPr>
              <w:t>’)</w:t>
            </w:r>
          </w:p>
        </w:tc>
        <w:tc>
          <w:tcPr>
            <w:tcW w:w="1701" w:type="dxa"/>
          </w:tcPr>
          <w:p w14:paraId="0906967A" w14:textId="77777777" w:rsidR="000766FA" w:rsidRPr="00105ACC"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roofErr w:type="spellStart"/>
            <w:r w:rsidRPr="00105ACC">
              <w:rPr>
                <w:rFonts w:ascii="Calibri" w:eastAsia="Calibri" w:hAnsi="Calibri" w:cs="Times New Roman"/>
                <w:sz w:val="18"/>
                <w:szCs w:val="18"/>
              </w:rPr>
              <w:t>Itokazu</w:t>
            </w:r>
            <w:proofErr w:type="spellEnd"/>
            <w:r w:rsidRPr="00105ACC">
              <w:rPr>
                <w:rFonts w:ascii="Calibri" w:eastAsia="Calibri" w:hAnsi="Calibri" w:cs="Times New Roman"/>
                <w:sz w:val="18"/>
                <w:szCs w:val="18"/>
              </w:rPr>
              <w:t>, 2006</w:t>
            </w:r>
            <w:r>
              <w:rPr>
                <w:rFonts w:ascii="Calibri" w:eastAsia="Calibri" w:hAnsi="Calibri" w:cs="Times New Roman"/>
                <w:sz w:val="18"/>
                <w:szCs w:val="18"/>
                <w:vertAlign w:val="superscript"/>
              </w:rPr>
              <w:t>H</w:t>
            </w:r>
          </w:p>
        </w:tc>
        <w:tc>
          <w:tcPr>
            <w:tcW w:w="1701" w:type="dxa"/>
          </w:tcPr>
          <w:p w14:paraId="5CC785C8" w14:textId="77777777" w:rsidR="000766FA" w:rsidRPr="00105ACC"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rPr>
            </w:pPr>
            <w:r w:rsidRPr="00105ACC">
              <w:rPr>
                <w:rFonts w:ascii="Calibri" w:eastAsia="Calibri" w:hAnsi="Calibri" w:cs="Times New Roman"/>
                <w:sz w:val="18"/>
              </w:rPr>
              <w:t>G</w:t>
            </w:r>
            <w:r>
              <w:rPr>
                <w:rFonts w:ascii="Calibri" w:eastAsia="Calibri" w:hAnsi="Calibri" w:cs="Times New Roman"/>
                <w:sz w:val="18"/>
              </w:rPr>
              <w:t>eneric</w:t>
            </w:r>
          </w:p>
        </w:tc>
      </w:tr>
      <w:tr w:rsidR="000766FA" w:rsidRPr="00105ACC" w14:paraId="264559DC" w14:textId="77777777" w:rsidTr="00DB035C">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418" w:type="dxa"/>
            <w:vMerge/>
          </w:tcPr>
          <w:p w14:paraId="00101D1B" w14:textId="77777777" w:rsidR="000766FA" w:rsidRPr="00105ACC" w:rsidRDefault="000766FA" w:rsidP="000766FA">
            <w:pPr>
              <w:rPr>
                <w:rFonts w:ascii="Calibri" w:eastAsia="Calibri" w:hAnsi="Calibri" w:cs="Times New Roman"/>
                <w:sz w:val="18"/>
                <w:szCs w:val="18"/>
              </w:rPr>
            </w:pPr>
          </w:p>
        </w:tc>
        <w:tc>
          <w:tcPr>
            <w:tcW w:w="9214" w:type="dxa"/>
          </w:tcPr>
          <w:p w14:paraId="05394D29" w14:textId="77777777" w:rsidR="000766FA" w:rsidRDefault="000766FA" w:rsidP="004F631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B15EA1">
              <w:rPr>
                <w:rFonts w:ascii="Calibri" w:eastAsia="Calibri" w:hAnsi="Calibri" w:cs="Times New Roman"/>
                <w:sz w:val="18"/>
                <w:szCs w:val="18"/>
              </w:rPr>
              <w:t>Opposition from prescribers</w:t>
            </w:r>
            <w:r>
              <w:rPr>
                <w:rFonts w:ascii="Calibri" w:eastAsia="Calibri" w:hAnsi="Calibri" w:cs="Times New Roman"/>
                <w:sz w:val="18"/>
                <w:szCs w:val="18"/>
              </w:rPr>
              <w:t>”</w:t>
            </w:r>
          </w:p>
          <w:p w14:paraId="0251C1CA" w14:textId="77777777" w:rsidR="000766FA" w:rsidRPr="00B15EA1" w:rsidRDefault="000766FA" w:rsidP="004F6318">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B15EA1">
              <w:rPr>
                <w:rFonts w:ascii="Calibri" w:eastAsia="Calibri" w:hAnsi="Calibri" w:cs="Times New Roman"/>
                <w:sz w:val="18"/>
                <w:szCs w:val="18"/>
              </w:rPr>
              <w:t>Other specialties antagonized by ASP</w:t>
            </w:r>
            <w:r>
              <w:rPr>
                <w:rFonts w:ascii="Calibri" w:eastAsia="Calibri" w:hAnsi="Calibri" w:cs="Times New Roman"/>
                <w:sz w:val="18"/>
                <w:szCs w:val="18"/>
              </w:rPr>
              <w:t>”</w:t>
            </w:r>
          </w:p>
        </w:tc>
        <w:tc>
          <w:tcPr>
            <w:tcW w:w="1701" w:type="dxa"/>
          </w:tcPr>
          <w:p w14:paraId="158423BE" w14:textId="77777777" w:rsidR="000766FA" w:rsidRPr="00105ACC"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Johannsson, 2011</w:t>
            </w:r>
            <w:r>
              <w:rPr>
                <w:rFonts w:ascii="Calibri" w:eastAsia="Calibri" w:hAnsi="Calibri" w:cs="Times New Roman"/>
                <w:sz w:val="18"/>
                <w:szCs w:val="18"/>
                <w:vertAlign w:val="superscript"/>
              </w:rPr>
              <w:t>C</w:t>
            </w:r>
          </w:p>
        </w:tc>
        <w:tc>
          <w:tcPr>
            <w:tcW w:w="1701" w:type="dxa"/>
          </w:tcPr>
          <w:p w14:paraId="095BEAA4" w14:textId="77777777" w:rsidR="000766FA" w:rsidRPr="00105ACC"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rPr>
            </w:pPr>
            <w:r w:rsidRPr="00105ACC">
              <w:rPr>
                <w:rFonts w:ascii="Calibri" w:eastAsia="Calibri" w:hAnsi="Calibri" w:cs="Times New Roman"/>
                <w:sz w:val="18"/>
              </w:rPr>
              <w:t>G</w:t>
            </w:r>
            <w:r>
              <w:rPr>
                <w:rFonts w:ascii="Calibri" w:eastAsia="Calibri" w:hAnsi="Calibri" w:cs="Times New Roman"/>
                <w:sz w:val="18"/>
              </w:rPr>
              <w:t>eneric</w:t>
            </w:r>
          </w:p>
        </w:tc>
      </w:tr>
      <w:tr w:rsidR="000766FA" w:rsidRPr="00105ACC" w14:paraId="728C26E8" w14:textId="77777777" w:rsidTr="00DB035C">
        <w:trPr>
          <w:trHeight w:val="42"/>
        </w:trPr>
        <w:tc>
          <w:tcPr>
            <w:cnfStyle w:val="001000000000" w:firstRow="0" w:lastRow="0" w:firstColumn="1" w:lastColumn="0" w:oddVBand="0" w:evenVBand="0" w:oddHBand="0" w:evenHBand="0" w:firstRowFirstColumn="0" w:firstRowLastColumn="0" w:lastRowFirstColumn="0" w:lastRowLastColumn="0"/>
            <w:tcW w:w="1418" w:type="dxa"/>
            <w:vMerge/>
          </w:tcPr>
          <w:p w14:paraId="69CA80D4" w14:textId="77777777" w:rsidR="000766FA" w:rsidRPr="00105ACC" w:rsidRDefault="000766FA" w:rsidP="000766FA">
            <w:pPr>
              <w:rPr>
                <w:rFonts w:ascii="Calibri" w:eastAsia="Calibri" w:hAnsi="Calibri" w:cs="Times New Roman"/>
                <w:sz w:val="18"/>
                <w:szCs w:val="18"/>
              </w:rPr>
            </w:pPr>
          </w:p>
        </w:tc>
        <w:tc>
          <w:tcPr>
            <w:tcW w:w="9214" w:type="dxa"/>
          </w:tcPr>
          <w:p w14:paraId="18BD2261" w14:textId="77777777" w:rsidR="000766FA" w:rsidRPr="00B15EA1" w:rsidRDefault="000766FA" w:rsidP="004F6318">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B15EA1">
              <w:rPr>
                <w:rFonts w:ascii="Calibri" w:eastAsia="Calibri" w:hAnsi="Calibri" w:cs="Times New Roman"/>
                <w:sz w:val="18"/>
                <w:szCs w:val="18"/>
              </w:rPr>
              <w:t>Lack of leadership by executive and senior clinicians</w:t>
            </w:r>
            <w:r>
              <w:rPr>
                <w:rFonts w:ascii="Calibri" w:eastAsia="Calibri" w:hAnsi="Calibri" w:cs="Times New Roman"/>
                <w:sz w:val="18"/>
                <w:szCs w:val="18"/>
              </w:rPr>
              <w:t>”</w:t>
            </w:r>
          </w:p>
          <w:p w14:paraId="2ADCA327" w14:textId="77777777" w:rsidR="000766FA" w:rsidRPr="00B15EA1" w:rsidRDefault="000766FA" w:rsidP="004F6318">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B15EA1">
              <w:rPr>
                <w:rFonts w:ascii="Calibri" w:eastAsia="Calibri" w:hAnsi="Calibri" w:cs="Times New Roman"/>
                <w:sz w:val="18"/>
                <w:szCs w:val="18"/>
              </w:rPr>
              <w:t>Lack of enforcement [by hospital management]”</w:t>
            </w:r>
          </w:p>
        </w:tc>
        <w:tc>
          <w:tcPr>
            <w:tcW w:w="1701" w:type="dxa"/>
          </w:tcPr>
          <w:p w14:paraId="6D6BE6AF" w14:textId="77777777" w:rsidR="000766FA" w:rsidRPr="00105ACC"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Bryant, 2015</w:t>
            </w:r>
            <w:r>
              <w:rPr>
                <w:rFonts w:ascii="Calibri" w:eastAsia="Calibri" w:hAnsi="Calibri" w:cs="Times New Roman"/>
                <w:sz w:val="18"/>
                <w:szCs w:val="18"/>
                <w:vertAlign w:val="superscript"/>
              </w:rPr>
              <w:t>A</w:t>
            </w:r>
          </w:p>
        </w:tc>
        <w:tc>
          <w:tcPr>
            <w:tcW w:w="1701" w:type="dxa"/>
          </w:tcPr>
          <w:p w14:paraId="5F7DA768" w14:textId="77777777" w:rsidR="000766FA" w:rsidRPr="00105ACC"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rPr>
            </w:pPr>
            <w:r w:rsidRPr="00105ACC">
              <w:rPr>
                <w:rFonts w:ascii="Calibri" w:eastAsia="Calibri" w:hAnsi="Calibri" w:cs="Times New Roman"/>
                <w:sz w:val="18"/>
              </w:rPr>
              <w:t>G</w:t>
            </w:r>
            <w:r>
              <w:rPr>
                <w:rFonts w:ascii="Calibri" w:eastAsia="Calibri" w:hAnsi="Calibri" w:cs="Times New Roman"/>
                <w:sz w:val="18"/>
              </w:rPr>
              <w:t>eneric</w:t>
            </w:r>
          </w:p>
        </w:tc>
      </w:tr>
      <w:tr w:rsidR="000766FA" w:rsidRPr="00105ACC" w14:paraId="68FCBAA6" w14:textId="77777777" w:rsidTr="00DB035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418" w:type="dxa"/>
            <w:vMerge/>
          </w:tcPr>
          <w:p w14:paraId="5239ACEE" w14:textId="77777777" w:rsidR="000766FA" w:rsidRPr="00105ACC" w:rsidRDefault="000766FA" w:rsidP="000766FA">
            <w:pPr>
              <w:rPr>
                <w:rFonts w:ascii="Calibri" w:eastAsia="Calibri" w:hAnsi="Calibri" w:cs="Times New Roman"/>
                <w:sz w:val="18"/>
                <w:szCs w:val="18"/>
              </w:rPr>
            </w:pPr>
          </w:p>
        </w:tc>
        <w:tc>
          <w:tcPr>
            <w:tcW w:w="9214" w:type="dxa"/>
          </w:tcPr>
          <w:p w14:paraId="09AC19B4" w14:textId="77777777" w:rsidR="000766FA" w:rsidRPr="00B15EA1" w:rsidRDefault="000766FA" w:rsidP="004F6318">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B15EA1">
              <w:rPr>
                <w:rFonts w:ascii="Calibri" w:eastAsia="Calibri" w:hAnsi="Calibri" w:cs="Times New Roman"/>
                <w:sz w:val="18"/>
                <w:szCs w:val="18"/>
              </w:rPr>
              <w:t>Opposition from prescribers</w:t>
            </w:r>
            <w:r>
              <w:rPr>
                <w:rFonts w:ascii="Calibri" w:eastAsia="Calibri" w:hAnsi="Calibri" w:cs="Times New Roman"/>
                <w:sz w:val="18"/>
                <w:szCs w:val="18"/>
              </w:rPr>
              <w:t>”</w:t>
            </w:r>
          </w:p>
          <w:p w14:paraId="2A62CFCE" w14:textId="0759C229" w:rsidR="000766FA" w:rsidRPr="00B15EA1" w:rsidRDefault="000766FA" w:rsidP="004F6318">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652671">
              <w:rPr>
                <w:sz w:val="18"/>
                <w:szCs w:val="18"/>
              </w:rPr>
              <w:t>“Administration not aware of ASP” [therefore unable to enforce an ASP]</w:t>
            </w:r>
          </w:p>
        </w:tc>
        <w:tc>
          <w:tcPr>
            <w:tcW w:w="1701" w:type="dxa"/>
          </w:tcPr>
          <w:p w14:paraId="2BCADB44" w14:textId="77777777" w:rsidR="000766FA" w:rsidRPr="00105ACC"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H</w:t>
            </w:r>
            <w:r>
              <w:rPr>
                <w:rFonts w:ascii="Calibri" w:eastAsia="Calibri" w:hAnsi="Calibri" w:cs="Times New Roman"/>
                <w:sz w:val="18"/>
                <w:szCs w:val="18"/>
              </w:rPr>
              <w:t>oward</w:t>
            </w:r>
            <w:r w:rsidRPr="00105ACC">
              <w:rPr>
                <w:rFonts w:ascii="Calibri" w:eastAsia="Calibri" w:hAnsi="Calibri" w:cs="Times New Roman"/>
                <w:sz w:val="18"/>
                <w:szCs w:val="18"/>
              </w:rPr>
              <w:t>, 2015</w:t>
            </w:r>
            <w:r>
              <w:rPr>
                <w:rFonts w:ascii="Calibri" w:eastAsia="Calibri" w:hAnsi="Calibri" w:cs="Times New Roman"/>
                <w:sz w:val="18"/>
                <w:szCs w:val="18"/>
                <w:vertAlign w:val="superscript"/>
              </w:rPr>
              <w:t>D</w:t>
            </w:r>
          </w:p>
        </w:tc>
        <w:tc>
          <w:tcPr>
            <w:tcW w:w="1701" w:type="dxa"/>
          </w:tcPr>
          <w:p w14:paraId="204A99D8" w14:textId="77777777" w:rsidR="000766FA" w:rsidRPr="00105ACC"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rPr>
            </w:pPr>
            <w:r w:rsidRPr="00105ACC">
              <w:rPr>
                <w:rFonts w:ascii="Calibri" w:eastAsia="Calibri" w:hAnsi="Calibri" w:cs="Times New Roman"/>
                <w:sz w:val="18"/>
              </w:rPr>
              <w:t>G</w:t>
            </w:r>
            <w:r>
              <w:rPr>
                <w:rFonts w:ascii="Calibri" w:eastAsia="Calibri" w:hAnsi="Calibri" w:cs="Times New Roman"/>
                <w:sz w:val="18"/>
              </w:rPr>
              <w:t>eneric</w:t>
            </w:r>
          </w:p>
        </w:tc>
      </w:tr>
      <w:tr w:rsidR="000766FA" w:rsidRPr="00105ACC" w14:paraId="015E0774" w14:textId="77777777" w:rsidTr="00DB035C">
        <w:trPr>
          <w:trHeight w:val="132"/>
        </w:trPr>
        <w:tc>
          <w:tcPr>
            <w:cnfStyle w:val="001000000000" w:firstRow="0" w:lastRow="0" w:firstColumn="1" w:lastColumn="0" w:oddVBand="0" w:evenVBand="0" w:oddHBand="0" w:evenHBand="0" w:firstRowFirstColumn="0" w:firstRowLastColumn="0" w:lastRowFirstColumn="0" w:lastRowLastColumn="0"/>
            <w:tcW w:w="1418" w:type="dxa"/>
            <w:vMerge/>
          </w:tcPr>
          <w:p w14:paraId="5E591420" w14:textId="77777777" w:rsidR="000766FA" w:rsidRPr="00105ACC" w:rsidRDefault="000766FA" w:rsidP="000766FA">
            <w:pPr>
              <w:rPr>
                <w:rFonts w:ascii="Calibri" w:eastAsia="Calibri" w:hAnsi="Calibri" w:cs="Times New Roman"/>
                <w:sz w:val="18"/>
                <w:szCs w:val="18"/>
              </w:rPr>
            </w:pPr>
          </w:p>
        </w:tc>
        <w:tc>
          <w:tcPr>
            <w:tcW w:w="9214" w:type="dxa"/>
          </w:tcPr>
          <w:p w14:paraId="1A65F3A8" w14:textId="782A0AA0" w:rsidR="000766FA" w:rsidRPr="00B15EA1" w:rsidRDefault="000766FA" w:rsidP="004F6318">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B15EA1">
              <w:rPr>
                <w:rFonts w:ascii="Calibri" w:eastAsia="Calibri" w:hAnsi="Calibri" w:cs="Times New Roman"/>
                <w:sz w:val="18"/>
                <w:szCs w:val="18"/>
              </w:rPr>
              <w:t xml:space="preserve">Physician </w:t>
            </w:r>
            <w:r>
              <w:rPr>
                <w:rFonts w:ascii="Calibri" w:eastAsia="Calibri" w:hAnsi="Calibri" w:cs="Times New Roman"/>
                <w:sz w:val="18"/>
                <w:szCs w:val="18"/>
              </w:rPr>
              <w:t xml:space="preserve">[negative] </w:t>
            </w:r>
            <w:r w:rsidRPr="00B15EA1">
              <w:rPr>
                <w:rFonts w:ascii="Calibri" w:eastAsia="Calibri" w:hAnsi="Calibri" w:cs="Times New Roman"/>
                <w:sz w:val="18"/>
                <w:szCs w:val="18"/>
              </w:rPr>
              <w:t>attitudes about antimicrobials</w:t>
            </w:r>
            <w:r>
              <w:rPr>
                <w:rFonts w:ascii="Calibri" w:eastAsia="Calibri" w:hAnsi="Calibri" w:cs="Times New Roman"/>
                <w:sz w:val="18"/>
                <w:szCs w:val="18"/>
              </w:rPr>
              <w:t>”</w:t>
            </w:r>
          </w:p>
          <w:p w14:paraId="54413A50" w14:textId="77777777" w:rsidR="000766FA" w:rsidRPr="00B15EA1" w:rsidRDefault="000766FA" w:rsidP="004F6318">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B15EA1">
              <w:rPr>
                <w:rFonts w:ascii="Calibri" w:eastAsia="Calibri" w:hAnsi="Calibri" w:cs="Times New Roman"/>
                <w:sz w:val="18"/>
                <w:szCs w:val="18"/>
              </w:rPr>
              <w:t>Prescribers resistant to feedback</w:t>
            </w:r>
            <w:r>
              <w:rPr>
                <w:rFonts w:ascii="Calibri" w:eastAsia="Calibri" w:hAnsi="Calibri" w:cs="Times New Roman"/>
                <w:sz w:val="18"/>
                <w:szCs w:val="18"/>
              </w:rPr>
              <w:t>”</w:t>
            </w:r>
          </w:p>
          <w:p w14:paraId="6566F770" w14:textId="063806DC" w:rsidR="000766FA" w:rsidRPr="00B15EA1" w:rsidRDefault="000766FA" w:rsidP="004F6318">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[Poor] “Communication”</w:t>
            </w:r>
          </w:p>
        </w:tc>
        <w:tc>
          <w:tcPr>
            <w:tcW w:w="1701" w:type="dxa"/>
          </w:tcPr>
          <w:p w14:paraId="3A2F5E80" w14:textId="77777777" w:rsidR="000766FA" w:rsidRPr="00105ACC"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roofErr w:type="spellStart"/>
            <w:r w:rsidRPr="00105ACC">
              <w:rPr>
                <w:rFonts w:ascii="Calibri" w:eastAsia="Calibri" w:hAnsi="Calibri" w:cs="Times New Roman"/>
                <w:sz w:val="18"/>
                <w:szCs w:val="18"/>
              </w:rPr>
              <w:t>Livorsi</w:t>
            </w:r>
            <w:proofErr w:type="spellEnd"/>
            <w:r w:rsidRPr="00105ACC">
              <w:rPr>
                <w:rFonts w:ascii="Calibri" w:eastAsia="Calibri" w:hAnsi="Calibri" w:cs="Times New Roman"/>
                <w:sz w:val="18"/>
                <w:szCs w:val="18"/>
              </w:rPr>
              <w:t>, 2016</w:t>
            </w:r>
            <w:r>
              <w:rPr>
                <w:rFonts w:ascii="Calibri" w:eastAsia="Calibri" w:hAnsi="Calibri" w:cs="Times New Roman"/>
                <w:sz w:val="18"/>
                <w:szCs w:val="18"/>
                <w:vertAlign w:val="superscript"/>
              </w:rPr>
              <w:t>E</w:t>
            </w:r>
          </w:p>
        </w:tc>
        <w:tc>
          <w:tcPr>
            <w:tcW w:w="1701" w:type="dxa"/>
          </w:tcPr>
          <w:p w14:paraId="46493409" w14:textId="77777777" w:rsidR="000766FA" w:rsidRPr="00105ACC"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Strategy specific</w:t>
            </w:r>
          </w:p>
        </w:tc>
      </w:tr>
      <w:tr w:rsidR="000766FA" w:rsidRPr="00105ACC" w14:paraId="3B701CDA" w14:textId="77777777" w:rsidTr="00DB035C">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418" w:type="dxa"/>
            <w:vMerge/>
          </w:tcPr>
          <w:p w14:paraId="222BEAB7" w14:textId="77777777" w:rsidR="000766FA" w:rsidRPr="00105ACC" w:rsidRDefault="000766FA" w:rsidP="000766FA">
            <w:pPr>
              <w:rPr>
                <w:rFonts w:ascii="Calibri" w:eastAsia="Calibri" w:hAnsi="Calibri" w:cs="Times New Roman"/>
                <w:sz w:val="18"/>
                <w:szCs w:val="18"/>
              </w:rPr>
            </w:pPr>
          </w:p>
        </w:tc>
        <w:tc>
          <w:tcPr>
            <w:tcW w:w="9214" w:type="dxa"/>
          </w:tcPr>
          <w:p w14:paraId="09D82046" w14:textId="77777777" w:rsidR="000766FA" w:rsidRPr="00D54DE0" w:rsidRDefault="000766FA" w:rsidP="004F6318">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D54DE0">
              <w:rPr>
                <w:rFonts w:ascii="Calibri" w:eastAsia="Calibri" w:hAnsi="Calibri" w:cs="Times New Roman"/>
                <w:sz w:val="18"/>
                <w:szCs w:val="18"/>
              </w:rPr>
              <w:t>“Not enough communication with oncology clinicians”</w:t>
            </w:r>
          </w:p>
          <w:p w14:paraId="32A74413" w14:textId="77777777" w:rsidR="000766FA" w:rsidRPr="00D54DE0" w:rsidRDefault="000766FA" w:rsidP="004F6318">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D54DE0">
              <w:rPr>
                <w:rFonts w:ascii="Calibri" w:eastAsia="Calibri" w:hAnsi="Calibri" w:cs="Times New Roman"/>
                <w:sz w:val="18"/>
                <w:szCs w:val="18"/>
              </w:rPr>
              <w:t>“Inconsistency or conflict within the infectious diseases or ASP team”</w:t>
            </w:r>
          </w:p>
          <w:p w14:paraId="0E44A542" w14:textId="613E73D1" w:rsidR="000766FA" w:rsidRPr="00D54DE0"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D54DE0">
              <w:rPr>
                <w:rFonts w:ascii="Calibri" w:eastAsia="Calibri" w:hAnsi="Calibri" w:cs="Times New Roman"/>
                <w:sz w:val="18"/>
                <w:szCs w:val="18"/>
              </w:rPr>
              <w:t xml:space="preserve">(B) </w:t>
            </w:r>
            <w:proofErr w:type="gramStart"/>
            <w:r w:rsidRPr="00D54DE0">
              <w:rPr>
                <w:rFonts w:ascii="Calibri" w:eastAsia="Calibri" w:hAnsi="Calibri" w:cs="Times New Roman"/>
                <w:sz w:val="18"/>
                <w:szCs w:val="18"/>
              </w:rPr>
              <w:t xml:space="preserve">   “</w:t>
            </w:r>
            <w:proofErr w:type="gramEnd"/>
            <w:r w:rsidRPr="00D54DE0">
              <w:rPr>
                <w:rFonts w:ascii="Calibri" w:eastAsia="Calibri" w:hAnsi="Calibri" w:cs="Times New Roman"/>
                <w:sz w:val="18"/>
                <w:szCs w:val="18"/>
              </w:rPr>
              <w:t>Oncology clinicians are concerned about loss of autonomy”</w:t>
            </w:r>
          </w:p>
          <w:p w14:paraId="17466E11" w14:textId="77777777" w:rsidR="000766FA" w:rsidRPr="00D54DE0" w:rsidRDefault="000766FA" w:rsidP="004F6318">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rPr>
            </w:pPr>
            <w:r w:rsidRPr="00D54DE0">
              <w:rPr>
                <w:rFonts w:ascii="Calibri" w:eastAsia="Calibri" w:hAnsi="Calibri" w:cs="Times New Roman"/>
                <w:sz w:val="18"/>
              </w:rPr>
              <w:t>“Oncology clinicians are more motivated by fear of rare adverse outcomes than long-term risks of antimicrobial use”</w:t>
            </w:r>
          </w:p>
          <w:p w14:paraId="03F93428" w14:textId="77777777" w:rsidR="000766FA" w:rsidRPr="00D54DE0" w:rsidRDefault="000766FA" w:rsidP="004F6318">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rPr>
            </w:pPr>
            <w:r w:rsidRPr="00D54DE0">
              <w:rPr>
                <w:rFonts w:ascii="Calibri" w:eastAsia="Calibri" w:hAnsi="Calibri" w:cs="Times New Roman"/>
                <w:sz w:val="18"/>
                <w:szCs w:val="18"/>
              </w:rPr>
              <w:t>“Oncology clinicians don't show confidence in ASP/ID clinicians”</w:t>
            </w:r>
          </w:p>
          <w:p w14:paraId="49D5DFD5" w14:textId="3BE1D1E8" w:rsidR="000766FA" w:rsidRPr="00D54DE0"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ArialMT"/>
                <w:sz w:val="18"/>
                <w:szCs w:val="18"/>
              </w:rPr>
            </w:pPr>
            <w:r w:rsidRPr="00D54DE0">
              <w:rPr>
                <w:rFonts w:ascii="Calibri" w:eastAsia="Calibri" w:hAnsi="Calibri" w:cs="ArialMT"/>
                <w:sz w:val="18"/>
                <w:szCs w:val="18"/>
              </w:rPr>
              <w:t xml:space="preserve">(B) </w:t>
            </w:r>
            <w:proofErr w:type="gramStart"/>
            <w:r>
              <w:rPr>
                <w:rFonts w:ascii="Calibri" w:eastAsia="Calibri" w:hAnsi="Calibri" w:cs="ArialMT"/>
                <w:sz w:val="18"/>
                <w:szCs w:val="18"/>
              </w:rPr>
              <w:t xml:space="preserve">   </w:t>
            </w:r>
            <w:r w:rsidRPr="00D54DE0">
              <w:rPr>
                <w:rFonts w:ascii="Calibri" w:eastAsia="Calibri" w:hAnsi="Calibri" w:cs="ArialMT"/>
                <w:sz w:val="18"/>
                <w:szCs w:val="18"/>
              </w:rPr>
              <w:t>“</w:t>
            </w:r>
            <w:proofErr w:type="gramEnd"/>
            <w:r w:rsidRPr="00D54DE0">
              <w:rPr>
                <w:rFonts w:ascii="Calibri" w:eastAsia="Calibri" w:hAnsi="Calibri" w:cs="ArialMT"/>
                <w:sz w:val="18"/>
                <w:szCs w:val="18"/>
              </w:rPr>
              <w:t>Oncology clinicians do not believe that their antimicrobial use leads to antimicrobial resistance”</w:t>
            </w:r>
          </w:p>
          <w:p w14:paraId="1FDC5D6E" w14:textId="560ECCBB" w:rsidR="000766FA" w:rsidRPr="00D54DE0" w:rsidRDefault="000766FA" w:rsidP="000766FA">
            <w:pPr>
              <w:cnfStyle w:val="000000100000" w:firstRow="0" w:lastRow="0" w:firstColumn="0" w:lastColumn="0" w:oddVBand="0" w:evenVBand="0" w:oddHBand="1" w:evenHBand="0" w:firstRowFirstColumn="0" w:firstRowLastColumn="0" w:lastRowFirstColumn="0" w:lastRowLastColumn="0"/>
              <w:rPr>
                <w:sz w:val="18"/>
                <w:szCs w:val="18"/>
              </w:rPr>
            </w:pPr>
            <w:r w:rsidRPr="00D54DE0">
              <w:rPr>
                <w:rFonts w:ascii="Calibri" w:eastAsia="Calibri" w:hAnsi="Calibri" w:cs="ArialMT"/>
                <w:sz w:val="18"/>
                <w:szCs w:val="18"/>
              </w:rPr>
              <w:t xml:space="preserve">(B) </w:t>
            </w:r>
            <w:proofErr w:type="gramStart"/>
            <w:r w:rsidRPr="00D54DE0">
              <w:rPr>
                <w:rFonts w:ascii="Calibri" w:eastAsia="Calibri" w:hAnsi="Calibri" w:cs="ArialMT"/>
                <w:sz w:val="18"/>
                <w:szCs w:val="18"/>
              </w:rPr>
              <w:t xml:space="preserve">   </w:t>
            </w:r>
            <w:r w:rsidRPr="00D54DE0">
              <w:rPr>
                <w:rFonts w:ascii="Calibri" w:eastAsia="Calibri" w:hAnsi="Calibri" w:cs="Times New Roman"/>
                <w:sz w:val="18"/>
                <w:szCs w:val="18"/>
              </w:rPr>
              <w:t>“</w:t>
            </w:r>
            <w:proofErr w:type="gramEnd"/>
            <w:r w:rsidRPr="00D54DE0">
              <w:rPr>
                <w:rFonts w:ascii="Calibri" w:eastAsia="Calibri" w:hAnsi="Calibri" w:cs="Times New Roman"/>
                <w:sz w:val="18"/>
                <w:szCs w:val="18"/>
              </w:rPr>
              <w:t xml:space="preserve">Oncology clinicians are confident in their antibiotic knowledge or current antimicrobial strategies” </w:t>
            </w:r>
            <w:r w:rsidRPr="00D54DE0">
              <w:rPr>
                <w:sz w:val="18"/>
                <w:szCs w:val="18"/>
              </w:rPr>
              <w:t>[Reliance of paediatric oncology clinicians on their knowledge and current strategies to manage infections]</w:t>
            </w:r>
          </w:p>
          <w:p w14:paraId="435AD896" w14:textId="651447AE" w:rsidR="000766FA" w:rsidRPr="00D54DE0"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ArialMT"/>
                <w:sz w:val="18"/>
                <w:szCs w:val="18"/>
              </w:rPr>
            </w:pPr>
            <w:r w:rsidRPr="00D54DE0">
              <w:rPr>
                <w:rFonts w:ascii="Calibri" w:eastAsia="Calibri" w:hAnsi="Calibri" w:cs="Times New Roman"/>
                <w:sz w:val="18"/>
                <w:szCs w:val="18"/>
              </w:rPr>
              <w:t xml:space="preserve">(B)   </w:t>
            </w:r>
            <w:proofErr w:type="gramStart"/>
            <w:r w:rsidRPr="00D54DE0">
              <w:rPr>
                <w:rFonts w:ascii="Calibri" w:eastAsia="Calibri" w:hAnsi="Calibri" w:cs="Times New Roman"/>
                <w:sz w:val="18"/>
                <w:szCs w:val="18"/>
              </w:rPr>
              <w:t xml:space="preserve">   “</w:t>
            </w:r>
            <w:proofErr w:type="gramEnd"/>
            <w:r w:rsidRPr="00D54DE0">
              <w:rPr>
                <w:rFonts w:ascii="Calibri" w:eastAsia="Calibri" w:hAnsi="Calibri" w:cs="Times New Roman"/>
                <w:sz w:val="18"/>
                <w:szCs w:val="18"/>
              </w:rPr>
              <w:t>Oncology clinicians are not motivated by reducing financial costs (e.g. Use of expensive antibiotics)”</w:t>
            </w:r>
          </w:p>
        </w:tc>
        <w:tc>
          <w:tcPr>
            <w:tcW w:w="1701" w:type="dxa"/>
          </w:tcPr>
          <w:p w14:paraId="0F33C8B3" w14:textId="77777777" w:rsidR="000766FA" w:rsidRPr="00105ACC"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Wolf, 2016</w:t>
            </w:r>
            <w:r>
              <w:rPr>
                <w:rFonts w:ascii="Calibri" w:eastAsia="Calibri" w:hAnsi="Calibri" w:cs="Times New Roman"/>
                <w:sz w:val="18"/>
                <w:szCs w:val="18"/>
                <w:vertAlign w:val="superscript"/>
              </w:rPr>
              <w:t>G</w:t>
            </w:r>
          </w:p>
        </w:tc>
        <w:tc>
          <w:tcPr>
            <w:tcW w:w="1701" w:type="dxa"/>
          </w:tcPr>
          <w:p w14:paraId="50A740DC" w14:textId="77777777" w:rsidR="000766FA" w:rsidRPr="00105ACC"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Context specific</w:t>
            </w:r>
          </w:p>
        </w:tc>
      </w:tr>
      <w:tr w:rsidR="000766FA" w:rsidRPr="00105ACC" w14:paraId="4E814B4C" w14:textId="77777777" w:rsidTr="00DB035C">
        <w:trPr>
          <w:trHeight w:val="448"/>
        </w:trPr>
        <w:tc>
          <w:tcPr>
            <w:cnfStyle w:val="001000000000" w:firstRow="0" w:lastRow="0" w:firstColumn="1" w:lastColumn="0" w:oddVBand="0" w:evenVBand="0" w:oddHBand="0" w:evenHBand="0" w:firstRowFirstColumn="0" w:firstRowLastColumn="0" w:lastRowFirstColumn="0" w:lastRowLastColumn="0"/>
            <w:tcW w:w="1418" w:type="dxa"/>
            <w:vMerge/>
          </w:tcPr>
          <w:p w14:paraId="0E21ADCD" w14:textId="77777777" w:rsidR="000766FA" w:rsidRPr="00105ACC" w:rsidRDefault="000766FA" w:rsidP="000766FA">
            <w:pPr>
              <w:rPr>
                <w:rFonts w:ascii="Calibri" w:eastAsia="Calibri" w:hAnsi="Calibri" w:cs="Times New Roman"/>
                <w:sz w:val="18"/>
                <w:szCs w:val="18"/>
              </w:rPr>
            </w:pPr>
          </w:p>
        </w:tc>
        <w:tc>
          <w:tcPr>
            <w:tcW w:w="9214" w:type="dxa"/>
          </w:tcPr>
          <w:p w14:paraId="3D154A6B" w14:textId="77777777" w:rsidR="000766FA" w:rsidRPr="00B15EA1" w:rsidRDefault="000766FA" w:rsidP="004F6318">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w:t>
            </w:r>
            <w:r w:rsidRPr="00B15EA1">
              <w:rPr>
                <w:rFonts w:ascii="Calibri" w:eastAsia="Calibri" w:hAnsi="Calibri" w:cs="Times New Roman"/>
                <w:sz w:val="18"/>
                <w:szCs w:val="18"/>
              </w:rPr>
              <w:t>Lack of collaboration from the private system (e.g. Private laboratories prefer full reporting because it requires less qualified personnel and implies less workload)</w:t>
            </w:r>
            <w:r>
              <w:rPr>
                <w:rFonts w:ascii="Calibri" w:eastAsia="Calibri" w:hAnsi="Calibri" w:cs="Times New Roman"/>
                <w:sz w:val="18"/>
                <w:szCs w:val="18"/>
              </w:rPr>
              <w:t>”</w:t>
            </w:r>
          </w:p>
        </w:tc>
        <w:tc>
          <w:tcPr>
            <w:tcW w:w="1701" w:type="dxa"/>
          </w:tcPr>
          <w:p w14:paraId="74D4C681" w14:textId="77777777" w:rsidR="000766FA" w:rsidRPr="00105ACC"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roofErr w:type="spellStart"/>
            <w:r w:rsidRPr="00105ACC">
              <w:rPr>
                <w:rFonts w:ascii="Calibri" w:eastAsia="Calibri" w:hAnsi="Calibri" w:cs="Times New Roman"/>
                <w:sz w:val="18"/>
                <w:szCs w:val="18"/>
              </w:rPr>
              <w:t>Pulcini</w:t>
            </w:r>
            <w:proofErr w:type="spellEnd"/>
            <w:r w:rsidRPr="00105ACC">
              <w:rPr>
                <w:rFonts w:ascii="Calibri" w:eastAsia="Calibri" w:hAnsi="Calibri" w:cs="Times New Roman"/>
                <w:sz w:val="18"/>
                <w:szCs w:val="18"/>
              </w:rPr>
              <w:t>, 2017</w:t>
            </w:r>
            <w:r>
              <w:rPr>
                <w:rFonts w:ascii="Calibri" w:eastAsia="Calibri" w:hAnsi="Calibri" w:cs="Times New Roman"/>
                <w:sz w:val="18"/>
                <w:szCs w:val="18"/>
                <w:vertAlign w:val="superscript"/>
              </w:rPr>
              <w:t>B</w:t>
            </w:r>
          </w:p>
        </w:tc>
        <w:tc>
          <w:tcPr>
            <w:tcW w:w="1701" w:type="dxa"/>
          </w:tcPr>
          <w:p w14:paraId="21D048B0" w14:textId="77777777" w:rsidR="000766FA" w:rsidRPr="00105ACC"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Strategy specific</w:t>
            </w:r>
          </w:p>
        </w:tc>
      </w:tr>
      <w:tr w:rsidR="000766FA" w:rsidRPr="00105ACC" w14:paraId="19F921CF" w14:textId="77777777" w:rsidTr="00DB035C">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418" w:type="dxa"/>
            <w:vMerge/>
          </w:tcPr>
          <w:p w14:paraId="1A8F25EC" w14:textId="77777777" w:rsidR="000766FA" w:rsidRPr="00105ACC" w:rsidRDefault="000766FA" w:rsidP="000766FA">
            <w:pPr>
              <w:rPr>
                <w:rFonts w:ascii="Calibri" w:eastAsia="Calibri" w:hAnsi="Calibri" w:cs="Times New Roman"/>
                <w:sz w:val="18"/>
                <w:szCs w:val="18"/>
              </w:rPr>
            </w:pPr>
          </w:p>
        </w:tc>
        <w:tc>
          <w:tcPr>
            <w:tcW w:w="9214" w:type="dxa"/>
          </w:tcPr>
          <w:p w14:paraId="00AE9FA9" w14:textId="34352099" w:rsidR="000766FA" w:rsidRPr="00B15EA1" w:rsidRDefault="000766FA" w:rsidP="004F6318">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B15EA1">
              <w:rPr>
                <w:rFonts w:ascii="Calibri" w:eastAsia="Calibri" w:hAnsi="Calibri" w:cs="Times New Roman"/>
                <w:sz w:val="18"/>
                <w:szCs w:val="18"/>
              </w:rPr>
              <w:t>“Despite repeated attempts to put an Antimicrobial Stewardship team in place it has not happened. We need a Microbiologist to push things forward. (Ireland)”</w:t>
            </w:r>
            <w:r>
              <w:rPr>
                <w:rFonts w:ascii="Calibri" w:eastAsia="Calibri" w:hAnsi="Calibri" w:cs="Times New Roman"/>
                <w:sz w:val="18"/>
                <w:szCs w:val="18"/>
              </w:rPr>
              <w:t xml:space="preserve"> </w:t>
            </w:r>
            <w:r>
              <w:rPr>
                <w:sz w:val="18"/>
                <w:szCs w:val="18"/>
              </w:rPr>
              <w:t xml:space="preserve">[A need for </w:t>
            </w:r>
            <w:r w:rsidRPr="00F20844">
              <w:rPr>
                <w:sz w:val="18"/>
                <w:szCs w:val="18"/>
              </w:rPr>
              <w:t>introducing a microbiologist team leader to facilitate the establishment of an antimicrobial stewardship team</w:t>
            </w:r>
            <w:r>
              <w:rPr>
                <w:sz w:val="18"/>
                <w:szCs w:val="18"/>
              </w:rPr>
              <w:t>]</w:t>
            </w:r>
          </w:p>
        </w:tc>
        <w:tc>
          <w:tcPr>
            <w:tcW w:w="1701" w:type="dxa"/>
          </w:tcPr>
          <w:p w14:paraId="462FD077" w14:textId="77777777" w:rsidR="000766FA" w:rsidRPr="00105ACC"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D47467">
              <w:rPr>
                <w:rFonts w:ascii="Calibri" w:eastAsia="Calibri" w:hAnsi="Calibri" w:cs="Times New Roman"/>
                <w:sz w:val="18"/>
                <w:szCs w:val="18"/>
              </w:rPr>
              <w:t>Fleming, 2015</w:t>
            </w:r>
            <w:r>
              <w:rPr>
                <w:rFonts w:ascii="Calibri" w:eastAsia="Calibri" w:hAnsi="Calibri" w:cs="Times New Roman"/>
                <w:sz w:val="18"/>
                <w:szCs w:val="18"/>
                <w:vertAlign w:val="superscript"/>
              </w:rPr>
              <w:t>F</w:t>
            </w:r>
          </w:p>
        </w:tc>
        <w:tc>
          <w:tcPr>
            <w:tcW w:w="1701" w:type="dxa"/>
          </w:tcPr>
          <w:p w14:paraId="335D364E" w14:textId="77777777" w:rsidR="000766FA" w:rsidRPr="00105ACC"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Context specific</w:t>
            </w:r>
          </w:p>
        </w:tc>
      </w:tr>
      <w:tr w:rsidR="000766FA" w:rsidRPr="00105ACC" w14:paraId="3E11F1A2" w14:textId="77777777" w:rsidTr="00DB035C">
        <w:trPr>
          <w:trHeight w:val="186"/>
        </w:trPr>
        <w:tc>
          <w:tcPr>
            <w:cnfStyle w:val="001000000000" w:firstRow="0" w:lastRow="0" w:firstColumn="1" w:lastColumn="0" w:oddVBand="0" w:evenVBand="0" w:oddHBand="0" w:evenHBand="0" w:firstRowFirstColumn="0" w:firstRowLastColumn="0" w:lastRowFirstColumn="0" w:lastRowLastColumn="0"/>
            <w:tcW w:w="1418" w:type="dxa"/>
            <w:vMerge w:val="restart"/>
          </w:tcPr>
          <w:p w14:paraId="202E8B3F" w14:textId="06FD155A" w:rsidR="000766FA" w:rsidRPr="00105ACC" w:rsidRDefault="000766FA" w:rsidP="000766FA">
            <w:pPr>
              <w:rPr>
                <w:rFonts w:ascii="Calibri" w:eastAsia="Calibri" w:hAnsi="Calibri" w:cs="Times New Roman"/>
                <w:sz w:val="18"/>
                <w:szCs w:val="18"/>
              </w:rPr>
            </w:pPr>
            <w:r>
              <w:rPr>
                <w:rFonts w:ascii="Calibri" w:eastAsia="Calibri" w:hAnsi="Calibri" w:cs="Times New Roman"/>
                <w:sz w:val="18"/>
                <w:szCs w:val="18"/>
              </w:rPr>
              <w:t>Social/p</w:t>
            </w:r>
            <w:r w:rsidRPr="00105ACC">
              <w:rPr>
                <w:rFonts w:ascii="Calibri" w:eastAsia="Calibri" w:hAnsi="Calibri" w:cs="Times New Roman"/>
                <w:sz w:val="18"/>
                <w:szCs w:val="18"/>
              </w:rPr>
              <w:t>rofessional role and identity</w:t>
            </w:r>
          </w:p>
        </w:tc>
        <w:tc>
          <w:tcPr>
            <w:tcW w:w="9214" w:type="dxa"/>
          </w:tcPr>
          <w:p w14:paraId="34A0B413" w14:textId="7FB2BD2B" w:rsidR="000766FA" w:rsidRPr="00597861" w:rsidRDefault="000766FA" w:rsidP="004F6318">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652671">
              <w:rPr>
                <w:sz w:val="18"/>
                <w:szCs w:val="18"/>
              </w:rPr>
              <w:t xml:space="preserve">[Lack of clarity about division of responsibilities </w:t>
            </w:r>
            <w:proofErr w:type="gramStart"/>
            <w:r w:rsidRPr="00652671">
              <w:rPr>
                <w:sz w:val="18"/>
                <w:szCs w:val="18"/>
              </w:rPr>
              <w:t>between]“</w:t>
            </w:r>
            <w:proofErr w:type="gramEnd"/>
            <w:r w:rsidRPr="00652671">
              <w:rPr>
                <w:sz w:val="18"/>
                <w:szCs w:val="18"/>
              </w:rPr>
              <w:t>Multiple infectious disease groups within facility”</w:t>
            </w:r>
          </w:p>
        </w:tc>
        <w:tc>
          <w:tcPr>
            <w:tcW w:w="1701" w:type="dxa"/>
          </w:tcPr>
          <w:p w14:paraId="1428FB9F" w14:textId="77777777" w:rsidR="000766FA" w:rsidRPr="00105ACC"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18"/>
                <w:szCs w:val="18"/>
              </w:rPr>
            </w:pPr>
            <w:r w:rsidRPr="00105ACC">
              <w:rPr>
                <w:rFonts w:ascii="Calibri" w:eastAsia="Calibri" w:hAnsi="Calibri" w:cs="Times New Roman"/>
                <w:sz w:val="18"/>
                <w:szCs w:val="18"/>
              </w:rPr>
              <w:t>Johannsson, 2011</w:t>
            </w:r>
            <w:r>
              <w:rPr>
                <w:rFonts w:ascii="Calibri" w:eastAsia="Calibri" w:hAnsi="Calibri" w:cs="Times New Roman"/>
                <w:sz w:val="18"/>
                <w:szCs w:val="18"/>
                <w:vertAlign w:val="superscript"/>
              </w:rPr>
              <w:t>C</w:t>
            </w:r>
          </w:p>
        </w:tc>
        <w:tc>
          <w:tcPr>
            <w:tcW w:w="1701" w:type="dxa"/>
          </w:tcPr>
          <w:p w14:paraId="0349B784" w14:textId="77777777" w:rsidR="000766FA" w:rsidRPr="00105ACC" w:rsidRDefault="000766FA" w:rsidP="000766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G</w:t>
            </w:r>
            <w:r>
              <w:rPr>
                <w:rFonts w:ascii="Calibri" w:eastAsia="Calibri" w:hAnsi="Calibri" w:cs="Times New Roman"/>
                <w:sz w:val="18"/>
                <w:szCs w:val="18"/>
              </w:rPr>
              <w:t>eneric</w:t>
            </w:r>
          </w:p>
        </w:tc>
      </w:tr>
      <w:tr w:rsidR="000766FA" w:rsidRPr="00105ACC" w14:paraId="0E70F5DB" w14:textId="77777777" w:rsidTr="00DB035C">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418" w:type="dxa"/>
            <w:vMerge/>
          </w:tcPr>
          <w:p w14:paraId="4555DD3E" w14:textId="77777777" w:rsidR="000766FA" w:rsidRPr="00105ACC" w:rsidRDefault="000766FA" w:rsidP="000766FA">
            <w:pPr>
              <w:rPr>
                <w:rFonts w:ascii="Calibri" w:eastAsia="Calibri" w:hAnsi="Calibri" w:cs="Times New Roman"/>
                <w:sz w:val="18"/>
                <w:szCs w:val="18"/>
              </w:rPr>
            </w:pPr>
          </w:p>
        </w:tc>
        <w:tc>
          <w:tcPr>
            <w:tcW w:w="9214" w:type="dxa"/>
          </w:tcPr>
          <w:p w14:paraId="721FE551" w14:textId="466E14FF" w:rsidR="000766FA" w:rsidRPr="00597861" w:rsidRDefault="000766FA" w:rsidP="004F6318">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F7615D">
              <w:rPr>
                <w:rFonts w:ascii="Calibri" w:eastAsia="Calibri" w:hAnsi="Calibri" w:cs="Times New Roman"/>
                <w:sz w:val="18"/>
                <w:szCs w:val="18"/>
              </w:rPr>
              <w:t xml:space="preserve"> “ASP does not have enough power or authority” [ASP derived jurisdiction gives antimicrobial stewardship clinicians </w:t>
            </w:r>
            <w:proofErr w:type="gramStart"/>
            <w:r w:rsidRPr="00F7615D">
              <w:rPr>
                <w:rFonts w:ascii="Calibri" w:eastAsia="Calibri" w:hAnsi="Calibri" w:cs="Times New Roman"/>
                <w:sz w:val="18"/>
                <w:szCs w:val="18"/>
              </w:rPr>
              <w:t>limited  power</w:t>
            </w:r>
            <w:proofErr w:type="gramEnd"/>
            <w:r w:rsidRPr="00F7615D">
              <w:rPr>
                <w:rFonts w:ascii="Calibri" w:eastAsia="Calibri" w:hAnsi="Calibri" w:cs="Times New Roman"/>
                <w:sz w:val="18"/>
                <w:szCs w:val="18"/>
              </w:rPr>
              <w:t xml:space="preserve"> or authority]</w:t>
            </w:r>
          </w:p>
        </w:tc>
        <w:tc>
          <w:tcPr>
            <w:tcW w:w="1701" w:type="dxa"/>
          </w:tcPr>
          <w:p w14:paraId="4CAD5514" w14:textId="77777777" w:rsidR="000766FA" w:rsidRPr="00105ACC"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Wolf, 2016</w:t>
            </w:r>
            <w:r>
              <w:rPr>
                <w:rFonts w:ascii="Calibri" w:eastAsia="Calibri" w:hAnsi="Calibri" w:cs="Times New Roman"/>
                <w:sz w:val="18"/>
                <w:szCs w:val="18"/>
                <w:vertAlign w:val="superscript"/>
              </w:rPr>
              <w:t>G</w:t>
            </w:r>
          </w:p>
        </w:tc>
        <w:tc>
          <w:tcPr>
            <w:tcW w:w="1701" w:type="dxa"/>
          </w:tcPr>
          <w:p w14:paraId="30A5B576" w14:textId="77777777" w:rsidR="000766FA" w:rsidRPr="00105ACC"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Pr>
                <w:rFonts w:ascii="Calibri" w:eastAsia="Calibri" w:hAnsi="Calibri" w:cs="Times New Roman"/>
                <w:sz w:val="18"/>
                <w:szCs w:val="18"/>
              </w:rPr>
              <w:t>Context specific</w:t>
            </w:r>
          </w:p>
          <w:p w14:paraId="602F377F" w14:textId="77777777" w:rsidR="000766FA" w:rsidRPr="00105ACC" w:rsidRDefault="000766FA" w:rsidP="000766F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105ACC">
              <w:rPr>
                <w:rFonts w:ascii="Calibri" w:eastAsia="Calibri" w:hAnsi="Calibri" w:cs="Times New Roman"/>
                <w:sz w:val="18"/>
                <w:szCs w:val="18"/>
              </w:rPr>
              <w:t>G</w:t>
            </w:r>
            <w:r>
              <w:rPr>
                <w:rFonts w:ascii="Calibri" w:eastAsia="Calibri" w:hAnsi="Calibri" w:cs="Times New Roman"/>
                <w:sz w:val="18"/>
                <w:szCs w:val="18"/>
              </w:rPr>
              <w:t>eneric</w:t>
            </w:r>
          </w:p>
        </w:tc>
      </w:tr>
    </w:tbl>
    <w:p w14:paraId="2C6EEE58" w14:textId="77777777" w:rsidR="007805FC" w:rsidRPr="00B8619E" w:rsidRDefault="00800191" w:rsidP="00F7615D">
      <w:pPr>
        <w:spacing w:before="120"/>
        <w:rPr>
          <w:sz w:val="20"/>
          <w:szCs w:val="18"/>
        </w:rPr>
      </w:pPr>
      <w:r w:rsidRPr="00B8619E">
        <w:rPr>
          <w:sz w:val="20"/>
          <w:szCs w:val="18"/>
        </w:rPr>
        <w:lastRenderedPageBreak/>
        <w:t>AMS, antimicrobial stewardship; ASP, antimicrobial stewardship program; AST, antibiotics susceptibility test; ID, infectious diseases</w:t>
      </w:r>
      <w:r w:rsidR="00A81197" w:rsidRPr="00B8619E">
        <w:rPr>
          <w:sz w:val="20"/>
          <w:szCs w:val="18"/>
        </w:rPr>
        <w:t xml:space="preserve">; </w:t>
      </w:r>
    </w:p>
    <w:p w14:paraId="36BA81B8" w14:textId="6BDEBFC3" w:rsidR="00E9769C" w:rsidRPr="00B8619E" w:rsidRDefault="00137A4C" w:rsidP="00584F53">
      <w:pPr>
        <w:jc w:val="both"/>
        <w:rPr>
          <w:sz w:val="20"/>
          <w:szCs w:val="18"/>
        </w:rPr>
      </w:pPr>
      <w:r w:rsidRPr="00F7615D">
        <w:rPr>
          <w:b/>
          <w:sz w:val="20"/>
          <w:szCs w:val="18"/>
        </w:rPr>
        <w:t xml:space="preserve">Methods </w:t>
      </w:r>
      <w:r w:rsidR="00F7615D">
        <w:rPr>
          <w:b/>
          <w:sz w:val="20"/>
          <w:szCs w:val="18"/>
        </w:rPr>
        <w:t xml:space="preserve">of assessing barriers and </w:t>
      </w:r>
      <w:r w:rsidR="00A81197" w:rsidRPr="00F7615D">
        <w:rPr>
          <w:b/>
          <w:sz w:val="20"/>
          <w:szCs w:val="18"/>
        </w:rPr>
        <w:t>facilitators</w:t>
      </w:r>
      <w:r w:rsidR="00A81197" w:rsidRPr="00B8619E">
        <w:rPr>
          <w:sz w:val="20"/>
          <w:szCs w:val="18"/>
        </w:rPr>
        <w:t xml:space="preserve">: </w:t>
      </w:r>
      <w:r w:rsidR="00B32BE1" w:rsidRPr="00B8619E">
        <w:rPr>
          <w:sz w:val="20"/>
          <w:szCs w:val="18"/>
          <w:vertAlign w:val="superscript"/>
        </w:rPr>
        <w:t>A</w:t>
      </w:r>
      <w:r w:rsidR="007805FC" w:rsidRPr="00B8619E">
        <w:rPr>
          <w:sz w:val="20"/>
          <w:szCs w:val="18"/>
          <w:vertAlign w:val="superscript"/>
        </w:rPr>
        <w:t xml:space="preserve"> </w:t>
      </w:r>
      <w:proofErr w:type="spellStart"/>
      <w:r w:rsidR="007805FC" w:rsidRPr="00B8619E">
        <w:rPr>
          <w:sz w:val="20"/>
          <w:szCs w:val="18"/>
        </w:rPr>
        <w:t>a</w:t>
      </w:r>
      <w:proofErr w:type="spellEnd"/>
      <w:r w:rsidR="007805FC" w:rsidRPr="00B8619E">
        <w:rPr>
          <w:sz w:val="20"/>
          <w:szCs w:val="18"/>
        </w:rPr>
        <w:t xml:space="preserve"> multiple-selection list of reasons for slow implementation of an ASP;</w:t>
      </w:r>
      <w:r w:rsidR="00A81197" w:rsidRPr="00B8619E">
        <w:rPr>
          <w:sz w:val="20"/>
          <w:szCs w:val="18"/>
          <w:vertAlign w:val="superscript"/>
        </w:rPr>
        <w:t xml:space="preserve"> </w:t>
      </w:r>
      <w:r w:rsidR="00B32BE1" w:rsidRPr="00B8619E">
        <w:rPr>
          <w:sz w:val="20"/>
          <w:szCs w:val="18"/>
          <w:vertAlign w:val="superscript"/>
        </w:rPr>
        <w:t>B</w:t>
      </w:r>
      <w:r w:rsidR="004F3E80" w:rsidRPr="00B8619E">
        <w:rPr>
          <w:sz w:val="20"/>
          <w:szCs w:val="18"/>
          <w:vertAlign w:val="superscript"/>
        </w:rPr>
        <w:t xml:space="preserve"> </w:t>
      </w:r>
      <w:r w:rsidR="004F3E80" w:rsidRPr="00B8619E">
        <w:rPr>
          <w:sz w:val="20"/>
          <w:szCs w:val="18"/>
        </w:rPr>
        <w:t xml:space="preserve">an open-ended question on barriers faced when implementing a selective reporting of antibiotic test results; </w:t>
      </w:r>
      <w:r w:rsidR="00B32BE1" w:rsidRPr="00B8619E">
        <w:rPr>
          <w:sz w:val="20"/>
          <w:szCs w:val="18"/>
          <w:vertAlign w:val="superscript"/>
        </w:rPr>
        <w:t>C</w:t>
      </w:r>
      <w:r w:rsidR="004F3E80" w:rsidRPr="00B8619E">
        <w:rPr>
          <w:sz w:val="20"/>
          <w:szCs w:val="18"/>
        </w:rPr>
        <w:t xml:space="preserve"> a multiple-selection list of barriers (with an option none) to current, planned,</w:t>
      </w:r>
      <w:r w:rsidR="004F3E80" w:rsidRPr="00B8619E">
        <w:rPr>
          <w:sz w:val="20"/>
          <w:szCs w:val="18"/>
          <w:vertAlign w:val="superscript"/>
        </w:rPr>
        <w:t xml:space="preserve"> </w:t>
      </w:r>
      <w:r w:rsidR="004F3E80" w:rsidRPr="00B8619E">
        <w:rPr>
          <w:sz w:val="20"/>
          <w:szCs w:val="18"/>
        </w:rPr>
        <w:t xml:space="preserve">hypothetical functional and effective ASPs, ranked from 1 least to 7 most common; </w:t>
      </w:r>
      <w:r w:rsidR="00B32BE1" w:rsidRPr="00B8619E">
        <w:rPr>
          <w:sz w:val="20"/>
          <w:szCs w:val="18"/>
          <w:vertAlign w:val="superscript"/>
        </w:rPr>
        <w:t>D</w:t>
      </w:r>
      <w:r w:rsidR="004F3E80" w:rsidRPr="00B8619E">
        <w:rPr>
          <w:sz w:val="20"/>
          <w:szCs w:val="18"/>
          <w:vertAlign w:val="superscript"/>
        </w:rPr>
        <w:t xml:space="preserve"> </w:t>
      </w:r>
      <w:r w:rsidR="004F3E80" w:rsidRPr="00B8619E">
        <w:rPr>
          <w:sz w:val="20"/>
          <w:szCs w:val="18"/>
        </w:rPr>
        <w:t>a multiple-selection list of barriers (with options none and other) to current and planned functional and effective ASPs, selected if applicable;</w:t>
      </w:r>
      <w:r w:rsidR="00B32BE1" w:rsidRPr="00B8619E">
        <w:rPr>
          <w:sz w:val="20"/>
          <w:szCs w:val="18"/>
          <w:vertAlign w:val="superscript"/>
        </w:rPr>
        <w:t xml:space="preserve"> E</w:t>
      </w:r>
      <w:r w:rsidR="007805FC" w:rsidRPr="00B8619E">
        <w:rPr>
          <w:sz w:val="20"/>
          <w:szCs w:val="18"/>
        </w:rPr>
        <w:t xml:space="preserve"> an open-ended question on the biggest barriers your ASP faces</w:t>
      </w:r>
      <w:r w:rsidRPr="00B8619E">
        <w:rPr>
          <w:sz w:val="20"/>
          <w:szCs w:val="18"/>
        </w:rPr>
        <w:t>;</w:t>
      </w:r>
      <w:r w:rsidR="007805FC" w:rsidRPr="00B8619E">
        <w:rPr>
          <w:sz w:val="20"/>
          <w:szCs w:val="18"/>
        </w:rPr>
        <w:t xml:space="preserve"> </w:t>
      </w:r>
      <w:r w:rsidR="00B32BE1" w:rsidRPr="00B8619E">
        <w:rPr>
          <w:sz w:val="20"/>
          <w:szCs w:val="18"/>
          <w:vertAlign w:val="superscript"/>
        </w:rPr>
        <w:t>F</w:t>
      </w:r>
      <w:r w:rsidR="004F3E80" w:rsidRPr="00B8619E">
        <w:rPr>
          <w:sz w:val="20"/>
          <w:szCs w:val="18"/>
        </w:rPr>
        <w:t xml:space="preserve"> an ope</w:t>
      </w:r>
      <w:r w:rsidR="007805FC" w:rsidRPr="00B8619E">
        <w:rPr>
          <w:sz w:val="20"/>
          <w:szCs w:val="18"/>
        </w:rPr>
        <w:t>n</w:t>
      </w:r>
      <w:r w:rsidR="004F3E80" w:rsidRPr="00B8619E">
        <w:rPr>
          <w:sz w:val="20"/>
          <w:szCs w:val="18"/>
        </w:rPr>
        <w:t xml:space="preserve"> ended question on key </w:t>
      </w:r>
      <w:r w:rsidR="007805FC" w:rsidRPr="00B8619E">
        <w:rPr>
          <w:sz w:val="20"/>
          <w:szCs w:val="18"/>
        </w:rPr>
        <w:t>strategic</w:t>
      </w:r>
      <w:r w:rsidR="004F3E80" w:rsidRPr="00B8619E">
        <w:rPr>
          <w:sz w:val="20"/>
          <w:szCs w:val="18"/>
        </w:rPr>
        <w:t xml:space="preserve"> issues around an ASP</w:t>
      </w:r>
      <w:r w:rsidR="007805FC" w:rsidRPr="00B8619E">
        <w:rPr>
          <w:sz w:val="20"/>
          <w:szCs w:val="18"/>
        </w:rPr>
        <w:t xml:space="preserve">; </w:t>
      </w:r>
      <w:r w:rsidR="00B32BE1" w:rsidRPr="00B8619E">
        <w:rPr>
          <w:sz w:val="20"/>
          <w:szCs w:val="18"/>
          <w:vertAlign w:val="superscript"/>
        </w:rPr>
        <w:t>G</w:t>
      </w:r>
      <w:r w:rsidR="007805FC" w:rsidRPr="00B8619E">
        <w:rPr>
          <w:sz w:val="20"/>
          <w:szCs w:val="18"/>
        </w:rPr>
        <w:t xml:space="preserve"> two questions with multiple-selection list of barriers to implementation of an ASP and oncology clinician</w:t>
      </w:r>
      <w:r w:rsidR="007805FC" w:rsidRPr="00B8619E">
        <w:rPr>
          <w:sz w:val="20"/>
        </w:rPr>
        <w:t>, scored</w:t>
      </w:r>
      <w:r w:rsidR="007805FC" w:rsidRPr="00B8619E">
        <w:rPr>
          <w:sz w:val="16"/>
          <w:szCs w:val="18"/>
        </w:rPr>
        <w:t xml:space="preserve"> </w:t>
      </w:r>
      <w:r w:rsidR="007805FC" w:rsidRPr="00B8619E">
        <w:rPr>
          <w:sz w:val="20"/>
          <w:szCs w:val="18"/>
        </w:rPr>
        <w:t xml:space="preserve">using 5-point scale (not at all important to very important) and one question on inclusion of antimicrobial stewardship guideline  oncology treatment protocols a berries with two yes and one no response options available; </w:t>
      </w:r>
      <w:r w:rsidR="00B32BE1" w:rsidRPr="00B8619E">
        <w:rPr>
          <w:sz w:val="20"/>
          <w:szCs w:val="18"/>
          <w:vertAlign w:val="superscript"/>
        </w:rPr>
        <w:t>H</w:t>
      </w:r>
      <w:r w:rsidR="007805FC" w:rsidRPr="00B8619E">
        <w:rPr>
          <w:sz w:val="20"/>
          <w:szCs w:val="18"/>
          <w:vertAlign w:val="superscript"/>
        </w:rPr>
        <w:t xml:space="preserve">  </w:t>
      </w:r>
      <w:r w:rsidR="007805FC" w:rsidRPr="00B8619E">
        <w:rPr>
          <w:sz w:val="20"/>
          <w:szCs w:val="18"/>
        </w:rPr>
        <w:t>a</w:t>
      </w:r>
      <w:r w:rsidR="007805FC" w:rsidRPr="00B8619E">
        <w:rPr>
          <w:sz w:val="20"/>
          <w:szCs w:val="18"/>
          <w:vertAlign w:val="superscript"/>
        </w:rPr>
        <w:t xml:space="preserve"> </w:t>
      </w:r>
      <w:r w:rsidR="007805FC" w:rsidRPr="00B8619E">
        <w:rPr>
          <w:sz w:val="20"/>
          <w:szCs w:val="18"/>
        </w:rPr>
        <w:t xml:space="preserve">multiple-selection list of </w:t>
      </w:r>
      <w:r w:rsidR="008B493D" w:rsidRPr="00B8619E">
        <w:rPr>
          <w:sz w:val="20"/>
          <w:szCs w:val="18"/>
        </w:rPr>
        <w:t>aspects of</w:t>
      </w:r>
      <w:r w:rsidR="007805FC" w:rsidRPr="00B8619E">
        <w:rPr>
          <w:sz w:val="20"/>
          <w:szCs w:val="18"/>
        </w:rPr>
        <w:t xml:space="preserve"> </w:t>
      </w:r>
      <w:r w:rsidR="007B31D4" w:rsidRPr="00B8619E">
        <w:rPr>
          <w:sz w:val="20"/>
          <w:szCs w:val="18"/>
        </w:rPr>
        <w:t xml:space="preserve">programmatic </w:t>
      </w:r>
      <w:r w:rsidR="007805FC" w:rsidRPr="00B8619E">
        <w:rPr>
          <w:sz w:val="20"/>
          <w:szCs w:val="18"/>
        </w:rPr>
        <w:t>support for an ASP, rated as adequate or inadequate</w:t>
      </w:r>
      <w:r w:rsidRPr="00B8619E">
        <w:rPr>
          <w:sz w:val="20"/>
          <w:szCs w:val="18"/>
        </w:rPr>
        <w:t>.</w:t>
      </w:r>
    </w:p>
    <w:p w14:paraId="2C0F4693" w14:textId="77777777" w:rsidR="00593DB4" w:rsidRPr="00593DB4" w:rsidRDefault="00593DB4" w:rsidP="00593DB4">
      <w:pPr>
        <w:rPr>
          <w:sz w:val="18"/>
          <w:szCs w:val="18"/>
        </w:rPr>
      </w:pPr>
    </w:p>
    <w:sectPr w:rsidR="00593DB4" w:rsidRPr="00593DB4" w:rsidSect="00105ACC">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CD857" w14:textId="77777777" w:rsidR="007805FC" w:rsidRDefault="007805FC" w:rsidP="00DA6A4D">
      <w:pPr>
        <w:spacing w:after="0" w:line="240" w:lineRule="auto"/>
      </w:pPr>
      <w:r>
        <w:separator/>
      </w:r>
    </w:p>
  </w:endnote>
  <w:endnote w:type="continuationSeparator" w:id="0">
    <w:p w14:paraId="1FD48E84" w14:textId="77777777" w:rsidR="007805FC" w:rsidRDefault="007805FC" w:rsidP="00DA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02FA2" w14:textId="77777777" w:rsidR="00DB035C" w:rsidRDefault="00DB0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877678"/>
      <w:docPartObj>
        <w:docPartGallery w:val="Page Numbers (Bottom of Page)"/>
        <w:docPartUnique/>
      </w:docPartObj>
    </w:sdtPr>
    <w:sdtEndPr>
      <w:rPr>
        <w:noProof/>
      </w:rPr>
    </w:sdtEndPr>
    <w:sdtContent>
      <w:p w14:paraId="2CC02A0B" w14:textId="6D538A3E" w:rsidR="00DB035C" w:rsidRDefault="00DB035C">
        <w:pPr>
          <w:pStyle w:val="Footer"/>
          <w:jc w:val="center"/>
        </w:pPr>
        <w:r>
          <w:fldChar w:fldCharType="begin"/>
        </w:r>
        <w:r>
          <w:instrText xml:space="preserve"> PAGE   \* MERGEFORMAT </w:instrText>
        </w:r>
        <w:r>
          <w:fldChar w:fldCharType="separate"/>
        </w:r>
        <w:r w:rsidR="005339AD">
          <w:rPr>
            <w:noProof/>
          </w:rPr>
          <w:t>4</w:t>
        </w:r>
        <w:r>
          <w:rPr>
            <w:noProof/>
          </w:rPr>
          <w:fldChar w:fldCharType="end"/>
        </w:r>
      </w:p>
    </w:sdtContent>
  </w:sdt>
  <w:p w14:paraId="75009B8D" w14:textId="77777777" w:rsidR="00DB035C" w:rsidRDefault="00DB0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C3A2" w14:textId="77777777" w:rsidR="00DB035C" w:rsidRDefault="00DB0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3EAC0" w14:textId="77777777" w:rsidR="007805FC" w:rsidRDefault="007805FC" w:rsidP="00DA6A4D">
      <w:pPr>
        <w:spacing w:after="0" w:line="240" w:lineRule="auto"/>
      </w:pPr>
      <w:r>
        <w:separator/>
      </w:r>
    </w:p>
  </w:footnote>
  <w:footnote w:type="continuationSeparator" w:id="0">
    <w:p w14:paraId="62291D29" w14:textId="77777777" w:rsidR="007805FC" w:rsidRDefault="007805FC" w:rsidP="00DA6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C7109" w14:textId="77777777" w:rsidR="00DB035C" w:rsidRDefault="00DB0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4D35" w14:textId="77777777" w:rsidR="00DB035C" w:rsidRDefault="00DB0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52930" w14:textId="77777777" w:rsidR="00DB035C" w:rsidRDefault="00DB0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473"/>
    <w:multiLevelType w:val="hybridMultilevel"/>
    <w:tmpl w:val="576667B0"/>
    <w:lvl w:ilvl="0" w:tplc="D0B41B80">
      <w:start w:val="6"/>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A70D0A"/>
    <w:multiLevelType w:val="hybridMultilevel"/>
    <w:tmpl w:val="E6E449E8"/>
    <w:lvl w:ilvl="0" w:tplc="FB160E7C">
      <w:start w:val="6"/>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0D5B8F"/>
    <w:multiLevelType w:val="hybridMultilevel"/>
    <w:tmpl w:val="ABE62CEE"/>
    <w:lvl w:ilvl="0" w:tplc="0D142556">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CD3702"/>
    <w:multiLevelType w:val="hybridMultilevel"/>
    <w:tmpl w:val="D50E0A4C"/>
    <w:lvl w:ilvl="0" w:tplc="B96CD932">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06793E"/>
    <w:multiLevelType w:val="hybridMultilevel"/>
    <w:tmpl w:val="0ED08384"/>
    <w:lvl w:ilvl="0" w:tplc="A03829E2">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5F5A97"/>
    <w:multiLevelType w:val="hybridMultilevel"/>
    <w:tmpl w:val="717C24B8"/>
    <w:lvl w:ilvl="0" w:tplc="22A69D00">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92062C"/>
    <w:multiLevelType w:val="hybridMultilevel"/>
    <w:tmpl w:val="0A8850F4"/>
    <w:lvl w:ilvl="0" w:tplc="CD18BCA2">
      <w:start w:val="6"/>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A30762"/>
    <w:multiLevelType w:val="hybridMultilevel"/>
    <w:tmpl w:val="65422A12"/>
    <w:lvl w:ilvl="0" w:tplc="B21437A0">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FB40E4A"/>
    <w:multiLevelType w:val="hybridMultilevel"/>
    <w:tmpl w:val="7C9A9020"/>
    <w:lvl w:ilvl="0" w:tplc="C23ACA90">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FE03897"/>
    <w:multiLevelType w:val="hybridMultilevel"/>
    <w:tmpl w:val="1CF40A46"/>
    <w:lvl w:ilvl="0" w:tplc="083C21AC">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18B3554"/>
    <w:multiLevelType w:val="hybridMultilevel"/>
    <w:tmpl w:val="B6E290D2"/>
    <w:lvl w:ilvl="0" w:tplc="016623CC">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2A75460"/>
    <w:multiLevelType w:val="hybridMultilevel"/>
    <w:tmpl w:val="CA6C2D14"/>
    <w:lvl w:ilvl="0" w:tplc="5D62D996">
      <w:start w:val="2"/>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4F5237F"/>
    <w:multiLevelType w:val="hybridMultilevel"/>
    <w:tmpl w:val="2F041592"/>
    <w:lvl w:ilvl="0" w:tplc="72FA4A00">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5C441D6"/>
    <w:multiLevelType w:val="hybridMultilevel"/>
    <w:tmpl w:val="EE5AB44C"/>
    <w:lvl w:ilvl="0" w:tplc="2EA02594">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7F671B1"/>
    <w:multiLevelType w:val="hybridMultilevel"/>
    <w:tmpl w:val="DA80DA98"/>
    <w:lvl w:ilvl="0" w:tplc="66D20302">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9EF1D9F"/>
    <w:multiLevelType w:val="hybridMultilevel"/>
    <w:tmpl w:val="DD780610"/>
    <w:lvl w:ilvl="0" w:tplc="BAC80F72">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A322580"/>
    <w:multiLevelType w:val="hybridMultilevel"/>
    <w:tmpl w:val="546AE33E"/>
    <w:lvl w:ilvl="0" w:tplc="0126683C">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B250558"/>
    <w:multiLevelType w:val="hybridMultilevel"/>
    <w:tmpl w:val="C2829E84"/>
    <w:lvl w:ilvl="0" w:tplc="DA2667B4">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C360551"/>
    <w:multiLevelType w:val="hybridMultilevel"/>
    <w:tmpl w:val="5F06CA86"/>
    <w:lvl w:ilvl="0" w:tplc="B4DCCF62">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316439B"/>
    <w:multiLevelType w:val="hybridMultilevel"/>
    <w:tmpl w:val="BCE41B4E"/>
    <w:lvl w:ilvl="0" w:tplc="0D1C5858">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5817A69"/>
    <w:multiLevelType w:val="hybridMultilevel"/>
    <w:tmpl w:val="885A6A64"/>
    <w:lvl w:ilvl="0" w:tplc="EA3A42D0">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74B2C14"/>
    <w:multiLevelType w:val="hybridMultilevel"/>
    <w:tmpl w:val="F21CCFF8"/>
    <w:lvl w:ilvl="0" w:tplc="918C1E8A">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7BC2260"/>
    <w:multiLevelType w:val="hybridMultilevel"/>
    <w:tmpl w:val="54D013B0"/>
    <w:lvl w:ilvl="0" w:tplc="BDBC6C54">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A3E5269"/>
    <w:multiLevelType w:val="hybridMultilevel"/>
    <w:tmpl w:val="4830BC3A"/>
    <w:lvl w:ilvl="0" w:tplc="2146E412">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000285F"/>
    <w:multiLevelType w:val="hybridMultilevel"/>
    <w:tmpl w:val="3DBA70AA"/>
    <w:lvl w:ilvl="0" w:tplc="913893BC">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26C2040"/>
    <w:multiLevelType w:val="hybridMultilevel"/>
    <w:tmpl w:val="17209B92"/>
    <w:lvl w:ilvl="0" w:tplc="D9FC34CE">
      <w:start w:val="6"/>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2FF216C"/>
    <w:multiLevelType w:val="hybridMultilevel"/>
    <w:tmpl w:val="034A686E"/>
    <w:lvl w:ilvl="0" w:tplc="1F94F5D8">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3A86D0B"/>
    <w:multiLevelType w:val="hybridMultilevel"/>
    <w:tmpl w:val="988E06E6"/>
    <w:lvl w:ilvl="0" w:tplc="5B16C9AE">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61B6ACC"/>
    <w:multiLevelType w:val="hybridMultilevel"/>
    <w:tmpl w:val="AECEBE00"/>
    <w:lvl w:ilvl="0" w:tplc="89DA0658">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B557CF2"/>
    <w:multiLevelType w:val="hybridMultilevel"/>
    <w:tmpl w:val="349E040E"/>
    <w:lvl w:ilvl="0" w:tplc="796EF8FA">
      <w:start w:val="6"/>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DAA60DB"/>
    <w:multiLevelType w:val="hybridMultilevel"/>
    <w:tmpl w:val="C4D24BBA"/>
    <w:lvl w:ilvl="0" w:tplc="B22CB516">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4133FE3"/>
    <w:multiLevelType w:val="hybridMultilevel"/>
    <w:tmpl w:val="D9BCAEBE"/>
    <w:lvl w:ilvl="0" w:tplc="089EEBE2">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78E4A70"/>
    <w:multiLevelType w:val="hybridMultilevel"/>
    <w:tmpl w:val="A56805AA"/>
    <w:lvl w:ilvl="0" w:tplc="FBC44E28">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810639A"/>
    <w:multiLevelType w:val="hybridMultilevel"/>
    <w:tmpl w:val="269ED9EA"/>
    <w:lvl w:ilvl="0" w:tplc="8F9E2EBC">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D42130E"/>
    <w:multiLevelType w:val="hybridMultilevel"/>
    <w:tmpl w:val="677A3A1E"/>
    <w:lvl w:ilvl="0" w:tplc="BEBCEB5A">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10D3829"/>
    <w:multiLevelType w:val="hybridMultilevel"/>
    <w:tmpl w:val="89A4FFC4"/>
    <w:lvl w:ilvl="0" w:tplc="2B106058">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20667B8"/>
    <w:multiLevelType w:val="hybridMultilevel"/>
    <w:tmpl w:val="E65E2ACA"/>
    <w:lvl w:ilvl="0" w:tplc="2BAA625C">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2D27EEA"/>
    <w:multiLevelType w:val="hybridMultilevel"/>
    <w:tmpl w:val="CFD4954C"/>
    <w:lvl w:ilvl="0" w:tplc="E9C02334">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3355316"/>
    <w:multiLevelType w:val="hybridMultilevel"/>
    <w:tmpl w:val="0E3ECC98"/>
    <w:lvl w:ilvl="0" w:tplc="59546592">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3A10A9B"/>
    <w:multiLevelType w:val="hybridMultilevel"/>
    <w:tmpl w:val="8D4AD274"/>
    <w:lvl w:ilvl="0" w:tplc="0E5C4D3C">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5055C31"/>
    <w:multiLevelType w:val="hybridMultilevel"/>
    <w:tmpl w:val="55A62BA8"/>
    <w:lvl w:ilvl="0" w:tplc="8ABCD7BE">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5751FD7"/>
    <w:multiLevelType w:val="hybridMultilevel"/>
    <w:tmpl w:val="FFBA0B22"/>
    <w:lvl w:ilvl="0" w:tplc="0EAE75DC">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800378E"/>
    <w:multiLevelType w:val="hybridMultilevel"/>
    <w:tmpl w:val="41B04702"/>
    <w:lvl w:ilvl="0" w:tplc="8DA44736">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81612C8"/>
    <w:multiLevelType w:val="hybridMultilevel"/>
    <w:tmpl w:val="0E1C93DE"/>
    <w:lvl w:ilvl="0" w:tplc="C1DA6D8C">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8DD56EF"/>
    <w:multiLevelType w:val="hybridMultilevel"/>
    <w:tmpl w:val="827E89AC"/>
    <w:lvl w:ilvl="0" w:tplc="ECD8AC04">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9426EF9"/>
    <w:multiLevelType w:val="hybridMultilevel"/>
    <w:tmpl w:val="90CC89E2"/>
    <w:lvl w:ilvl="0" w:tplc="67A0BE36">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9666565"/>
    <w:multiLevelType w:val="hybridMultilevel"/>
    <w:tmpl w:val="BE8C9AAC"/>
    <w:lvl w:ilvl="0" w:tplc="CB7CCF92">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B9D550C"/>
    <w:multiLevelType w:val="hybridMultilevel"/>
    <w:tmpl w:val="7548B120"/>
    <w:lvl w:ilvl="0" w:tplc="DAC2C558">
      <w:start w:val="6"/>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D833071"/>
    <w:multiLevelType w:val="hybridMultilevel"/>
    <w:tmpl w:val="B6987572"/>
    <w:lvl w:ilvl="0" w:tplc="CADABD1E">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5DA12292"/>
    <w:multiLevelType w:val="hybridMultilevel"/>
    <w:tmpl w:val="150833E2"/>
    <w:lvl w:ilvl="0" w:tplc="2756892E">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FCC5BB1"/>
    <w:multiLevelType w:val="hybridMultilevel"/>
    <w:tmpl w:val="4476F558"/>
    <w:lvl w:ilvl="0" w:tplc="F6FCA520">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0427F6A"/>
    <w:multiLevelType w:val="hybridMultilevel"/>
    <w:tmpl w:val="7A98B0AE"/>
    <w:lvl w:ilvl="0" w:tplc="9D08A278">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612C0DA1"/>
    <w:multiLevelType w:val="hybridMultilevel"/>
    <w:tmpl w:val="A69A0268"/>
    <w:lvl w:ilvl="0" w:tplc="2E42E8EE">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622D1A9B"/>
    <w:multiLevelType w:val="hybridMultilevel"/>
    <w:tmpl w:val="9B4C5782"/>
    <w:lvl w:ilvl="0" w:tplc="6C686D10">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5414D05"/>
    <w:multiLevelType w:val="hybridMultilevel"/>
    <w:tmpl w:val="0674EDB0"/>
    <w:lvl w:ilvl="0" w:tplc="616E16C6">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60C1777"/>
    <w:multiLevelType w:val="hybridMultilevel"/>
    <w:tmpl w:val="A770FEF0"/>
    <w:lvl w:ilvl="0" w:tplc="4298387E">
      <w:start w:val="6"/>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86C448D"/>
    <w:multiLevelType w:val="hybridMultilevel"/>
    <w:tmpl w:val="1CE87912"/>
    <w:lvl w:ilvl="0" w:tplc="5E683224">
      <w:start w:val="2"/>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68EA20B0"/>
    <w:multiLevelType w:val="hybridMultilevel"/>
    <w:tmpl w:val="7FF8BDF2"/>
    <w:lvl w:ilvl="0" w:tplc="812AC530">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96336DA"/>
    <w:multiLevelType w:val="hybridMultilevel"/>
    <w:tmpl w:val="69D4787E"/>
    <w:lvl w:ilvl="0" w:tplc="85547CF0">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6A516F5E"/>
    <w:multiLevelType w:val="hybridMultilevel"/>
    <w:tmpl w:val="5E5AFEB6"/>
    <w:lvl w:ilvl="0" w:tplc="10AE4BE0">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B2F2F14"/>
    <w:multiLevelType w:val="hybridMultilevel"/>
    <w:tmpl w:val="1FC40044"/>
    <w:lvl w:ilvl="0" w:tplc="51409142">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6B88211C"/>
    <w:multiLevelType w:val="hybridMultilevel"/>
    <w:tmpl w:val="5B94A63E"/>
    <w:lvl w:ilvl="0" w:tplc="AF5849E6">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6BF13AFC"/>
    <w:multiLevelType w:val="hybridMultilevel"/>
    <w:tmpl w:val="11CC1F02"/>
    <w:lvl w:ilvl="0" w:tplc="65026ECC">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D5A6D26"/>
    <w:multiLevelType w:val="hybridMultilevel"/>
    <w:tmpl w:val="11A8BDD2"/>
    <w:lvl w:ilvl="0" w:tplc="31EC9022">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6FEC779E"/>
    <w:multiLevelType w:val="hybridMultilevel"/>
    <w:tmpl w:val="AE1E33B6"/>
    <w:lvl w:ilvl="0" w:tplc="E3468682">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74763585"/>
    <w:multiLevelType w:val="hybridMultilevel"/>
    <w:tmpl w:val="CFC44310"/>
    <w:lvl w:ilvl="0" w:tplc="E5EABE30">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486005C"/>
    <w:multiLevelType w:val="hybridMultilevel"/>
    <w:tmpl w:val="1CAA0B8A"/>
    <w:lvl w:ilvl="0" w:tplc="B7967A8E">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767A7B4B"/>
    <w:multiLevelType w:val="hybridMultilevel"/>
    <w:tmpl w:val="0F20A292"/>
    <w:lvl w:ilvl="0" w:tplc="CA48A6D6">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78DC5B10"/>
    <w:multiLevelType w:val="hybridMultilevel"/>
    <w:tmpl w:val="2D50BB52"/>
    <w:lvl w:ilvl="0" w:tplc="47A61EDC">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7DC36B21"/>
    <w:multiLevelType w:val="hybridMultilevel"/>
    <w:tmpl w:val="ADFACC76"/>
    <w:lvl w:ilvl="0" w:tplc="299C9738">
      <w:start w:val="6"/>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53"/>
  </w:num>
  <w:num w:numId="3">
    <w:abstractNumId w:val="49"/>
  </w:num>
  <w:num w:numId="4">
    <w:abstractNumId w:val="42"/>
  </w:num>
  <w:num w:numId="5">
    <w:abstractNumId w:val="48"/>
  </w:num>
  <w:num w:numId="6">
    <w:abstractNumId w:val="39"/>
  </w:num>
  <w:num w:numId="7">
    <w:abstractNumId w:val="0"/>
  </w:num>
  <w:num w:numId="8">
    <w:abstractNumId w:val="29"/>
  </w:num>
  <w:num w:numId="9">
    <w:abstractNumId w:val="15"/>
  </w:num>
  <w:num w:numId="10">
    <w:abstractNumId w:val="33"/>
  </w:num>
  <w:num w:numId="11">
    <w:abstractNumId w:val="5"/>
  </w:num>
  <w:num w:numId="12">
    <w:abstractNumId w:val="27"/>
  </w:num>
  <w:num w:numId="13">
    <w:abstractNumId w:val="10"/>
  </w:num>
  <w:num w:numId="14">
    <w:abstractNumId w:val="64"/>
  </w:num>
  <w:num w:numId="15">
    <w:abstractNumId w:val="16"/>
  </w:num>
  <w:num w:numId="16">
    <w:abstractNumId w:val="37"/>
  </w:num>
  <w:num w:numId="17">
    <w:abstractNumId w:val="4"/>
  </w:num>
  <w:num w:numId="18">
    <w:abstractNumId w:val="65"/>
  </w:num>
  <w:num w:numId="19">
    <w:abstractNumId w:val="66"/>
  </w:num>
  <w:num w:numId="20">
    <w:abstractNumId w:val="43"/>
  </w:num>
  <w:num w:numId="21">
    <w:abstractNumId w:val="51"/>
  </w:num>
  <w:num w:numId="22">
    <w:abstractNumId w:val="3"/>
  </w:num>
  <w:num w:numId="23">
    <w:abstractNumId w:val="13"/>
  </w:num>
  <w:num w:numId="24">
    <w:abstractNumId w:val="34"/>
  </w:num>
  <w:num w:numId="25">
    <w:abstractNumId w:val="17"/>
  </w:num>
  <w:num w:numId="26">
    <w:abstractNumId w:val="68"/>
  </w:num>
  <w:num w:numId="27">
    <w:abstractNumId w:val="21"/>
  </w:num>
  <w:num w:numId="28">
    <w:abstractNumId w:val="38"/>
  </w:num>
  <w:num w:numId="29">
    <w:abstractNumId w:val="31"/>
  </w:num>
  <w:num w:numId="30">
    <w:abstractNumId w:val="36"/>
  </w:num>
  <w:num w:numId="31">
    <w:abstractNumId w:val="52"/>
  </w:num>
  <w:num w:numId="32">
    <w:abstractNumId w:val="2"/>
  </w:num>
  <w:num w:numId="33">
    <w:abstractNumId w:val="19"/>
  </w:num>
  <w:num w:numId="34">
    <w:abstractNumId w:val="11"/>
  </w:num>
  <w:num w:numId="35">
    <w:abstractNumId w:val="61"/>
  </w:num>
  <w:num w:numId="36">
    <w:abstractNumId w:val="54"/>
  </w:num>
  <w:num w:numId="37">
    <w:abstractNumId w:val="45"/>
  </w:num>
  <w:num w:numId="38">
    <w:abstractNumId w:val="62"/>
  </w:num>
  <w:num w:numId="39">
    <w:abstractNumId w:val="18"/>
  </w:num>
  <w:num w:numId="40">
    <w:abstractNumId w:val="35"/>
  </w:num>
  <w:num w:numId="41">
    <w:abstractNumId w:val="23"/>
  </w:num>
  <w:num w:numId="42">
    <w:abstractNumId w:val="63"/>
  </w:num>
  <w:num w:numId="43">
    <w:abstractNumId w:val="7"/>
  </w:num>
  <w:num w:numId="44">
    <w:abstractNumId w:val="59"/>
  </w:num>
  <w:num w:numId="45">
    <w:abstractNumId w:val="20"/>
  </w:num>
  <w:num w:numId="46">
    <w:abstractNumId w:val="28"/>
  </w:num>
  <w:num w:numId="47">
    <w:abstractNumId w:val="67"/>
  </w:num>
  <w:num w:numId="48">
    <w:abstractNumId w:val="1"/>
  </w:num>
  <w:num w:numId="49">
    <w:abstractNumId w:val="26"/>
  </w:num>
  <w:num w:numId="50">
    <w:abstractNumId w:val="30"/>
  </w:num>
  <w:num w:numId="51">
    <w:abstractNumId w:val="50"/>
  </w:num>
  <w:num w:numId="52">
    <w:abstractNumId w:val="14"/>
  </w:num>
  <w:num w:numId="53">
    <w:abstractNumId w:val="22"/>
  </w:num>
  <w:num w:numId="54">
    <w:abstractNumId w:val="46"/>
  </w:num>
  <w:num w:numId="55">
    <w:abstractNumId w:val="41"/>
  </w:num>
  <w:num w:numId="56">
    <w:abstractNumId w:val="6"/>
  </w:num>
  <w:num w:numId="57">
    <w:abstractNumId w:val="56"/>
  </w:num>
  <w:num w:numId="58">
    <w:abstractNumId w:val="12"/>
  </w:num>
  <w:num w:numId="59">
    <w:abstractNumId w:val="32"/>
  </w:num>
  <w:num w:numId="60">
    <w:abstractNumId w:val="24"/>
  </w:num>
  <w:num w:numId="61">
    <w:abstractNumId w:val="40"/>
  </w:num>
  <w:num w:numId="62">
    <w:abstractNumId w:val="9"/>
  </w:num>
  <w:num w:numId="63">
    <w:abstractNumId w:val="25"/>
  </w:num>
  <w:num w:numId="64">
    <w:abstractNumId w:val="55"/>
  </w:num>
  <w:num w:numId="65">
    <w:abstractNumId w:val="69"/>
  </w:num>
  <w:num w:numId="66">
    <w:abstractNumId w:val="57"/>
  </w:num>
  <w:num w:numId="67">
    <w:abstractNumId w:val="44"/>
  </w:num>
  <w:num w:numId="68">
    <w:abstractNumId w:val="58"/>
  </w:num>
  <w:num w:numId="69">
    <w:abstractNumId w:val="60"/>
  </w:num>
  <w:num w:numId="70">
    <w:abstractNumId w:val="4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ACC"/>
    <w:rsid w:val="000060D6"/>
    <w:rsid w:val="0000737C"/>
    <w:rsid w:val="00011A79"/>
    <w:rsid w:val="00036FD8"/>
    <w:rsid w:val="000464D4"/>
    <w:rsid w:val="000669B3"/>
    <w:rsid w:val="00074503"/>
    <w:rsid w:val="000766FA"/>
    <w:rsid w:val="00095D90"/>
    <w:rsid w:val="0009611E"/>
    <w:rsid w:val="000C720C"/>
    <w:rsid w:val="00105ACC"/>
    <w:rsid w:val="00113DFE"/>
    <w:rsid w:val="00137A4C"/>
    <w:rsid w:val="0014309D"/>
    <w:rsid w:val="00172CAF"/>
    <w:rsid w:val="00195476"/>
    <w:rsid w:val="001B1C2B"/>
    <w:rsid w:val="00225926"/>
    <w:rsid w:val="00235082"/>
    <w:rsid w:val="00240D1A"/>
    <w:rsid w:val="00241A77"/>
    <w:rsid w:val="002671F1"/>
    <w:rsid w:val="0028019D"/>
    <w:rsid w:val="00281AD4"/>
    <w:rsid w:val="002B211E"/>
    <w:rsid w:val="002C3F0B"/>
    <w:rsid w:val="00304FB8"/>
    <w:rsid w:val="003516C7"/>
    <w:rsid w:val="00376B50"/>
    <w:rsid w:val="00377A9F"/>
    <w:rsid w:val="00386A11"/>
    <w:rsid w:val="003D6817"/>
    <w:rsid w:val="003F4AF8"/>
    <w:rsid w:val="00415625"/>
    <w:rsid w:val="00430735"/>
    <w:rsid w:val="0049270A"/>
    <w:rsid w:val="004B6F83"/>
    <w:rsid w:val="004F3E80"/>
    <w:rsid w:val="004F6318"/>
    <w:rsid w:val="005339AD"/>
    <w:rsid w:val="00542D0E"/>
    <w:rsid w:val="00550F29"/>
    <w:rsid w:val="00553887"/>
    <w:rsid w:val="005608AC"/>
    <w:rsid w:val="00584F53"/>
    <w:rsid w:val="00593DB4"/>
    <w:rsid w:val="00597861"/>
    <w:rsid w:val="005A2DF6"/>
    <w:rsid w:val="005A75E6"/>
    <w:rsid w:val="006241AB"/>
    <w:rsid w:val="00627802"/>
    <w:rsid w:val="0066675E"/>
    <w:rsid w:val="0067012D"/>
    <w:rsid w:val="006E49BD"/>
    <w:rsid w:val="006F03D1"/>
    <w:rsid w:val="006F5F0A"/>
    <w:rsid w:val="0071399A"/>
    <w:rsid w:val="0072121C"/>
    <w:rsid w:val="0072545A"/>
    <w:rsid w:val="00755BA9"/>
    <w:rsid w:val="00763821"/>
    <w:rsid w:val="00777E67"/>
    <w:rsid w:val="007805FC"/>
    <w:rsid w:val="00783CF5"/>
    <w:rsid w:val="007874CE"/>
    <w:rsid w:val="00795EF5"/>
    <w:rsid w:val="007A408B"/>
    <w:rsid w:val="007A6A62"/>
    <w:rsid w:val="007B31D4"/>
    <w:rsid w:val="007C2530"/>
    <w:rsid w:val="007D5598"/>
    <w:rsid w:val="007F782F"/>
    <w:rsid w:val="00800191"/>
    <w:rsid w:val="00804190"/>
    <w:rsid w:val="00811596"/>
    <w:rsid w:val="00814553"/>
    <w:rsid w:val="008438E0"/>
    <w:rsid w:val="008A0081"/>
    <w:rsid w:val="008A5C1D"/>
    <w:rsid w:val="008B493D"/>
    <w:rsid w:val="008D40E0"/>
    <w:rsid w:val="008E1A6E"/>
    <w:rsid w:val="008E4BAB"/>
    <w:rsid w:val="008F6DD8"/>
    <w:rsid w:val="00913D6A"/>
    <w:rsid w:val="00923CE5"/>
    <w:rsid w:val="00971537"/>
    <w:rsid w:val="00973CA2"/>
    <w:rsid w:val="009B66B6"/>
    <w:rsid w:val="009F114C"/>
    <w:rsid w:val="00A145FB"/>
    <w:rsid w:val="00A15ECD"/>
    <w:rsid w:val="00A3394A"/>
    <w:rsid w:val="00A44AAE"/>
    <w:rsid w:val="00A81197"/>
    <w:rsid w:val="00AB4147"/>
    <w:rsid w:val="00AB6370"/>
    <w:rsid w:val="00AC2EEE"/>
    <w:rsid w:val="00B15EA1"/>
    <w:rsid w:val="00B30477"/>
    <w:rsid w:val="00B32BE1"/>
    <w:rsid w:val="00B3555A"/>
    <w:rsid w:val="00B706DF"/>
    <w:rsid w:val="00B77E30"/>
    <w:rsid w:val="00B8619E"/>
    <w:rsid w:val="00BD532A"/>
    <w:rsid w:val="00C146A7"/>
    <w:rsid w:val="00C1715E"/>
    <w:rsid w:val="00C524C2"/>
    <w:rsid w:val="00C816D8"/>
    <w:rsid w:val="00C917B5"/>
    <w:rsid w:val="00C940D2"/>
    <w:rsid w:val="00CD213C"/>
    <w:rsid w:val="00CE6589"/>
    <w:rsid w:val="00D061AD"/>
    <w:rsid w:val="00D3053E"/>
    <w:rsid w:val="00D47467"/>
    <w:rsid w:val="00D54DE0"/>
    <w:rsid w:val="00D6193D"/>
    <w:rsid w:val="00D74A84"/>
    <w:rsid w:val="00DA0C13"/>
    <w:rsid w:val="00DA6A4D"/>
    <w:rsid w:val="00DB035C"/>
    <w:rsid w:val="00DC7631"/>
    <w:rsid w:val="00DD1101"/>
    <w:rsid w:val="00E148AB"/>
    <w:rsid w:val="00E32C53"/>
    <w:rsid w:val="00E72032"/>
    <w:rsid w:val="00E72D7B"/>
    <w:rsid w:val="00E9769C"/>
    <w:rsid w:val="00EA0B9F"/>
    <w:rsid w:val="00EA3A7E"/>
    <w:rsid w:val="00ED7C56"/>
    <w:rsid w:val="00EE065A"/>
    <w:rsid w:val="00F017F0"/>
    <w:rsid w:val="00F0752B"/>
    <w:rsid w:val="00F51C53"/>
    <w:rsid w:val="00F53398"/>
    <w:rsid w:val="00F665C3"/>
    <w:rsid w:val="00F744A4"/>
    <w:rsid w:val="00F7615D"/>
    <w:rsid w:val="00F93606"/>
    <w:rsid w:val="00F968E0"/>
    <w:rsid w:val="00FA3B4E"/>
    <w:rsid w:val="00FB6DFA"/>
    <w:rsid w:val="00FC0AE1"/>
    <w:rsid w:val="00FF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4EEB"/>
  <w15:chartTrackingRefBased/>
  <w15:docId w15:val="{17BFF96B-C674-478E-BD9B-33057C40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51">
    <w:name w:val="Light List - Accent 51"/>
    <w:basedOn w:val="TableNormal"/>
    <w:next w:val="LightList-Accent5"/>
    <w:uiPriority w:val="61"/>
    <w:rsid w:val="00105AC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unhideWhenUsed/>
    <w:rsid w:val="00105ACC"/>
    <w:rPr>
      <w:sz w:val="16"/>
      <w:szCs w:val="16"/>
    </w:rPr>
  </w:style>
  <w:style w:type="paragraph" w:styleId="CommentText">
    <w:name w:val="annotation text"/>
    <w:basedOn w:val="Normal"/>
    <w:link w:val="CommentTextChar"/>
    <w:uiPriority w:val="99"/>
    <w:semiHidden/>
    <w:unhideWhenUsed/>
    <w:rsid w:val="00105AC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05ACC"/>
    <w:rPr>
      <w:sz w:val="20"/>
      <w:szCs w:val="20"/>
    </w:rPr>
  </w:style>
  <w:style w:type="table" w:styleId="LightList-Accent5">
    <w:name w:val="Light List Accent 5"/>
    <w:basedOn w:val="TableNormal"/>
    <w:uiPriority w:val="61"/>
    <w:semiHidden/>
    <w:unhideWhenUsed/>
    <w:rsid w:val="00105ACC"/>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BalloonText">
    <w:name w:val="Balloon Text"/>
    <w:basedOn w:val="Normal"/>
    <w:link w:val="BalloonTextChar"/>
    <w:uiPriority w:val="99"/>
    <w:semiHidden/>
    <w:unhideWhenUsed/>
    <w:rsid w:val="00105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CC"/>
    <w:rPr>
      <w:rFonts w:ascii="Segoe UI" w:hAnsi="Segoe UI" w:cs="Segoe UI"/>
      <w:sz w:val="18"/>
      <w:szCs w:val="18"/>
    </w:rPr>
  </w:style>
  <w:style w:type="table" w:styleId="ListTable3-Accent3">
    <w:name w:val="List Table 3 Accent 3"/>
    <w:basedOn w:val="TableNormal"/>
    <w:uiPriority w:val="48"/>
    <w:rsid w:val="00105AC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ListParagraph">
    <w:name w:val="List Paragraph"/>
    <w:basedOn w:val="Normal"/>
    <w:uiPriority w:val="34"/>
    <w:qFormat/>
    <w:rsid w:val="0049270A"/>
    <w:pPr>
      <w:ind w:left="720"/>
      <w:contextualSpacing/>
    </w:pPr>
  </w:style>
  <w:style w:type="paragraph" w:styleId="Header">
    <w:name w:val="header"/>
    <w:basedOn w:val="Normal"/>
    <w:link w:val="HeaderChar"/>
    <w:uiPriority w:val="99"/>
    <w:unhideWhenUsed/>
    <w:rsid w:val="00DA6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A4D"/>
  </w:style>
  <w:style w:type="paragraph" w:styleId="Footer">
    <w:name w:val="footer"/>
    <w:basedOn w:val="Normal"/>
    <w:link w:val="FooterChar"/>
    <w:uiPriority w:val="99"/>
    <w:unhideWhenUsed/>
    <w:rsid w:val="00DA6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A4D"/>
  </w:style>
  <w:style w:type="paragraph" w:styleId="CommentSubject">
    <w:name w:val="annotation subject"/>
    <w:basedOn w:val="CommentText"/>
    <w:next w:val="CommentText"/>
    <w:link w:val="CommentSubjectChar"/>
    <w:uiPriority w:val="99"/>
    <w:semiHidden/>
    <w:unhideWhenUsed/>
    <w:rsid w:val="00D6193D"/>
    <w:pPr>
      <w:spacing w:after="160"/>
    </w:pPr>
    <w:rPr>
      <w:b/>
      <w:bCs/>
    </w:rPr>
  </w:style>
  <w:style w:type="character" w:customStyle="1" w:styleId="CommentSubjectChar">
    <w:name w:val="Comment Subject Char"/>
    <w:basedOn w:val="CommentTextChar"/>
    <w:link w:val="CommentSubject"/>
    <w:uiPriority w:val="99"/>
    <w:semiHidden/>
    <w:rsid w:val="00D6193D"/>
    <w:rPr>
      <w:b/>
      <w:bCs/>
      <w:sz w:val="20"/>
      <w:szCs w:val="20"/>
    </w:rPr>
  </w:style>
  <w:style w:type="character" w:styleId="Emphasis">
    <w:name w:val="Emphasis"/>
    <w:basedOn w:val="DefaultParagraphFont"/>
    <w:uiPriority w:val="20"/>
    <w:qFormat/>
    <w:rsid w:val="00D61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4</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Rzewuska, Magdalena</dc:creator>
  <cp:keywords/>
  <dc:description/>
  <cp:lastModifiedBy>Rzewuska, Magdalena</cp:lastModifiedBy>
  <cp:revision>62</cp:revision>
  <cp:lastPrinted>2018-01-10T13:30:00Z</cp:lastPrinted>
  <dcterms:created xsi:type="dcterms:W3CDTF">2017-11-09T15:14:00Z</dcterms:created>
  <dcterms:modified xsi:type="dcterms:W3CDTF">2020-06-05T11:19:00Z</dcterms:modified>
</cp:coreProperties>
</file>