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5FEBCF4F" w:rsidR="00654E8F" w:rsidRDefault="00654E8F" w:rsidP="0001436A">
      <w:pPr>
        <w:pStyle w:val="SupplementaryMaterial"/>
      </w:pPr>
      <w:r w:rsidRPr="001549D3">
        <w:t>Supplementary Material</w:t>
      </w:r>
    </w:p>
    <w:p w14:paraId="747CEBED" w14:textId="77777777" w:rsidR="005F68BD" w:rsidRPr="005F68BD" w:rsidRDefault="005F68BD" w:rsidP="005F68BD">
      <w:pPr>
        <w:pStyle w:val="Title"/>
        <w:rPr>
          <w:sz w:val="24"/>
          <w:szCs w:val="24"/>
        </w:rPr>
      </w:pPr>
    </w:p>
    <w:p w14:paraId="4D059444" w14:textId="77777777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6754D378" w14:textId="0DD4CF20" w:rsidR="00994A3D" w:rsidRDefault="00994A3D" w:rsidP="00AA2512">
      <w:pPr>
        <w:pStyle w:val="Heading2"/>
      </w:pPr>
      <w:r w:rsidRPr="0001436A">
        <w:t>Supplementary</w:t>
      </w:r>
      <w:r w:rsidRPr="001549D3">
        <w:t xml:space="preserve"> Figure</w:t>
      </w:r>
      <w:r w:rsidR="00AA2512">
        <w:t>s</w:t>
      </w:r>
    </w:p>
    <w:p w14:paraId="501E3BA8" w14:textId="64F68226" w:rsidR="00AA2512" w:rsidRPr="005F68BD" w:rsidRDefault="005F68BD" w:rsidP="00AA2512">
      <w:pPr>
        <w:rPr>
          <w:sz w:val="20"/>
          <w:szCs w:val="18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E5888C1" wp14:editId="65C769F8">
            <wp:simplePos x="0" y="0"/>
            <wp:positionH relativeFrom="column">
              <wp:posOffset>-4445</wp:posOffset>
            </wp:positionH>
            <wp:positionV relativeFrom="paragraph">
              <wp:posOffset>140335</wp:posOffset>
            </wp:positionV>
            <wp:extent cx="6208395" cy="439039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19443" w14:textId="2E5744C8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3AE196DF" w14:textId="0932A1A6" w:rsidR="00994A3D" w:rsidRDefault="00994A3D" w:rsidP="006F2943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AA2512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AA2512" w:rsidRPr="00DF170C">
        <w:rPr>
          <w:rFonts w:eastAsia="Calibri" w:cs="Times New Roman"/>
          <w:b/>
          <w:bCs/>
          <w:szCs w:val="24"/>
        </w:rPr>
        <w:t xml:space="preserve">Model of the regulation of </w:t>
      </w:r>
      <w:proofErr w:type="spellStart"/>
      <w:r w:rsidR="00AA2512" w:rsidRPr="00DF170C">
        <w:rPr>
          <w:rFonts w:eastAsia="Calibri" w:cs="Times New Roman"/>
          <w:b/>
          <w:bCs/>
          <w:szCs w:val="24"/>
        </w:rPr>
        <w:t>kinamycin</w:t>
      </w:r>
      <w:proofErr w:type="spellEnd"/>
      <w:r w:rsidR="00AA2512" w:rsidRPr="00DF170C">
        <w:rPr>
          <w:rFonts w:eastAsia="Calibri" w:cs="Times New Roman"/>
          <w:b/>
          <w:bCs/>
          <w:szCs w:val="24"/>
        </w:rPr>
        <w:t xml:space="preserve"> biosynthesis in </w:t>
      </w:r>
      <w:r w:rsidR="00AA2512" w:rsidRPr="00DF170C">
        <w:rPr>
          <w:rFonts w:eastAsia="Calibri" w:cs="Times New Roman"/>
          <w:b/>
          <w:bCs/>
          <w:i/>
          <w:iCs/>
          <w:szCs w:val="24"/>
        </w:rPr>
        <w:t>S. </w:t>
      </w:r>
      <w:proofErr w:type="spellStart"/>
      <w:r w:rsidR="00AA2512" w:rsidRPr="00DF170C">
        <w:rPr>
          <w:rFonts w:eastAsia="Calibri" w:cs="Times New Roman"/>
          <w:b/>
          <w:bCs/>
          <w:i/>
          <w:iCs/>
          <w:szCs w:val="24"/>
        </w:rPr>
        <w:t>ambofaciens</w:t>
      </w:r>
      <w:proofErr w:type="spellEnd"/>
      <w:r w:rsidR="00AA2512" w:rsidRPr="00DF170C">
        <w:rPr>
          <w:rFonts w:eastAsia="Calibri" w:cs="Times New Roman"/>
          <w:b/>
          <w:bCs/>
          <w:szCs w:val="24"/>
        </w:rPr>
        <w:t>.</w:t>
      </w:r>
      <w:r w:rsidR="00AA2512" w:rsidRPr="00DF170C">
        <w:rPr>
          <w:rFonts w:eastAsia="Calibri" w:cs="Times New Roman"/>
          <w:szCs w:val="24"/>
        </w:rPr>
        <w:t xml:space="preserve"> In the initial growth phase, </w:t>
      </w:r>
      <w:proofErr w:type="spellStart"/>
      <w:r w:rsidR="00AA2512" w:rsidRPr="00DF170C">
        <w:rPr>
          <w:rFonts w:eastAsia="Calibri" w:cs="Times New Roman"/>
          <w:szCs w:val="24"/>
        </w:rPr>
        <w:t>AlpZ</w:t>
      </w:r>
      <w:proofErr w:type="spellEnd"/>
      <w:r w:rsidR="00AA2512" w:rsidRPr="00DF170C">
        <w:rPr>
          <w:rFonts w:eastAsia="Calibri" w:cs="Times New Roman"/>
          <w:szCs w:val="24"/>
        </w:rPr>
        <w:t xml:space="preserve"> represses the expression of the operon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alpXW</w:t>
      </w:r>
      <w:proofErr w:type="spellEnd"/>
      <w:r w:rsidR="00AA2512" w:rsidRPr="00DF170C">
        <w:rPr>
          <w:rFonts w:eastAsia="Calibri" w:cs="Times New Roman"/>
          <w:szCs w:val="24"/>
        </w:rPr>
        <w:t xml:space="preserve">, the positive regulator encoding gene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alpV</w:t>
      </w:r>
      <w:proofErr w:type="spellEnd"/>
      <w:r w:rsidR="00AA2512" w:rsidRPr="00DF170C">
        <w:rPr>
          <w:rFonts w:eastAsia="Calibri" w:cs="Times New Roman"/>
          <w:szCs w:val="24"/>
        </w:rPr>
        <w:t xml:space="preserve"> and its own </w:t>
      </w:r>
      <w:r w:rsidR="00AA2512">
        <w:rPr>
          <w:rFonts w:eastAsia="Calibri" w:cs="Times New Roman"/>
          <w:szCs w:val="24"/>
        </w:rPr>
        <w:t>en</w:t>
      </w:r>
      <w:r w:rsidR="00AA2512" w:rsidRPr="00DF170C">
        <w:rPr>
          <w:rFonts w:eastAsia="Calibri" w:cs="Times New Roman"/>
          <w:szCs w:val="24"/>
        </w:rPr>
        <w:t xml:space="preserve">coding gene by specifically binding the AREV sequences located in the promoter region (brown circles), preventing the expression of the biosynthetic genes and therefore leading to no </w:t>
      </w:r>
      <w:proofErr w:type="spellStart"/>
      <w:r w:rsidR="00AA2512" w:rsidRPr="00DF170C">
        <w:rPr>
          <w:rFonts w:eastAsia="Calibri" w:cs="Times New Roman"/>
          <w:szCs w:val="24"/>
        </w:rPr>
        <w:t>kinamycin</w:t>
      </w:r>
      <w:proofErr w:type="spellEnd"/>
      <w:r w:rsidR="00AA2512" w:rsidRPr="00DF170C">
        <w:rPr>
          <w:rFonts w:eastAsia="Calibri" w:cs="Times New Roman"/>
          <w:szCs w:val="24"/>
        </w:rPr>
        <w:t xml:space="preserve"> production. Then, the unknown signaling molecule accumulates and interacts during the transition phase with </w:t>
      </w:r>
      <w:proofErr w:type="spellStart"/>
      <w:r w:rsidR="00AA2512" w:rsidRPr="00DF170C">
        <w:rPr>
          <w:rFonts w:eastAsia="Calibri" w:cs="Times New Roman"/>
          <w:szCs w:val="24"/>
        </w:rPr>
        <w:t>AlpZ</w:t>
      </w:r>
      <w:proofErr w:type="spellEnd"/>
      <w:r w:rsidR="00AA2512" w:rsidRPr="00DF170C">
        <w:rPr>
          <w:rFonts w:eastAsia="Calibri" w:cs="Times New Roman"/>
          <w:szCs w:val="24"/>
        </w:rPr>
        <w:t xml:space="preserve"> releasing it from its binding sites, allowing gene expression and consequent </w:t>
      </w:r>
      <w:proofErr w:type="spellStart"/>
      <w:r w:rsidR="00AA2512" w:rsidRPr="00DF170C">
        <w:rPr>
          <w:rFonts w:eastAsia="Calibri" w:cs="Times New Roman"/>
          <w:szCs w:val="24"/>
        </w:rPr>
        <w:t>kinamycin</w:t>
      </w:r>
      <w:proofErr w:type="spellEnd"/>
      <w:r w:rsidR="00AA2512" w:rsidRPr="00DF170C">
        <w:rPr>
          <w:rFonts w:eastAsia="Calibri" w:cs="Times New Roman"/>
          <w:szCs w:val="24"/>
        </w:rPr>
        <w:t xml:space="preserve"> biosynthesis in the late transition to early stationary phase. In the later growth stages, the negative regulator </w:t>
      </w:r>
      <w:proofErr w:type="spellStart"/>
      <w:r w:rsidR="00AA2512" w:rsidRPr="00DF170C">
        <w:rPr>
          <w:rFonts w:eastAsia="Calibri" w:cs="Times New Roman"/>
          <w:szCs w:val="24"/>
        </w:rPr>
        <w:t>AlpW</w:t>
      </w:r>
      <w:proofErr w:type="spellEnd"/>
      <w:r w:rsidR="00AA2512" w:rsidRPr="00DF170C">
        <w:rPr>
          <w:rFonts w:eastAsia="Calibri" w:cs="Times New Roman"/>
          <w:szCs w:val="24"/>
        </w:rPr>
        <w:t xml:space="preserve"> represses expression of its targets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alpZ</w:t>
      </w:r>
      <w:proofErr w:type="spellEnd"/>
      <w:r w:rsidR="00AA2512" w:rsidRPr="00DF170C">
        <w:rPr>
          <w:rFonts w:eastAsia="Calibri" w:cs="Times New Roman"/>
          <w:szCs w:val="24"/>
        </w:rPr>
        <w:t xml:space="preserve">,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alpXW</w:t>
      </w:r>
      <w:proofErr w:type="spellEnd"/>
      <w:r w:rsidR="00AA2512" w:rsidRPr="00DF170C">
        <w:rPr>
          <w:rFonts w:eastAsia="Calibri" w:cs="Times New Roman"/>
          <w:szCs w:val="24"/>
        </w:rPr>
        <w:t xml:space="preserve"> and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alpV</w:t>
      </w:r>
      <w:proofErr w:type="spellEnd"/>
      <w:r w:rsidR="00AA2512" w:rsidRPr="00DF170C">
        <w:rPr>
          <w:rFonts w:eastAsia="Calibri" w:cs="Times New Roman"/>
          <w:szCs w:val="24"/>
        </w:rPr>
        <w:t xml:space="preserve">, </w:t>
      </w:r>
      <w:r w:rsidR="00AA2512" w:rsidRPr="00DF170C">
        <w:rPr>
          <w:rFonts w:eastAsia="Calibri" w:cs="Times New Roman"/>
          <w:szCs w:val="24"/>
        </w:rPr>
        <w:lastRenderedPageBreak/>
        <w:t xml:space="preserve">effectively switching off </w:t>
      </w:r>
      <w:proofErr w:type="spellStart"/>
      <w:r w:rsidR="00AA2512" w:rsidRPr="00DF170C">
        <w:rPr>
          <w:rFonts w:eastAsia="Calibri" w:cs="Times New Roman"/>
          <w:szCs w:val="24"/>
        </w:rPr>
        <w:t>kinamcyin</w:t>
      </w:r>
      <w:proofErr w:type="spellEnd"/>
      <w:r w:rsidR="00AA2512" w:rsidRPr="00DF170C">
        <w:rPr>
          <w:rFonts w:eastAsia="Calibri" w:cs="Times New Roman"/>
          <w:szCs w:val="24"/>
        </w:rPr>
        <w:t xml:space="preserve"> biosynthesis. Note that </w:t>
      </w:r>
      <w:proofErr w:type="spellStart"/>
      <w:r w:rsidR="00AA2512" w:rsidRPr="00DF170C">
        <w:rPr>
          <w:rFonts w:eastAsia="Calibri" w:cs="Times New Roman"/>
          <w:szCs w:val="24"/>
        </w:rPr>
        <w:t>the</w:t>
      </w:r>
      <w:proofErr w:type="spellEnd"/>
      <w:r w:rsidR="00AA2512" w:rsidRPr="00DF170C">
        <w:rPr>
          <w:rFonts w:eastAsia="Calibri" w:cs="Times New Roman"/>
          <w:szCs w:val="24"/>
        </w:rPr>
        <w:t xml:space="preserve"> ARE motif located in the intergenic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alpT</w:t>
      </w:r>
      <w:r w:rsidR="00AA2512" w:rsidRPr="00DF170C">
        <w:rPr>
          <w:rFonts w:eastAsia="Calibri" w:cs="Times New Roman"/>
          <w:szCs w:val="24"/>
        </w:rPr>
        <w:t>-</w:t>
      </w:r>
      <w:r w:rsidR="00AA2512" w:rsidRPr="00DF170C">
        <w:rPr>
          <w:rFonts w:eastAsia="Calibri" w:cs="Times New Roman"/>
          <w:i/>
          <w:iCs/>
          <w:szCs w:val="24"/>
        </w:rPr>
        <w:t>alpU</w:t>
      </w:r>
      <w:proofErr w:type="spellEnd"/>
      <w:r w:rsidR="00AA2512" w:rsidRPr="00DF170C">
        <w:rPr>
          <w:rFonts w:eastAsia="Calibri" w:cs="Times New Roman"/>
          <w:szCs w:val="24"/>
        </w:rPr>
        <w:t xml:space="preserve"> region is not a target of </w:t>
      </w:r>
      <w:proofErr w:type="spellStart"/>
      <w:r w:rsidR="00AA2512" w:rsidRPr="00DF170C">
        <w:rPr>
          <w:rFonts w:eastAsia="Calibri" w:cs="Times New Roman"/>
          <w:szCs w:val="24"/>
        </w:rPr>
        <w:t>AlpZ</w:t>
      </w:r>
      <w:proofErr w:type="spellEnd"/>
      <w:r w:rsidR="00AA2512" w:rsidRPr="00DF170C">
        <w:rPr>
          <w:rFonts w:eastAsia="Calibri" w:cs="Times New Roman"/>
          <w:szCs w:val="24"/>
        </w:rPr>
        <w:t xml:space="preserve"> or </w:t>
      </w:r>
      <w:proofErr w:type="spellStart"/>
      <w:r w:rsidR="00AA2512" w:rsidRPr="00DF170C">
        <w:rPr>
          <w:rFonts w:eastAsia="Calibri" w:cs="Times New Roman"/>
          <w:szCs w:val="24"/>
        </w:rPr>
        <w:t>AlpW</w:t>
      </w:r>
      <w:proofErr w:type="spellEnd"/>
      <w:r w:rsidR="00AA2512" w:rsidRPr="00DF170C">
        <w:rPr>
          <w:rFonts w:eastAsia="Calibri" w:cs="Times New Roman"/>
          <w:szCs w:val="24"/>
        </w:rPr>
        <w:t xml:space="preserve">, although deletion of either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alpZ</w:t>
      </w:r>
      <w:proofErr w:type="spellEnd"/>
      <w:r w:rsidR="00AA2512" w:rsidRPr="00DF170C">
        <w:rPr>
          <w:rFonts w:eastAsia="Calibri" w:cs="Times New Roman"/>
          <w:szCs w:val="24"/>
        </w:rPr>
        <w:t xml:space="preserve"> or </w:t>
      </w:r>
      <w:proofErr w:type="spellStart"/>
      <w:r w:rsidR="00AA2512" w:rsidRPr="00DF170C">
        <w:rPr>
          <w:rFonts w:eastAsia="Calibri" w:cs="Times New Roman"/>
          <w:i/>
          <w:iCs/>
          <w:szCs w:val="24"/>
        </w:rPr>
        <w:t>alpW</w:t>
      </w:r>
      <w:proofErr w:type="spellEnd"/>
      <w:r w:rsidR="00AA2512" w:rsidRPr="00DF170C">
        <w:rPr>
          <w:rFonts w:eastAsia="Calibri" w:cs="Times New Roman"/>
          <w:szCs w:val="24"/>
        </w:rPr>
        <w:t xml:space="preserve"> genes affects the expression of these SARP encoding genes</w:t>
      </w:r>
      <w:r w:rsidRPr="001549D3">
        <w:rPr>
          <w:rFonts w:cs="Times New Roman"/>
          <w:szCs w:val="24"/>
        </w:rPr>
        <w:t xml:space="preserve">. </w:t>
      </w:r>
    </w:p>
    <w:p w14:paraId="26EF04E6" w14:textId="4E1A89F9" w:rsidR="00AA2512" w:rsidRDefault="00AA2512" w:rsidP="002B4A57">
      <w:pPr>
        <w:keepNext/>
        <w:rPr>
          <w:rFonts w:cs="Times New Roman"/>
          <w:szCs w:val="24"/>
        </w:rPr>
      </w:pPr>
    </w:p>
    <w:p w14:paraId="587398B4" w14:textId="029F5954" w:rsidR="00AA2512" w:rsidRPr="001549D3" w:rsidRDefault="00AA2512" w:rsidP="00AA2512">
      <w:pPr>
        <w:pStyle w:val="Heading2"/>
      </w:pPr>
      <w:r w:rsidRPr="0001436A">
        <w:t>Supplementary</w:t>
      </w:r>
      <w:r w:rsidRPr="001549D3">
        <w:t xml:space="preserve"> </w:t>
      </w:r>
      <w:r>
        <w:t>Tables</w:t>
      </w:r>
    </w:p>
    <w:p w14:paraId="5E323D49" w14:textId="77777777" w:rsidR="00AA2512" w:rsidRDefault="00AA2512" w:rsidP="00AA2512">
      <w:pPr>
        <w:jc w:val="both"/>
        <w:rPr>
          <w:rFonts w:eastAsia="Calibri" w:cs="Times New Roman"/>
          <w:szCs w:val="24"/>
        </w:rPr>
      </w:pPr>
    </w:p>
    <w:p w14:paraId="2A2B1052" w14:textId="107E73EE" w:rsidR="00AA2512" w:rsidRPr="00160821" w:rsidRDefault="00AA2512" w:rsidP="00AA2512">
      <w:pPr>
        <w:jc w:val="both"/>
        <w:rPr>
          <w:rFonts w:eastAsia="Calibri" w:cs="Times New Roman"/>
          <w:szCs w:val="24"/>
        </w:rPr>
      </w:pPr>
      <w:r w:rsidRPr="00160821">
        <w:rPr>
          <w:rFonts w:eastAsia="Calibri" w:cs="Times New Roman"/>
          <w:szCs w:val="24"/>
        </w:rPr>
        <w:t>Table </w:t>
      </w:r>
      <w:r>
        <w:rPr>
          <w:rFonts w:eastAsia="Calibri" w:cs="Times New Roman"/>
          <w:szCs w:val="24"/>
        </w:rPr>
        <w:t>S1</w:t>
      </w:r>
      <w:r w:rsidRPr="00160821">
        <w:rPr>
          <w:rFonts w:eastAsia="Calibri" w:cs="Times New Roman"/>
          <w:szCs w:val="24"/>
        </w:rPr>
        <w:t>. Primers used in this work</w:t>
      </w:r>
    </w:p>
    <w:tbl>
      <w:tblPr>
        <w:tblStyle w:val="PlainTable41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6841"/>
      </w:tblGrid>
      <w:tr w:rsidR="00AA2512" w:rsidRPr="00160821" w14:paraId="1DC3F6DE" w14:textId="77777777" w:rsidTr="00681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DD881" w14:textId="77777777" w:rsidR="00AA2512" w:rsidRPr="00160821" w:rsidRDefault="00AA2512" w:rsidP="0068151C">
            <w:pPr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Primer description and name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7A7FB" w14:textId="77777777" w:rsidR="00AA2512" w:rsidRPr="00160821" w:rsidRDefault="00AA2512" w:rsidP="00681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Sequence (5’-3’)</w:t>
            </w:r>
          </w:p>
        </w:tc>
      </w:tr>
      <w:tr w:rsidR="00AA2512" w:rsidRPr="00160821" w14:paraId="0E8D5D14" w14:textId="77777777" w:rsidTr="0068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shd w:val="clear" w:color="auto" w:fill="auto"/>
          </w:tcPr>
          <w:p w14:paraId="01E25C59" w14:textId="77777777" w:rsidR="00AA2512" w:rsidRPr="00160821" w:rsidRDefault="00AA2512" w:rsidP="0068151C">
            <w:pPr>
              <w:spacing w:after="120"/>
              <w:ind w:left="176" w:hanging="176"/>
              <w:jc w:val="both"/>
              <w:rPr>
                <w:rFonts w:eastAsia="Calibri" w:cs="Times New Roman"/>
                <w:i/>
                <w:szCs w:val="24"/>
              </w:rPr>
            </w:pPr>
            <w:r w:rsidRPr="00160821">
              <w:rPr>
                <w:rFonts w:eastAsia="Calibri" w:cs="Times New Roman"/>
                <w:i/>
                <w:szCs w:val="24"/>
              </w:rPr>
              <w:t>Mutant strain verification</w:t>
            </w:r>
          </w:p>
        </w:tc>
        <w:tc>
          <w:tcPr>
            <w:tcW w:w="6841" w:type="dxa"/>
            <w:shd w:val="clear" w:color="auto" w:fill="auto"/>
          </w:tcPr>
          <w:p w14:paraId="63FD7C10" w14:textId="77777777" w:rsidR="00AA2512" w:rsidRPr="00160821" w:rsidRDefault="00AA2512" w:rsidP="0068151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i/>
                <w:szCs w:val="24"/>
              </w:rPr>
            </w:pPr>
          </w:p>
        </w:tc>
      </w:tr>
      <w:tr w:rsidR="00AA2512" w:rsidRPr="00160821" w14:paraId="76CBCC7E" w14:textId="77777777" w:rsidTr="0068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il"/>
              <w:bottom w:val="nil"/>
            </w:tcBorders>
            <w:shd w:val="clear" w:color="auto" w:fill="auto"/>
          </w:tcPr>
          <w:p w14:paraId="6038803C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CK1</w:t>
            </w:r>
          </w:p>
        </w:tc>
        <w:tc>
          <w:tcPr>
            <w:tcW w:w="6841" w:type="dxa"/>
            <w:tcBorders>
              <w:top w:val="nil"/>
              <w:bottom w:val="nil"/>
            </w:tcBorders>
            <w:shd w:val="clear" w:color="auto" w:fill="auto"/>
          </w:tcPr>
          <w:p w14:paraId="729C71EF" w14:textId="77777777" w:rsidR="00AA2512" w:rsidRPr="00160821" w:rsidRDefault="00AA2512" w:rsidP="006815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TGGTGGGCGGGAAGATGC</w:t>
            </w:r>
          </w:p>
        </w:tc>
      </w:tr>
      <w:tr w:rsidR="00AA2512" w:rsidRPr="00160821" w14:paraId="2BEB040D" w14:textId="77777777" w:rsidTr="0068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il"/>
              <w:bottom w:val="nil"/>
            </w:tcBorders>
            <w:shd w:val="clear" w:color="auto" w:fill="auto"/>
          </w:tcPr>
          <w:p w14:paraId="0370E28E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CK2</w:t>
            </w:r>
          </w:p>
        </w:tc>
        <w:tc>
          <w:tcPr>
            <w:tcW w:w="6841" w:type="dxa"/>
            <w:tcBorders>
              <w:top w:val="nil"/>
              <w:bottom w:val="nil"/>
            </w:tcBorders>
            <w:shd w:val="clear" w:color="auto" w:fill="auto"/>
          </w:tcPr>
          <w:p w14:paraId="1CB020E7" w14:textId="77777777" w:rsidR="00AA2512" w:rsidRPr="00160821" w:rsidRDefault="00AA2512" w:rsidP="0068151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CGAAGGGCGTGCGGCTCC</w:t>
            </w:r>
          </w:p>
        </w:tc>
      </w:tr>
      <w:tr w:rsidR="00AA2512" w:rsidRPr="00160821" w14:paraId="1B5BA4F4" w14:textId="77777777" w:rsidTr="0068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074129" w14:textId="77777777" w:rsidR="00AA2512" w:rsidRPr="00160821" w:rsidRDefault="00AA2512" w:rsidP="0068151C">
            <w:pPr>
              <w:spacing w:after="120"/>
              <w:jc w:val="both"/>
              <w:rPr>
                <w:rFonts w:eastAsia="Calibri" w:cs="Times New Roman"/>
                <w:i/>
                <w:szCs w:val="24"/>
              </w:rPr>
            </w:pPr>
            <w:r w:rsidRPr="00160821">
              <w:rPr>
                <w:rFonts w:eastAsia="Calibri" w:cs="Times New Roman"/>
                <w:i/>
                <w:szCs w:val="24"/>
              </w:rPr>
              <w:t>EMSA probe</w:t>
            </w:r>
          </w:p>
        </w:tc>
      </w:tr>
      <w:tr w:rsidR="00AA2512" w:rsidRPr="00160821" w14:paraId="0ECD82FF" w14:textId="77777777" w:rsidTr="0068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il"/>
            </w:tcBorders>
            <w:shd w:val="clear" w:color="auto" w:fill="auto"/>
          </w:tcPr>
          <w:p w14:paraId="25D3DD37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AREV-1</w:t>
            </w:r>
          </w:p>
        </w:tc>
        <w:tc>
          <w:tcPr>
            <w:tcW w:w="6841" w:type="dxa"/>
            <w:tcBorders>
              <w:top w:val="nil"/>
            </w:tcBorders>
            <w:shd w:val="clear" w:color="auto" w:fill="auto"/>
          </w:tcPr>
          <w:p w14:paraId="4BDA3FC7" w14:textId="77777777" w:rsidR="00AA2512" w:rsidRPr="00160821" w:rsidRDefault="00AA2512" w:rsidP="0068151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GCCGTATCCGCCGCATCT</w:t>
            </w:r>
          </w:p>
        </w:tc>
      </w:tr>
      <w:tr w:rsidR="00AA2512" w:rsidRPr="00160821" w14:paraId="32BED67E" w14:textId="77777777" w:rsidTr="0068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shd w:val="clear" w:color="auto" w:fill="auto"/>
          </w:tcPr>
          <w:p w14:paraId="7D2731F9" w14:textId="77777777" w:rsidR="00AA2512" w:rsidRPr="00160821" w:rsidRDefault="00AA2512" w:rsidP="0068151C">
            <w:pPr>
              <w:spacing w:after="120"/>
              <w:ind w:left="318" w:hanging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AREV-2</w:t>
            </w:r>
          </w:p>
        </w:tc>
        <w:tc>
          <w:tcPr>
            <w:tcW w:w="6841" w:type="dxa"/>
            <w:shd w:val="clear" w:color="auto" w:fill="auto"/>
          </w:tcPr>
          <w:p w14:paraId="63B50648" w14:textId="77777777" w:rsidR="00AA2512" w:rsidRPr="00160821" w:rsidRDefault="00AA2512" w:rsidP="006815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CCTGACGCGGTTTGGGAG</w:t>
            </w:r>
          </w:p>
        </w:tc>
      </w:tr>
      <w:tr w:rsidR="00AA2512" w:rsidRPr="00160821" w14:paraId="0F728288" w14:textId="77777777" w:rsidTr="0068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2"/>
            <w:shd w:val="clear" w:color="auto" w:fill="auto"/>
          </w:tcPr>
          <w:p w14:paraId="5E376D8C" w14:textId="77777777" w:rsidR="00AA2512" w:rsidRPr="00160821" w:rsidRDefault="00AA2512" w:rsidP="0068151C">
            <w:pPr>
              <w:spacing w:after="120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160821">
              <w:rPr>
                <w:rFonts w:eastAsia="Calibri" w:cs="Times New Roman"/>
                <w:i/>
                <w:szCs w:val="24"/>
              </w:rPr>
              <w:t>dsoverhangs</w:t>
            </w:r>
            <w:proofErr w:type="spellEnd"/>
          </w:p>
        </w:tc>
      </w:tr>
      <w:tr w:rsidR="00AA2512" w:rsidRPr="00160821" w14:paraId="6C855077" w14:textId="77777777" w:rsidTr="0068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bottom w:val="nil"/>
            </w:tcBorders>
            <w:shd w:val="clear" w:color="auto" w:fill="auto"/>
          </w:tcPr>
          <w:p w14:paraId="370659BF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nanoAREV1</w:t>
            </w:r>
          </w:p>
        </w:tc>
        <w:tc>
          <w:tcPr>
            <w:tcW w:w="6841" w:type="dxa"/>
            <w:tcBorders>
              <w:top w:val="nil"/>
              <w:bottom w:val="nil"/>
            </w:tcBorders>
            <w:shd w:val="clear" w:color="auto" w:fill="auto"/>
          </w:tcPr>
          <w:p w14:paraId="09ADD306" w14:textId="77777777" w:rsidR="00AA2512" w:rsidRPr="00160821" w:rsidRDefault="00AA2512" w:rsidP="006815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CTCACAT</w:t>
            </w:r>
            <w:r w:rsidRPr="00160821">
              <w:rPr>
                <w:rFonts w:eastAsia="Calibri" w:cs="Times New Roman"/>
                <w:szCs w:val="24"/>
                <w:u w:val="single"/>
              </w:rPr>
              <w:t>TGACAAACCGACTGTGCTGTTTTTTT</w:t>
            </w:r>
            <w:r w:rsidRPr="00160821">
              <w:rPr>
                <w:rFonts w:eastAsia="Calibri" w:cs="Times New Roman"/>
                <w:szCs w:val="24"/>
              </w:rPr>
              <w:t>ATCAGGGATCAGCGTTCGATGCTTCCGACTAATCAGCCATATCAGCTTACGACTA</w:t>
            </w:r>
          </w:p>
        </w:tc>
      </w:tr>
      <w:tr w:rsidR="00AA2512" w:rsidRPr="00160821" w14:paraId="71ABB988" w14:textId="77777777" w:rsidTr="0068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il"/>
              <w:bottom w:val="nil"/>
            </w:tcBorders>
            <w:shd w:val="clear" w:color="auto" w:fill="auto"/>
          </w:tcPr>
          <w:p w14:paraId="516CC36A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nanoAREV2</w:t>
            </w:r>
          </w:p>
        </w:tc>
        <w:tc>
          <w:tcPr>
            <w:tcW w:w="6841" w:type="dxa"/>
            <w:tcBorders>
              <w:top w:val="nil"/>
              <w:bottom w:val="nil"/>
            </w:tcBorders>
            <w:shd w:val="clear" w:color="auto" w:fill="auto"/>
          </w:tcPr>
          <w:p w14:paraId="54919FC9" w14:textId="77777777" w:rsidR="00AA2512" w:rsidRPr="00160821" w:rsidRDefault="00AA2512" w:rsidP="0068151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CCCTGATAAAAAAACAGCACAGTCGGTTTGTCAATGTGAG</w:t>
            </w:r>
          </w:p>
        </w:tc>
      </w:tr>
      <w:tr w:rsidR="00AA2512" w:rsidRPr="00160821" w14:paraId="7964F07B" w14:textId="77777777" w:rsidTr="0068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il"/>
              <w:bottom w:val="nil"/>
            </w:tcBorders>
            <w:shd w:val="clear" w:color="auto" w:fill="auto"/>
          </w:tcPr>
          <w:p w14:paraId="63F99C9A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nanoControl1</w:t>
            </w:r>
          </w:p>
        </w:tc>
        <w:tc>
          <w:tcPr>
            <w:tcW w:w="6841" w:type="dxa"/>
            <w:tcBorders>
              <w:top w:val="nil"/>
              <w:bottom w:val="nil"/>
            </w:tcBorders>
            <w:shd w:val="clear" w:color="auto" w:fill="auto"/>
          </w:tcPr>
          <w:p w14:paraId="79F9A612" w14:textId="77777777" w:rsidR="00AA2512" w:rsidRPr="00160821" w:rsidRDefault="00AA2512" w:rsidP="0068151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GGGGGGT</w:t>
            </w:r>
            <w:r w:rsidRPr="00160821">
              <w:rPr>
                <w:rFonts w:eastAsia="Calibri" w:cs="Times New Roman"/>
                <w:szCs w:val="24"/>
                <w:u w:val="single"/>
              </w:rPr>
              <w:t>GTGAGAACGGGGTGTTCTGGTGTTTG</w:t>
            </w:r>
            <w:r w:rsidRPr="00160821">
              <w:rPr>
                <w:rFonts w:eastAsia="Calibri" w:cs="Times New Roman"/>
                <w:szCs w:val="24"/>
              </w:rPr>
              <w:t>CGCCGGAATCAGCGTTCGATGCTTCCGACTAATCAGCCATATCAGCTTACGACTA</w:t>
            </w:r>
          </w:p>
        </w:tc>
      </w:tr>
      <w:tr w:rsidR="00AA2512" w:rsidRPr="00160821" w14:paraId="333466F7" w14:textId="77777777" w:rsidTr="0068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6A86E9" w14:textId="77777777" w:rsidR="00AA2512" w:rsidRPr="00160821" w:rsidRDefault="00AA2512" w:rsidP="0068151C">
            <w:pPr>
              <w:spacing w:after="120"/>
              <w:ind w:left="176"/>
              <w:jc w:val="both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nanoControl2</w:t>
            </w:r>
          </w:p>
        </w:tc>
        <w:tc>
          <w:tcPr>
            <w:tcW w:w="6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6659A" w14:textId="77777777" w:rsidR="00AA2512" w:rsidRPr="00160821" w:rsidRDefault="00AA2512" w:rsidP="0068151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160821">
              <w:rPr>
                <w:rFonts w:eastAsia="Calibri" w:cs="Times New Roman"/>
                <w:szCs w:val="24"/>
              </w:rPr>
              <w:t>TCCGGCGCAAACACCAGAACACCCCGTTCTCACACCCCCC</w:t>
            </w:r>
          </w:p>
        </w:tc>
      </w:tr>
    </w:tbl>
    <w:p w14:paraId="7C5ED70A" w14:textId="77777777" w:rsidR="00AA2512" w:rsidRPr="00160821" w:rsidRDefault="00AA2512" w:rsidP="00AA2512">
      <w:pPr>
        <w:jc w:val="both"/>
        <w:rPr>
          <w:rFonts w:eastAsia="Calibri" w:cs="Times New Roman"/>
          <w:szCs w:val="24"/>
        </w:rPr>
      </w:pPr>
    </w:p>
    <w:p w14:paraId="5D6C8C26" w14:textId="77777777" w:rsidR="00AA2512" w:rsidRDefault="00AA2512" w:rsidP="00AA2512">
      <w:pPr>
        <w:spacing w:before="240" w:after="0"/>
        <w:rPr>
          <w:rFonts w:eastAsia="Calibri" w:cs="Times New Roman"/>
          <w:b/>
          <w:szCs w:val="24"/>
          <w:lang w:val="fr-FR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6693" w14:textId="77777777" w:rsidR="007B1D39" w:rsidRDefault="007B1D39" w:rsidP="00117666">
      <w:pPr>
        <w:spacing w:after="0"/>
      </w:pPr>
      <w:r>
        <w:separator/>
      </w:r>
    </w:p>
  </w:endnote>
  <w:endnote w:type="continuationSeparator" w:id="0">
    <w:p w14:paraId="6A57436E" w14:textId="77777777" w:rsidR="007B1D39" w:rsidRDefault="007B1D3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724C" w14:textId="77777777" w:rsidR="007B1D39" w:rsidRDefault="007B1D39" w:rsidP="00117666">
      <w:pPr>
        <w:spacing w:after="0"/>
      </w:pPr>
      <w:r>
        <w:separator/>
      </w:r>
    </w:p>
  </w:footnote>
  <w:footnote w:type="continuationSeparator" w:id="0">
    <w:p w14:paraId="1FFEEE4F" w14:textId="77777777" w:rsidR="007B1D39" w:rsidRDefault="007B1D3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061E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F68BD"/>
    <w:rsid w:val="006375C7"/>
    <w:rsid w:val="00654E8F"/>
    <w:rsid w:val="00660D05"/>
    <w:rsid w:val="006820B1"/>
    <w:rsid w:val="006B7D14"/>
    <w:rsid w:val="006F2943"/>
    <w:rsid w:val="00701727"/>
    <w:rsid w:val="0070566C"/>
    <w:rsid w:val="00714C50"/>
    <w:rsid w:val="00725A7D"/>
    <w:rsid w:val="007501BE"/>
    <w:rsid w:val="00790BB3"/>
    <w:rsid w:val="007B1D39"/>
    <w:rsid w:val="007C206C"/>
    <w:rsid w:val="00817DD6"/>
    <w:rsid w:val="0083759F"/>
    <w:rsid w:val="00885156"/>
    <w:rsid w:val="008B0866"/>
    <w:rsid w:val="009151AA"/>
    <w:rsid w:val="0093429D"/>
    <w:rsid w:val="00943573"/>
    <w:rsid w:val="00964134"/>
    <w:rsid w:val="00970F7D"/>
    <w:rsid w:val="00994A3D"/>
    <w:rsid w:val="009C2B12"/>
    <w:rsid w:val="00A174D9"/>
    <w:rsid w:val="00AA2512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PlainTable41">
    <w:name w:val="Plain Table 41"/>
    <w:basedOn w:val="TableNormal"/>
    <w:next w:val="PlainTable4"/>
    <w:uiPriority w:val="44"/>
    <w:rsid w:val="00AA2512"/>
    <w:pPr>
      <w:spacing w:after="0" w:line="240" w:lineRule="auto"/>
    </w:pPr>
    <w:rPr>
      <w:rFonts w:ascii="Cambria" w:hAnsi="Cambr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AA2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ADE9A6-E19F-4D2F-A577-19C0705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Cláudia</cp:lastModifiedBy>
  <cp:revision>5</cp:revision>
  <cp:lastPrinted>2013-10-03T12:51:00Z</cp:lastPrinted>
  <dcterms:created xsi:type="dcterms:W3CDTF">2020-05-07T07:40:00Z</dcterms:created>
  <dcterms:modified xsi:type="dcterms:W3CDTF">2020-05-07T07:45:00Z</dcterms:modified>
</cp:coreProperties>
</file>