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2" w:rsidRDefault="00C87672" w:rsidP="005367FE">
      <w:pPr>
        <w:jc w:val="left"/>
        <w:rPr>
          <w:rFonts w:eastAsiaTheme="minorEastAsia" w:cs="Times New Roman" w:hint="eastAsia"/>
          <w:szCs w:val="24"/>
        </w:rPr>
      </w:pPr>
      <w:r>
        <w:rPr>
          <w:rFonts w:eastAsiaTheme="minorEastAsia" w:cs="Times New Roman" w:hint="eastAsia"/>
          <w:szCs w:val="24"/>
        </w:rPr>
        <w:t>S</w:t>
      </w:r>
      <w:r w:rsidRPr="00C87672">
        <w:rPr>
          <w:rFonts w:eastAsiaTheme="minorEastAsia" w:cs="Times New Roman"/>
          <w:szCs w:val="24"/>
        </w:rPr>
        <w:t>upplementary table</w:t>
      </w:r>
      <w:r>
        <w:rPr>
          <w:rFonts w:eastAsiaTheme="minorEastAsia" w:cs="Times New Roman" w:hint="eastAsia"/>
          <w:szCs w:val="24"/>
        </w:rPr>
        <w:t>1</w:t>
      </w:r>
    </w:p>
    <w:p w:rsidR="005367FE" w:rsidRDefault="005367FE" w:rsidP="005367FE">
      <w:pPr>
        <w:jc w:val="left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RNA-</w:t>
      </w:r>
      <w:proofErr w:type="spellStart"/>
      <w:r>
        <w:rPr>
          <w:rFonts w:eastAsiaTheme="minorEastAsia" w:cs="Times New Roman"/>
          <w:szCs w:val="24"/>
        </w:rPr>
        <w:t>Seq</w:t>
      </w:r>
      <w:proofErr w:type="spellEnd"/>
      <w:r>
        <w:rPr>
          <w:rFonts w:eastAsiaTheme="minorEastAsia" w:cs="Times New Roman"/>
          <w:szCs w:val="24"/>
        </w:rPr>
        <w:t xml:space="preserve"> data used for the candidate genes’ expression pattern analyses in different maize tissues</w:t>
      </w:r>
    </w:p>
    <w:tbl>
      <w:tblPr>
        <w:tblStyle w:val="a4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485"/>
      </w:tblGrid>
      <w:tr w:rsidR="005367FE" w:rsidTr="00330411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5367FE" w:rsidRDefault="005367FE" w:rsidP="0033041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Tissue Samples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5367FE" w:rsidRDefault="005367FE" w:rsidP="0033041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Description</w:t>
            </w:r>
          </w:p>
        </w:tc>
      </w:tr>
      <w:tr w:rsidR="005367FE" w:rsidTr="00330411">
        <w:tc>
          <w:tcPr>
            <w:tcW w:w="4485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jc w:val="left"/>
            </w:pPr>
            <w:r>
              <w:t>SRR1168430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embryo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SRR1169636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endosperm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SRR1170941</w:t>
            </w:r>
            <w:bookmarkStart w:id="0" w:name="_GoBack"/>
            <w:bookmarkEnd w:id="0"/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kernel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SRX012380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shoot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>SRX012381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root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SRR504466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leaf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SRR504476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ear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SRR504471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tassel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SRR189763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cob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SRR189772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silk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SRR189769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anther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SRR189770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ovule</w:t>
            </w:r>
          </w:p>
        </w:tc>
      </w:tr>
      <w:tr w:rsidR="005367FE" w:rsidTr="00330411"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t>SRR189771</w:t>
            </w:r>
          </w:p>
        </w:tc>
        <w:tc>
          <w:tcPr>
            <w:tcW w:w="4485" w:type="dxa"/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pollen</w:t>
            </w:r>
          </w:p>
        </w:tc>
      </w:tr>
      <w:tr w:rsidR="005367FE" w:rsidTr="00330411">
        <w:tc>
          <w:tcPr>
            <w:tcW w:w="4485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jc w:val="left"/>
            </w:pPr>
            <w:r>
              <w:t>SRS394626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jc w:val="left"/>
            </w:pPr>
            <w:r>
              <w:rPr>
                <w:rFonts w:eastAsiaTheme="minorEastAsia"/>
              </w:rPr>
              <w:t xml:space="preserve">B73 </w:t>
            </w:r>
            <w:r>
              <w:t>husk</w:t>
            </w:r>
          </w:p>
        </w:tc>
      </w:tr>
    </w:tbl>
    <w:p w:rsidR="005367FE" w:rsidRDefault="005367FE" w:rsidP="005367FE">
      <w:pPr>
        <w:jc w:val="left"/>
        <w:rPr>
          <w:rFonts w:eastAsiaTheme="minorEastAsia" w:cs="Times New Roman"/>
          <w:kern w:val="0"/>
          <w:szCs w:val="24"/>
        </w:rPr>
      </w:pPr>
    </w:p>
    <w:p w:rsidR="00C87672" w:rsidRDefault="00C87672" w:rsidP="00C87672">
      <w:pPr>
        <w:jc w:val="left"/>
        <w:rPr>
          <w:rFonts w:eastAsiaTheme="minorEastAsia" w:cs="Times New Roman" w:hint="eastAsia"/>
          <w:szCs w:val="24"/>
        </w:rPr>
      </w:pPr>
      <w:bookmarkStart w:id="1" w:name="_Hlk499391136"/>
      <w:r>
        <w:rPr>
          <w:rFonts w:eastAsiaTheme="minorEastAsia" w:cs="Times New Roman" w:hint="eastAsia"/>
          <w:szCs w:val="24"/>
        </w:rPr>
        <w:t>S</w:t>
      </w:r>
      <w:r w:rsidRPr="00C87672">
        <w:rPr>
          <w:rFonts w:eastAsiaTheme="minorEastAsia" w:cs="Times New Roman"/>
          <w:szCs w:val="24"/>
        </w:rPr>
        <w:t>upplementary table</w:t>
      </w:r>
      <w:r>
        <w:rPr>
          <w:rFonts w:eastAsiaTheme="minorEastAsia" w:cs="Times New Roman" w:hint="eastAsia"/>
          <w:szCs w:val="24"/>
        </w:rPr>
        <w:t>2</w:t>
      </w:r>
    </w:p>
    <w:p w:rsidR="005367FE" w:rsidRDefault="005367FE" w:rsidP="005367FE">
      <w:pPr>
        <w:spacing w:line="360" w:lineRule="auto"/>
        <w:jc w:val="left"/>
        <w:rPr>
          <w:rFonts w:cs="Times New Roman"/>
          <w:color w:val="222222"/>
          <w:szCs w:val="21"/>
        </w:rPr>
      </w:pPr>
      <w:r>
        <w:rPr>
          <w:rFonts w:cs="Times New Roman"/>
          <w:color w:val="222222"/>
          <w:szCs w:val="21"/>
        </w:rPr>
        <w:t>Phenotypic description</w:t>
      </w:r>
      <w:r>
        <w:rPr>
          <w:rFonts w:eastAsiaTheme="minorEastAsia" w:cs="Times New Roman" w:hint="eastAsia"/>
          <w:color w:val="222222"/>
          <w:szCs w:val="21"/>
        </w:rPr>
        <w:t xml:space="preserve"> </w:t>
      </w:r>
      <w:r>
        <w:rPr>
          <w:rFonts w:cs="Times New Roman"/>
          <w:color w:val="222222"/>
          <w:szCs w:val="21"/>
        </w:rPr>
        <w:t xml:space="preserve">of </w:t>
      </w:r>
      <w:r>
        <w:rPr>
          <w:rFonts w:eastAsiaTheme="minorEastAsia" w:cs="Times New Roman" w:hint="eastAsia"/>
          <w:color w:val="222222"/>
          <w:szCs w:val="21"/>
        </w:rPr>
        <w:t>HTI trait</w:t>
      </w:r>
      <w:r>
        <w:rPr>
          <w:rFonts w:cs="Times New Roman"/>
          <w:color w:val="222222"/>
          <w:szCs w:val="21"/>
        </w:rPr>
        <w:t xml:space="preserve"> in the maize association population</w:t>
      </w:r>
    </w:p>
    <w:tbl>
      <w:tblPr>
        <w:tblStyle w:val="a4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268"/>
      </w:tblGrid>
      <w:tr w:rsidR="005367FE" w:rsidTr="00330411">
        <w:tc>
          <w:tcPr>
            <w:tcW w:w="1809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proofErr w:type="spellStart"/>
            <w:r>
              <w:rPr>
                <w:rFonts w:ascii="Arial" w:hAnsi="Arial" w:cs="Arial"/>
                <w:color w:val="222222"/>
                <w:szCs w:val="21"/>
              </w:rPr>
              <w:t>Site</w:t>
            </w:r>
            <w:r>
              <w:rPr>
                <w:rFonts w:ascii="Arial" w:hAnsi="Arial" w:cs="Arial"/>
                <w:color w:val="222222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proofErr w:type="spellStart"/>
            <w:r>
              <w:rPr>
                <w:rFonts w:ascii="Arial" w:hAnsi="Arial" w:cs="Arial"/>
                <w:color w:val="222222"/>
                <w:szCs w:val="21"/>
              </w:rPr>
              <w:t>Means±SD</w:t>
            </w:r>
            <w:proofErr w:type="spellEnd"/>
            <w:r>
              <w:rPr>
                <w:rFonts w:ascii="Arial" w:hAnsi="Arial" w:cs="Arial" w:hint="eastAsia"/>
                <w:color w:val="222222"/>
                <w:szCs w:val="21"/>
              </w:rPr>
              <w:t>（</w:t>
            </w:r>
            <w:r>
              <w:rPr>
                <w:rFonts w:ascii="Arial" w:hAnsi="Arial" w:cs="Arial"/>
                <w:color w:val="222222"/>
                <w:szCs w:val="21"/>
              </w:rPr>
              <w:t>%</w:t>
            </w:r>
            <w:r>
              <w:rPr>
                <w:rFonts w:ascii="Arial" w:hAnsi="Arial" w:cs="Arial" w:hint="eastAsia"/>
                <w:color w:val="222222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Range (%)</w:t>
            </w:r>
          </w:p>
        </w:tc>
      </w:tr>
      <w:tr w:rsidR="005367FE" w:rsidTr="00330411">
        <w:tc>
          <w:tcPr>
            <w:tcW w:w="1809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</w:p>
        </w:tc>
      </w:tr>
      <w:tr w:rsidR="005367FE" w:rsidTr="00330411">
        <w:tc>
          <w:tcPr>
            <w:tcW w:w="1809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15</w:t>
            </w:r>
            <w:r>
              <w:rPr>
                <w:rFonts w:eastAsiaTheme="minorEastAsia" w:cs="Times New Roman"/>
                <w:color w:val="222222"/>
                <w:szCs w:val="24"/>
              </w:rPr>
              <w:t xml:space="preserve"> SY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6.91±3.42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1.81-20.56</w:t>
            </w:r>
          </w:p>
        </w:tc>
      </w:tr>
      <w:tr w:rsidR="005367FE" w:rsidTr="00330411">
        <w:tc>
          <w:tcPr>
            <w:tcW w:w="1809" w:type="dxa"/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16</w:t>
            </w:r>
            <w:r>
              <w:rPr>
                <w:rFonts w:eastAsiaTheme="minorEastAsia" w:cs="Times New Roman"/>
                <w:color w:val="222222"/>
                <w:szCs w:val="24"/>
              </w:rPr>
              <w:t xml:space="preserve"> SY</w:t>
            </w:r>
          </w:p>
        </w:tc>
        <w:tc>
          <w:tcPr>
            <w:tcW w:w="2410" w:type="dxa"/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15.83±2.24</w:t>
            </w:r>
          </w:p>
        </w:tc>
        <w:tc>
          <w:tcPr>
            <w:tcW w:w="2268" w:type="dxa"/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10.47-21.73</w:t>
            </w:r>
          </w:p>
        </w:tc>
      </w:tr>
      <w:tr w:rsidR="005367FE" w:rsidTr="00330411">
        <w:tc>
          <w:tcPr>
            <w:tcW w:w="1809" w:type="dxa"/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16</w:t>
            </w:r>
            <w:r>
              <w:rPr>
                <w:rFonts w:eastAsiaTheme="minorEastAsia" w:cs="Times New Roman"/>
                <w:color w:val="222222"/>
                <w:szCs w:val="24"/>
              </w:rPr>
              <w:t xml:space="preserve"> FS</w:t>
            </w:r>
          </w:p>
        </w:tc>
        <w:tc>
          <w:tcPr>
            <w:tcW w:w="2410" w:type="dxa"/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6.26±1.53</w:t>
            </w:r>
          </w:p>
        </w:tc>
        <w:tc>
          <w:tcPr>
            <w:tcW w:w="2268" w:type="dxa"/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3.31-12.05</w:t>
            </w:r>
          </w:p>
        </w:tc>
      </w:tr>
      <w:tr w:rsidR="005367FE" w:rsidTr="00330411">
        <w:tc>
          <w:tcPr>
            <w:tcW w:w="1809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eastAsiaTheme="minorEastAsia" w:hAnsi="Arial" w:cs="Arial"/>
                <w:color w:val="222222"/>
                <w:szCs w:val="21"/>
              </w:rPr>
            </w:pPr>
            <w:r>
              <w:rPr>
                <w:rFonts w:ascii="Arial" w:eastAsiaTheme="minorEastAsia" w:hAnsi="Arial" w:cs="Arial"/>
                <w:color w:val="222222"/>
                <w:szCs w:val="21"/>
              </w:rPr>
              <w:t>BLUP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9.74±1.42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67FE" w:rsidRDefault="005367FE" w:rsidP="00330411">
            <w:pPr>
              <w:spacing w:line="360" w:lineRule="auto"/>
              <w:jc w:val="left"/>
              <w:rPr>
                <w:rFonts w:ascii="Arial" w:hAnsi="Arial" w:cs="Arial"/>
                <w:color w:val="222222"/>
                <w:szCs w:val="21"/>
              </w:rPr>
            </w:pPr>
            <w:r>
              <w:rPr>
                <w:rFonts w:ascii="Arial" w:hAnsi="Arial" w:cs="Arial"/>
                <w:color w:val="222222"/>
                <w:szCs w:val="21"/>
              </w:rPr>
              <w:t>6.00-16.86</w:t>
            </w:r>
          </w:p>
        </w:tc>
      </w:tr>
    </w:tbl>
    <w:p w:rsidR="005367FE" w:rsidRDefault="005367FE" w:rsidP="005367FE">
      <w:pPr>
        <w:jc w:val="left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  <w:vertAlign w:val="superscript"/>
        </w:rPr>
        <w:t>a</w:t>
      </w:r>
      <w:r>
        <w:rPr>
          <w:rFonts w:cs="Times New Roman"/>
          <w:color w:val="222222"/>
          <w:szCs w:val="24"/>
        </w:rPr>
        <w:t xml:space="preserve"> 15</w:t>
      </w:r>
      <w:r>
        <w:rPr>
          <w:rFonts w:eastAsiaTheme="minorEastAsia" w:cs="Times New Roman"/>
          <w:color w:val="222222"/>
          <w:szCs w:val="24"/>
        </w:rPr>
        <w:t>SY</w:t>
      </w:r>
      <w:r>
        <w:rPr>
          <w:rFonts w:cs="Times New Roman"/>
          <w:color w:val="222222"/>
          <w:szCs w:val="24"/>
        </w:rPr>
        <w:t>,</w:t>
      </w:r>
      <w:r>
        <w:t xml:space="preserve"> </w:t>
      </w:r>
      <w:r>
        <w:rPr>
          <w:rFonts w:cs="Times New Roman"/>
          <w:color w:val="222222"/>
          <w:szCs w:val="24"/>
        </w:rPr>
        <w:t xml:space="preserve">2015 </w:t>
      </w:r>
      <w:proofErr w:type="spellStart"/>
      <w:r>
        <w:rPr>
          <w:rFonts w:cs="Times New Roman"/>
          <w:color w:val="222222"/>
          <w:szCs w:val="24"/>
        </w:rPr>
        <w:t>Sanya</w:t>
      </w:r>
      <w:proofErr w:type="spellEnd"/>
      <w:r>
        <w:rPr>
          <w:rFonts w:eastAsiaTheme="minorEastAsia" w:cs="Times New Roman"/>
          <w:color w:val="222222"/>
          <w:szCs w:val="24"/>
        </w:rPr>
        <w:t>;</w:t>
      </w:r>
      <w:r>
        <w:rPr>
          <w:rFonts w:cs="Times New Roman"/>
          <w:color w:val="222222"/>
          <w:szCs w:val="24"/>
        </w:rPr>
        <w:t xml:space="preserve"> 16</w:t>
      </w:r>
      <w:r>
        <w:rPr>
          <w:rFonts w:eastAsiaTheme="minorEastAsia" w:cs="Times New Roman"/>
          <w:color w:val="222222"/>
          <w:szCs w:val="24"/>
        </w:rPr>
        <w:t>SY</w:t>
      </w:r>
      <w:r>
        <w:rPr>
          <w:rFonts w:cs="Times New Roman"/>
          <w:color w:val="222222"/>
          <w:szCs w:val="24"/>
        </w:rPr>
        <w:t>,</w:t>
      </w:r>
      <w:r>
        <w:rPr>
          <w:rFonts w:eastAsiaTheme="minorEastAsia" w:cs="Times New Roman"/>
          <w:color w:val="222222"/>
          <w:szCs w:val="24"/>
        </w:rPr>
        <w:t xml:space="preserve"> 2016</w:t>
      </w:r>
      <w:r>
        <w:rPr>
          <w:rFonts w:cs="Times New Roman"/>
          <w:color w:val="222222"/>
          <w:szCs w:val="24"/>
        </w:rPr>
        <w:t xml:space="preserve"> Sanya</w:t>
      </w:r>
      <w:r>
        <w:rPr>
          <w:rFonts w:eastAsiaTheme="minorEastAsia" w:cs="Times New Roman"/>
          <w:color w:val="222222"/>
          <w:szCs w:val="24"/>
        </w:rPr>
        <w:t>;</w:t>
      </w:r>
      <w:r>
        <w:rPr>
          <w:rFonts w:cs="Times New Roman"/>
          <w:color w:val="222222"/>
          <w:szCs w:val="24"/>
        </w:rPr>
        <w:t>16</w:t>
      </w:r>
      <w:r>
        <w:rPr>
          <w:rFonts w:eastAsiaTheme="minorEastAsia" w:cs="Times New Roman"/>
          <w:color w:val="222222"/>
          <w:szCs w:val="24"/>
        </w:rPr>
        <w:t>FS, 2016 Fushun; BLUP, the Best Unbiased Linear Predictive value of 15SY, 16SY and 16FS</w:t>
      </w:r>
    </w:p>
    <w:bookmarkEnd w:id="1"/>
    <w:p w:rsidR="007149AA" w:rsidRPr="005367FE" w:rsidRDefault="007149AA"/>
    <w:sectPr w:rsidR="007149AA" w:rsidRPr="00536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33" w:rsidRDefault="00047F33" w:rsidP="00C87672">
      <w:r>
        <w:separator/>
      </w:r>
    </w:p>
  </w:endnote>
  <w:endnote w:type="continuationSeparator" w:id="0">
    <w:p w:rsidR="00047F33" w:rsidRDefault="00047F33" w:rsidP="00C8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33" w:rsidRDefault="00047F33" w:rsidP="00C87672">
      <w:r>
        <w:separator/>
      </w:r>
    </w:p>
  </w:footnote>
  <w:footnote w:type="continuationSeparator" w:id="0">
    <w:p w:rsidR="00047F33" w:rsidRDefault="00047F33" w:rsidP="00C8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E"/>
    <w:rsid w:val="00047F33"/>
    <w:rsid w:val="001F2B1D"/>
    <w:rsid w:val="005367FE"/>
    <w:rsid w:val="006B5A0E"/>
    <w:rsid w:val="007149AA"/>
    <w:rsid w:val="00C87672"/>
    <w:rsid w:val="00E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FE"/>
    <w:pPr>
      <w:widowControl w:val="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367FE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5367FE"/>
    <w:rPr>
      <w:rFonts w:ascii="Times New Roman" w:eastAsia="Times New Roman" w:hAnsi="Times New Roman"/>
      <w:sz w:val="24"/>
    </w:rPr>
  </w:style>
  <w:style w:type="table" w:styleId="a4">
    <w:name w:val="Table Grid"/>
    <w:basedOn w:val="a1"/>
    <w:uiPriority w:val="59"/>
    <w:qFormat/>
    <w:rsid w:val="005367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unhideWhenUsed/>
    <w:qFormat/>
    <w:rsid w:val="005367FE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5367F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367FE"/>
    <w:rPr>
      <w:rFonts w:ascii="Times New Roman" w:eastAsia="Times New Roman" w:hAnsi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8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87672"/>
    <w:rPr>
      <w:rFonts w:ascii="Times New Roman" w:eastAsia="Times New Roman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8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87672"/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FE"/>
    <w:pPr>
      <w:widowControl w:val="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367FE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5367FE"/>
    <w:rPr>
      <w:rFonts w:ascii="Times New Roman" w:eastAsia="Times New Roman" w:hAnsi="Times New Roman"/>
      <w:sz w:val="24"/>
    </w:rPr>
  </w:style>
  <w:style w:type="table" w:styleId="a4">
    <w:name w:val="Table Grid"/>
    <w:basedOn w:val="a1"/>
    <w:uiPriority w:val="59"/>
    <w:qFormat/>
    <w:rsid w:val="005367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unhideWhenUsed/>
    <w:qFormat/>
    <w:rsid w:val="005367FE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5367F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367FE"/>
    <w:rPr>
      <w:rFonts w:ascii="Times New Roman" w:eastAsia="Times New Roman" w:hAnsi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8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87672"/>
    <w:rPr>
      <w:rFonts w:ascii="Times New Roman" w:eastAsia="Times New Roman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8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87672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2020-06-16T02:05:00Z</dcterms:created>
  <dcterms:modified xsi:type="dcterms:W3CDTF">2020-06-16T02:09:00Z</dcterms:modified>
</cp:coreProperties>
</file>