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B" w:rsidRPr="00882F1B" w:rsidRDefault="00882F1B" w:rsidP="00882F1B">
      <w:pPr>
        <w:spacing w:beforeLines="50" w:before="120" w:afterLines="50" w:after="120"/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  <w:szCs w:val="24"/>
        </w:rPr>
        <w:t xml:space="preserve">Supplementary Table </w:t>
      </w:r>
      <w:r>
        <w:rPr>
          <w:rFonts w:ascii="Times New Roman" w:eastAsia="SimSun" w:hAnsi="Times New Roman" w:cs="Times New Roman" w:hint="eastAsia"/>
          <w:b/>
          <w:bCs/>
          <w:color w:val="0D0D0D" w:themeColor="text1" w:themeTint="F2"/>
          <w:sz w:val="24"/>
          <w:szCs w:val="24"/>
        </w:rPr>
        <w:t>5</w:t>
      </w:r>
      <w:r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Signi</w:t>
      </w:r>
      <w:bookmarkStart w:id="0" w:name="_GoBack"/>
      <w:bookmarkEnd w:id="0"/>
      <w: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ficantly enriched transcription factor-target networks of CORO2A in breast cancer (</w:t>
      </w:r>
      <w:proofErr w:type="spellStart"/>
      <w: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LinkedOmics</w:t>
      </w:r>
      <w:proofErr w:type="spellEnd"/>
      <w: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).</w:t>
      </w:r>
    </w:p>
    <w:tbl>
      <w:tblPr>
        <w:tblStyle w:val="TableGrid"/>
        <w:tblW w:w="10068" w:type="dxa"/>
        <w:tblInd w:w="-34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8363"/>
      </w:tblGrid>
      <w:tr w:rsidR="00882F1B" w:rsidTr="00882F1B"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882F1B" w:rsidRDefault="00882F1B" w:rsidP="00FB1482">
            <w:pPr>
              <w:spacing w:line="240" w:lineRule="atLeast"/>
              <w:rPr>
                <w:rFonts w:ascii="Times New Roman" w:eastAsia="SimSu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color w:val="0D0D0D" w:themeColor="text1" w:themeTint="F2"/>
                <w:sz w:val="24"/>
                <w:szCs w:val="24"/>
              </w:rPr>
              <w:t>Geneset</w:t>
            </w:r>
            <w:proofErr w:type="spellEnd"/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</w:tcBorders>
          </w:tcPr>
          <w:p w:rsidR="00882F1B" w:rsidRDefault="00882F1B" w:rsidP="00FB1482">
            <w:pPr>
              <w:spacing w:line="240" w:lineRule="atLeast"/>
              <w:rPr>
                <w:rFonts w:ascii="Times New Roman" w:eastAsia="SimSu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color w:val="0D0D0D" w:themeColor="text1" w:themeTint="F2"/>
                <w:sz w:val="24"/>
                <w:szCs w:val="24"/>
              </w:rPr>
              <w:t>LeadingEdgeGene</w:t>
            </w:r>
            <w:proofErr w:type="spellEnd"/>
          </w:p>
        </w:tc>
      </w:tr>
      <w:tr w:rsidR="00882F1B" w:rsidTr="00882F1B">
        <w:tc>
          <w:tcPr>
            <w:tcW w:w="1705" w:type="dxa"/>
            <w:tcBorders>
              <w:top w:val="single" w:sz="12" w:space="0" w:color="auto"/>
              <w:bottom w:val="nil"/>
            </w:tcBorders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V$MYC_Q2</w:t>
            </w:r>
          </w:p>
        </w:tc>
        <w:tc>
          <w:tcPr>
            <w:tcW w:w="8363" w:type="dxa"/>
            <w:tcBorders>
              <w:top w:val="single" w:sz="12" w:space="0" w:color="auto"/>
              <w:bottom w:val="nil"/>
            </w:tcBorders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AK2;AMPD2;ATAD3A;ATAD3B;ATXN7L2;B3GALT6;B4GALT2;BATF3;CFL1;CNNM1;EBNA1BP2;FADS3;FKBP11;FOSL1;FXYD2;FXYD6;IL15RA;IPO13;KRTCAP2;LRP8;LTBR;MRTO4;NUDC;PABPC4;PFDN2;PLA2G4A;RAB3IL1;RCOR2;REXO2;SERBP1;SHMT2;SLC16A1;SLC25A33;SLC26A10;SLC6A15;STMN1;TIMM10;TXNDC12;USP2;WDR77;YBX1;ZNF593</w:t>
            </w:r>
          </w:p>
        </w:tc>
      </w:tr>
      <w:tr w:rsidR="00882F1B" w:rsidTr="00882F1B">
        <w:tc>
          <w:tcPr>
            <w:tcW w:w="1705" w:type="dxa"/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V$ROAZ_01</w:t>
            </w:r>
          </w:p>
        </w:tc>
        <w:tc>
          <w:tcPr>
            <w:tcW w:w="8363" w:type="dxa"/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DUSP7; FBXO32; HEBP2; RCOR2; TIMM50</w:t>
            </w:r>
          </w:p>
        </w:tc>
      </w:tr>
      <w:tr w:rsidR="00882F1B" w:rsidTr="00882F1B">
        <w:tc>
          <w:tcPr>
            <w:tcW w:w="1705" w:type="dxa"/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V$MYCMAX_01</w:t>
            </w:r>
          </w:p>
        </w:tc>
        <w:tc>
          <w:tcPr>
            <w:tcW w:w="8363" w:type="dxa"/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AMPD2;ARMC6;ATAD3A;ATAD3B;BCL7C;CAMKV;CD3EAP;CGREF1;CNNM1;CSK;CYP2D6;DAZAP1;DAZL;DCAF13;EEF1B2;EFNB1;ESRRA;EWSR1;FAM19A4;FKBP11;GCSH;GPM6B;GPS1;HMGA1;HOXA3;HSPBAP1;IFRD2;IPO13;KCMF1;KCNN4;KRTCAP2;LRP8;LYAR;LZTS2;MANF;MON1A;MRPL40;NOP56;NOP58;NUDC;ODC1;OSR1;PA2G4;PABPC1;PDIA2;PFN1;PRDX4;PRMT1;PRR7;PTMA;PUS1;QTRT1;RAB3IL1;RANBP1;RCOR2;REXO2;RFX4;RPS19;RSPO2;SERBP1;SIGMAR1;SLC25A32;SLC6A15;STMN1;TCOF1;TFAP4;TIMM10;TIMM8A;TRMT2A;TUBA4A;YEATS2</w:t>
            </w:r>
          </w:p>
        </w:tc>
      </w:tr>
      <w:tr w:rsidR="00882F1B" w:rsidTr="00882F1B"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V$USF_C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82F1B" w:rsidRDefault="00882F1B" w:rsidP="00FB1482">
            <w:pPr>
              <w:widowControl/>
              <w:jc w:val="left"/>
              <w:textAlignment w:val="center"/>
              <w:rPr>
                <w:rFonts w:ascii="Times New Roman" w:eastAsia="SimSun" w:hAnsi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0"/>
                <w:sz w:val="22"/>
                <w:lang w:bidi="ar"/>
              </w:rPr>
              <w:t>ADCY3;AEN;ALDH3B1;AMPD2;ATXN7L2;B4GALT2;BATF2;BATF3;C21orf91;CAMKV;CNNM1;CYP2D6;DAZAP1;DAZL;EEF1E1;EFNB1;EIF5A;ELK1;ELOVL4;ENPP6;EXOSC5;FADS3;FBL;FGF11;FKBP11;GABARAP;GCSH;GPX1;GRK6;HOXA3;HOXA4;HSPBAP1;HSPE1;IPO13;LPCAT4;LRP8;LTBR;LYAR;NUDC;OSR1;PA2G4;PABPC1;PABPC4;PAX6;PFDN2;PFDN6;PFN1;PLA2G4A;POLR2H;PRMT1;PSMB3;PTMA;RPL13A;RPL22;RPS19;RSPO2;RXRB;SEMA7A;SERBP1;SH3KBP1;SIGMAR1;SLC25A33;SLC39A7;SLC6A15;STMN1;TFAP4;TIMM10;TMEM132E;TNFRSF21;TXNDC12;UBXN1;USP2;VGF;WBP2;WDR46;YBX1</w:t>
            </w:r>
          </w:p>
        </w:tc>
      </w:tr>
    </w:tbl>
    <w:p w:rsidR="005B7A6F" w:rsidRPr="00882F1B" w:rsidRDefault="005B7A6F" w:rsidP="00882F1B">
      <w:pPr>
        <w:spacing w:beforeLines="50" w:before="120" w:afterLines="50" w:after="120"/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</w:pPr>
    </w:p>
    <w:sectPr w:rsidR="005B7A6F" w:rsidRPr="0088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1B"/>
    <w:rsid w:val="000234AD"/>
    <w:rsid w:val="00160F13"/>
    <w:rsid w:val="005B7A6F"/>
    <w:rsid w:val="00882F1B"/>
    <w:rsid w:val="00AC6A18"/>
    <w:rsid w:val="00E1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1B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82F1B"/>
    <w:pPr>
      <w:spacing w:after="160" w:line="259" w:lineRule="auto"/>
    </w:pPr>
    <w:rPr>
      <w:rFonts w:ascii="DengXian" w:eastAsia="DengXian" w:hAnsi="DengXi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1B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82F1B"/>
    <w:pPr>
      <w:spacing w:after="160" w:line="259" w:lineRule="auto"/>
    </w:pPr>
    <w:rPr>
      <w:rFonts w:ascii="DengXian" w:eastAsia="DengXian" w:hAnsi="DengXi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Priyadharshini S.</dc:creator>
  <cp:lastModifiedBy>Priyadharshini S.</cp:lastModifiedBy>
  <cp:revision>1</cp:revision>
  <dcterms:created xsi:type="dcterms:W3CDTF">2020-06-13T09:14:00Z</dcterms:created>
  <dcterms:modified xsi:type="dcterms:W3CDTF">2020-06-13T09:16:00Z</dcterms:modified>
</cp:coreProperties>
</file>