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Table 1: 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Expanded 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>
        <w:rPr>
          <w:rFonts w:ascii="Times New Roman" w:hAnsi="Times New Roman" w:eastAsia="等线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included studies</w:t>
      </w:r>
    </w:p>
    <w:tbl>
      <w:tblPr>
        <w:tblStyle w:val="8"/>
        <w:tblpPr w:leftFromText="180" w:rightFromText="180" w:vertAnchor="text" w:horzAnchor="page" w:tblpX="1965" w:tblpY="331"/>
        <w:tblOverlap w:val="never"/>
        <w:tblW w:w="14003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2572"/>
        <w:gridCol w:w="6900"/>
        <w:gridCol w:w="2798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tcBorders>
              <w:top w:val="single" w:color="auto" w:sz="8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First author (year)</w:t>
            </w:r>
            <w:bookmarkStart w:id="0" w:name="_GoBack"/>
            <w:bookmarkEnd w:id="0"/>
          </w:p>
        </w:tc>
        <w:tc>
          <w:tcPr>
            <w:tcW w:w="2572" w:type="dxa"/>
            <w:tcBorders>
              <w:top w:val="single" w:color="auto" w:sz="8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Study design</w:t>
            </w:r>
          </w:p>
        </w:tc>
        <w:tc>
          <w:tcPr>
            <w:tcW w:w="6900" w:type="dxa"/>
            <w:tcBorders>
              <w:top w:val="single" w:color="auto" w:sz="8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Data source and patients included</w:t>
            </w:r>
          </w:p>
        </w:tc>
        <w:tc>
          <w:tcPr>
            <w:tcW w:w="2798" w:type="dxa"/>
            <w:tcBorders>
              <w:top w:val="single" w:color="auto" w:sz="8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Search query (DOI/PMID/PUI)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Al Rashidi (2013)</w:t>
            </w:r>
          </w:p>
        </w:tc>
        <w:tc>
          <w:tcPr>
            <w:tcW w:w="257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Retrospective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study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Case series</w:t>
            </w:r>
          </w:p>
        </w:tc>
        <w:tc>
          <w:tcPr>
            <w:tcW w:w="690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ecords of patients with refractory visionthreatening uveitis associated with BD treated wit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 IFX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at King Abdulaziz University Hospital,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Riyadh were retrospectively reviewed </w:t>
            </w:r>
          </w:p>
        </w:tc>
        <w:tc>
          <w:tcPr>
            <w:tcW w:w="279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10.3109/09273948.2013.779727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Bawazeer (2010)</w:t>
            </w:r>
          </w:p>
        </w:tc>
        <w:tc>
          <w:tcPr>
            <w:tcW w:w="257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Retrospective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study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Case series</w:t>
            </w:r>
          </w:p>
        </w:tc>
        <w:tc>
          <w:tcPr>
            <w:tcW w:w="6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ecords of the patients with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ocular BD received ADA treatment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between June 2007 and May 2009 w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ere collected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in Maghrabi Eye Hospital, a tertiary referral hospital in Jeddah, Saudi Arabia.</w:t>
            </w:r>
          </w:p>
        </w:tc>
        <w:tc>
          <w:tcPr>
            <w:tcW w:w="279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10.3109/09273948.2010.483314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Bejerano (2013)</w:t>
            </w:r>
          </w:p>
        </w:tc>
        <w:tc>
          <w:tcPr>
            <w:tcW w:w="257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Retrospective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study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Case series</w:t>
            </w:r>
          </w:p>
        </w:tc>
        <w:tc>
          <w:tcPr>
            <w:tcW w:w="6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Multicentre study of patients followed in the Uveitis Clinic of 24 hospitals. All of them were refractory to conventional therapy and treated with ADA or IFX.</w:t>
            </w:r>
          </w:p>
        </w:tc>
        <w:tc>
          <w:tcPr>
            <w:tcW w:w="279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10.1136/annrheumdis-2012-eular.2670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Calvo-Río (2013)</w:t>
            </w:r>
          </w:p>
        </w:tc>
        <w:tc>
          <w:tcPr>
            <w:tcW w:w="257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Retrospective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study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Case series</w:t>
            </w:r>
          </w:p>
        </w:tc>
        <w:tc>
          <w:tcPr>
            <w:tcW w:w="6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Multicentre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s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tudy of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BD-assciated uveitis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patients from 32 hospitals. All of them presented inadequate response to standard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IS and switched to ADA or IFX.</w:t>
            </w:r>
          </w:p>
        </w:tc>
        <w:tc>
          <w:tcPr>
            <w:tcW w:w="279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10.1136/annrheumdis-2013-eular.1874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Calvo-Rio (2014)</w:t>
            </w:r>
          </w:p>
        </w:tc>
        <w:tc>
          <w:tcPr>
            <w:tcW w:w="257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Retrospective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study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Case series</w:t>
            </w:r>
          </w:p>
        </w:tc>
        <w:tc>
          <w:tcPr>
            <w:tcW w:w="6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ulticentre study of BD uveitis refractory to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IS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. Patients were treated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with ADA or IFX consequently.</w:t>
            </w:r>
          </w:p>
        </w:tc>
        <w:tc>
          <w:tcPr>
            <w:tcW w:w="279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10.1093/rheumatology/keu266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Cantini (2012)</w:t>
            </w:r>
          </w:p>
        </w:tc>
        <w:tc>
          <w:tcPr>
            <w:tcW w:w="257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Prospective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study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Uncontrolled pilot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study</w:t>
            </w:r>
          </w:p>
        </w:tc>
        <w:tc>
          <w:tcPr>
            <w:tcW w:w="6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Single center, prospective, 6-year duration, follow-up study on patients with refractory BD-associated posterior uveitis. The patients received IFX therapy.</w:t>
            </w:r>
          </w:p>
        </w:tc>
        <w:tc>
          <w:tcPr>
            <w:tcW w:w="279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10.2147/BTT.S27343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Yalçindag (201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Retrospective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study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Cohort study</w:t>
            </w:r>
          </w:p>
        </w:tc>
        <w:tc>
          <w:tcPr>
            <w:tcW w:w="6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Medical records of patients with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BD-associated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uveitis treated with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IFX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or IF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等线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α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-2a between January 2010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and April 2018, were retrospectively analyzed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79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10.1080/09273948.2019.1606256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Domínguez Casas (2017)</w:t>
            </w:r>
          </w:p>
        </w:tc>
        <w:tc>
          <w:tcPr>
            <w:tcW w:w="257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Retrospective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study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Case series</w:t>
            </w:r>
          </w:p>
        </w:tc>
        <w:tc>
          <w:tcPr>
            <w:tcW w:w="6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Multicentre study of patients with BD-associated uveitis refractory to conventional IS drug and switched to IFX therapy. </w:t>
            </w:r>
          </w:p>
        </w:tc>
        <w:tc>
          <w:tcPr>
            <w:tcW w:w="279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10.1136/annrheumdis-2017-eular.6226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Garf (2018)</w:t>
            </w:r>
          </w:p>
        </w:tc>
        <w:tc>
          <w:tcPr>
            <w:tcW w:w="257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Prospective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study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Uncontrolled pilot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study</w:t>
            </w:r>
          </w:p>
        </w:tc>
        <w:tc>
          <w:tcPr>
            <w:tcW w:w="6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atients with refractory Behcet's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posterior uveitis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received IFX therapy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at the dose of 5 mg/kg at weeks 0, 2, 6 (induction) and every 8 weeks for a maximum of 6 infusions.</w:t>
            </w:r>
          </w:p>
        </w:tc>
        <w:tc>
          <w:tcPr>
            <w:tcW w:w="279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10.1016/j.ejr.2017.08.001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Fabiani (2017)</w:t>
            </w:r>
          </w:p>
        </w:tc>
        <w:tc>
          <w:tcPr>
            <w:tcW w:w="257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Retrospective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study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Case series</w:t>
            </w:r>
          </w:p>
        </w:tc>
        <w:tc>
          <w:tcPr>
            <w:tcW w:w="6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Multicentre study,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retrospectively collect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ed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medical documentation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from patients suffering from BDrelated uveitis resistant to conventional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IS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therapy and consequently treated with ADA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79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10.1007/s10067-016-3480-x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Hamuryudan (2013)</w:t>
            </w:r>
          </w:p>
        </w:tc>
        <w:tc>
          <w:tcPr>
            <w:tcW w:w="257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Retrospective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study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Case series</w:t>
            </w:r>
          </w:p>
        </w:tc>
        <w:tc>
          <w:tcPr>
            <w:tcW w:w="6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The charts of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BD-associated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patients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treated with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IFX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were reviewed retrospectively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79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10.1002/art.38216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Interlandi (2014)</w:t>
            </w:r>
          </w:p>
        </w:tc>
        <w:tc>
          <w:tcPr>
            <w:tcW w:w="257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Retrospective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study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Case series</w:t>
            </w:r>
          </w:p>
        </w:tc>
        <w:tc>
          <w:tcPr>
            <w:tcW w:w="6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Singe centre study of uveitis patients affected by BD, treated with ADA between 2008 and 2012. Their data were selected from archives and analysed.</w:t>
            </w:r>
          </w:p>
        </w:tc>
        <w:tc>
          <w:tcPr>
            <w:tcW w:w="279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25005224(PMID)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Katsuyama (2019)</w:t>
            </w:r>
          </w:p>
        </w:tc>
        <w:tc>
          <w:tcPr>
            <w:tcW w:w="257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Retrospective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study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Case series</w:t>
            </w:r>
          </w:p>
        </w:tc>
        <w:tc>
          <w:tcPr>
            <w:tcW w:w="6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Medical records of patients with BD uveoretinitis refractory to conventional IS treatment who had been treated with IFX therapy.</w:t>
            </w:r>
          </w:p>
        </w:tc>
        <w:tc>
          <w:tcPr>
            <w:tcW w:w="279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10.2147/opth.s198648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Keino (2011)</w:t>
            </w:r>
          </w:p>
        </w:tc>
        <w:tc>
          <w:tcPr>
            <w:tcW w:w="257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Retrospective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study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Case series</w:t>
            </w:r>
          </w:p>
        </w:tc>
        <w:tc>
          <w:tcPr>
            <w:tcW w:w="6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Medical records were reviewed of patients with ocular BD followed in the Ocular Inflammation Service at the Kyorin Eye Center, Kyorin University Hospital (Tokyo, Japan) who received IFX therapy.</w:t>
            </w:r>
          </w:p>
        </w:tc>
        <w:tc>
          <w:tcPr>
            <w:tcW w:w="279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10.1136/bjo.2010.194464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Martín-Varillas (2018)</w:t>
            </w:r>
          </w:p>
        </w:tc>
        <w:tc>
          <w:tcPr>
            <w:tcW w:w="257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Retrospective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study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Case series</w:t>
            </w:r>
          </w:p>
        </w:tc>
        <w:tc>
          <w:tcPr>
            <w:tcW w:w="6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Open-label multicenter study of ADA-treated patients with BD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-associated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uveitis refractory to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IS drugs.</w:t>
            </w:r>
          </w:p>
        </w:tc>
        <w:tc>
          <w:tcPr>
            <w:tcW w:w="279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10.1016/j.ophtha.2018.02.020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Mesquida (2013)</w:t>
            </w:r>
          </w:p>
        </w:tc>
        <w:tc>
          <w:tcPr>
            <w:tcW w:w="257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Retrospective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study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Case series</w:t>
            </w:r>
          </w:p>
        </w:tc>
        <w:tc>
          <w:tcPr>
            <w:tcW w:w="6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Retrospective study of patients with Beh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et's uveitis treated with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IFX or ADA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in four tertiary referral hospitals of Spain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79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PUI: L628730830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Okada (2012)</w:t>
            </w:r>
          </w:p>
        </w:tc>
        <w:tc>
          <w:tcPr>
            <w:tcW w:w="257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Prospective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study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Uncontrolled pilot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study</w:t>
            </w:r>
          </w:p>
        </w:tc>
        <w:tc>
          <w:tcPr>
            <w:tcW w:w="6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Data were collected prospectively at 8 tertiary uveitis centers of BD-associated uveitis who were refractory to conventional treatments and switched to IFX.</w:t>
            </w:r>
          </w:p>
        </w:tc>
        <w:tc>
          <w:tcPr>
            <w:tcW w:w="279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10.1001/archophthalmol.2011.2698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Takeuchi (2014)</w:t>
            </w:r>
          </w:p>
        </w:tc>
        <w:tc>
          <w:tcPr>
            <w:tcW w:w="257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Retrospective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study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Case series</w:t>
            </w:r>
          </w:p>
        </w:tc>
        <w:tc>
          <w:tcPr>
            <w:tcW w:w="6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Multicenter retrospective study using questionnaires of patients with BD-associated uveitis treated with IFX for more than 1 year.</w:t>
            </w:r>
          </w:p>
        </w:tc>
        <w:tc>
          <w:tcPr>
            <w:tcW w:w="279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10.1016/j.ophtha.2014.04.042</w:t>
            </w:r>
          </w:p>
        </w:tc>
      </w:tr>
    </w:tbl>
    <w:p>
      <w:pPr>
        <w:ind w:firstLine="720" w:firstLineChars="3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Abbreviations: Behcet disease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24"/>
        </w:rPr>
        <w:t>BD; ADA, Adalimumab; IFX, Infliximab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; immunosuppressants, IS.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207|207|197|185|203|197|199|187|197|187|186|197|205|198|197|188|204|"/>
    <w:docVar w:name="Username" w:val="Editor"/>
  </w:docVars>
  <w:rsids>
    <w:rsidRoot w:val="00172A27"/>
    <w:rsid w:val="00145AB5"/>
    <w:rsid w:val="002D1F66"/>
    <w:rsid w:val="00363F78"/>
    <w:rsid w:val="00600A42"/>
    <w:rsid w:val="0070677F"/>
    <w:rsid w:val="0074151B"/>
    <w:rsid w:val="008A33B9"/>
    <w:rsid w:val="00925D7D"/>
    <w:rsid w:val="009B50AD"/>
    <w:rsid w:val="009E6108"/>
    <w:rsid w:val="00C86C52"/>
    <w:rsid w:val="00D2333B"/>
    <w:rsid w:val="053C6EC1"/>
    <w:rsid w:val="0A161B23"/>
    <w:rsid w:val="0DA20FD2"/>
    <w:rsid w:val="12F42D68"/>
    <w:rsid w:val="17182151"/>
    <w:rsid w:val="1B0F64AF"/>
    <w:rsid w:val="1BB938D0"/>
    <w:rsid w:val="36987F37"/>
    <w:rsid w:val="420E28EB"/>
    <w:rsid w:val="43B4355D"/>
    <w:rsid w:val="4B376EC3"/>
    <w:rsid w:val="536D4D31"/>
    <w:rsid w:val="55FB75D7"/>
    <w:rsid w:val="751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rPr>
      <w:sz w:val="20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9"/>
    <w:link w:val="2"/>
    <w:semiHidden/>
    <w:qFormat/>
    <w:uiPriority w:val="99"/>
    <w:rPr>
      <w:sz w:val="20"/>
      <w:szCs w:val="20"/>
    </w:rPr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  <w:sz w:val="20"/>
      <w:szCs w:val="20"/>
    </w:rPr>
  </w:style>
  <w:style w:type="character" w:customStyle="1" w:styleId="14">
    <w:name w:val="批注框文本 字符"/>
    <w:basedOn w:val="9"/>
    <w:link w:val="3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309</Words>
  <Characters>1766</Characters>
  <Lines>14</Lines>
  <Paragraphs>4</Paragraphs>
  <TotalTime>68</TotalTime>
  <ScaleCrop>false</ScaleCrop>
  <LinksUpToDate>false</LinksUpToDate>
  <CharactersWithSpaces>2071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2020-01-03T03:01:00Z</dcterms:created>
  <dc:creator>李 佩阳</dc:creator>
  <cp:lastModifiedBy>小薇</cp:lastModifiedBy>
  <dcterms:modified xsi:type="dcterms:W3CDTF">2020-06-19T17:23:11Z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43832.7920601852</vt:r8>
  </property>
  <property fmtid="{D5CDD505-2E9C-101B-9397-08002B2CF9AE}" pid="4" name="EditTimer">
    <vt:i4>85</vt:i4>
  </property>
  <property fmtid="{D5CDD505-2E9C-101B-9397-08002B2CF9AE}" pid="5" name="KSOProductBuildVer">
    <vt:lpwstr>2052-11.1.0.9740</vt:lpwstr>
  </property>
</Properties>
</file>