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27FB87FD" w:rsidR="00EA3D3C" w:rsidRPr="00994A3D" w:rsidRDefault="00654E8F" w:rsidP="0001436A">
      <w:pPr>
        <w:pStyle w:val="Kop1"/>
      </w:pPr>
      <w:r w:rsidRPr="00994A3D">
        <w:t xml:space="preserve">Supplementary </w:t>
      </w:r>
      <w:r w:rsidR="00397154">
        <w:t>Methods</w:t>
      </w:r>
    </w:p>
    <w:p w14:paraId="1B7C434E" w14:textId="6995D76C" w:rsidR="00397154" w:rsidRPr="004B38A7" w:rsidRDefault="00397154" w:rsidP="00397154">
      <w:pPr>
        <w:spacing w:line="480" w:lineRule="auto"/>
        <w:rPr>
          <w:b/>
        </w:rPr>
      </w:pPr>
      <w:r>
        <w:rPr>
          <w:b/>
        </w:rPr>
        <w:t>1.1</w:t>
      </w:r>
      <w:r>
        <w:rPr>
          <w:b/>
        </w:rPr>
        <w:tab/>
      </w:r>
      <w:r w:rsidRPr="004B38A7">
        <w:rPr>
          <w:b/>
        </w:rPr>
        <w:t>Patient inclusion</w:t>
      </w:r>
    </w:p>
    <w:p w14:paraId="092EB9D7" w14:textId="77777777" w:rsidR="00397154" w:rsidRDefault="00397154" w:rsidP="00397154">
      <w:pPr>
        <w:spacing w:line="480" w:lineRule="auto"/>
      </w:pPr>
      <w:r w:rsidRPr="004B38A7">
        <w:t xml:space="preserve">Patients were included at the outpatient clinics of the departments of clinical immunology, infectious diseases and </w:t>
      </w:r>
      <w:proofErr w:type="spellStart"/>
      <w:r w:rsidRPr="004B38A7">
        <w:t>paediatrics</w:t>
      </w:r>
      <w:proofErr w:type="spellEnd"/>
      <w:r w:rsidRPr="004B38A7">
        <w:t xml:space="preserve"> at the University Medical Center in Utrecht, the Netherlands, and the Erasmus Medical Center in Rotterdam, the Netherlands. Medication use in the three months prior to sampling was recorded. Clinical data </w:t>
      </w:r>
      <w:r>
        <w:t>was</w:t>
      </w:r>
      <w:r w:rsidRPr="004B38A7">
        <w:t xml:space="preserve"> collected from the hospital electronic patient files. For laboratory measurements below the detection limit, the c</w:t>
      </w:r>
      <w:r>
        <w:t>ut-off value was replaced with the limit of detection</w:t>
      </w:r>
      <w:r w:rsidRPr="004B38A7">
        <w:t xml:space="preserve"> when computing mean serum levels. </w:t>
      </w:r>
      <w:r>
        <w:t>GLILD reported in the study characteristics was based on clinical assessment of the treating physician.</w:t>
      </w:r>
    </w:p>
    <w:p w14:paraId="609C30EA" w14:textId="177DEA33" w:rsidR="00397154" w:rsidRPr="004B38A7" w:rsidRDefault="00397154" w:rsidP="00397154">
      <w:pPr>
        <w:spacing w:line="480" w:lineRule="auto"/>
        <w:rPr>
          <w:b/>
        </w:rPr>
      </w:pPr>
      <w:r>
        <w:rPr>
          <w:b/>
        </w:rPr>
        <w:t>1.2</w:t>
      </w:r>
      <w:r>
        <w:rPr>
          <w:b/>
        </w:rPr>
        <w:tab/>
      </w:r>
      <w:r w:rsidRPr="004B38A7">
        <w:rPr>
          <w:b/>
        </w:rPr>
        <w:t>DNA isolation</w:t>
      </w:r>
    </w:p>
    <w:p w14:paraId="630D699B" w14:textId="77777777" w:rsidR="00397154" w:rsidRPr="004B38A7" w:rsidRDefault="00397154" w:rsidP="00397154">
      <w:pPr>
        <w:spacing w:line="480" w:lineRule="auto"/>
        <w:ind w:firstLine="720"/>
      </w:pPr>
      <w:r w:rsidRPr="004B38A7">
        <w:t>DNA isolation was performed as described by Wyllie et al.</w:t>
      </w:r>
      <w:r w:rsidRPr="004B38A7">
        <w:fldChar w:fldCharType="begin" w:fldLock="1"/>
      </w:r>
      <w:r>
        <w:instrText>ADDIN CSL_CITATION {"citationItems":[{"id":"ITEM-1","itemData":{"DOI":"10.1371/journal.pone.0102045","author":[{"dropping-particle":"","family":"Wyllie","given":"Anne L","non-dropping-particle":"","parse-names":false,"suffix":""},{"dropping-particle":"","family":"Chu","given":"Mei Ling J N","non-dropping-particle":"","parse-names":false,"suffix":""},{"dropping-particle":"","family":"Jansen","given":"Marc D","non-dropping-particle":"","parse-names":false,"suffix":""},{"dropping-particle":"Van Der","family":"Ende","given":"Arie","non-dropping-particle":"","parse-names":false,"suffix":""},{"dropping-particle":"","family":"Bogaert","given":"Debby","non-dropping-particle":"","parse-names":false,"suffix":""},{"dropping-particle":"","family":"Sanders","given":"Elisabeth A M","non-dropping-particle":"","parse-names":false,"suffix":""},{"dropping-particle":"","family":"Trzcin","given":"Krzysztof","non-dropping-particle":"","parse-names":false,"suffix":""}],"container-title":"PLoS ONE","id":"ITEM-1","issue":"7","issued":{"date-parts":[["2014"]]},"page":"e102045","title":"Streptococcus pneumoniae in Saliva of Dutch Primary School Children","type":"article-journal","volume":"9"},"uris":["http://www.mendeley.com/documents/?uuid=102d186a-fba2-41bf-a8ff-75d1d3c467fa"]}],"mendeley":{"formattedCitation":"&lt;sup&gt;1&lt;/sup&gt;","plainTextFormattedCitation":"1","previouslyFormattedCitation":"(1)"},"properties":{"noteIndex":0},"schema":"https://github.com/citation-style-language/schema/raw/master/csl-citation.json"}</w:instrText>
      </w:r>
      <w:r w:rsidRPr="004B38A7">
        <w:fldChar w:fldCharType="separate"/>
      </w:r>
      <w:r w:rsidRPr="00FB68D4">
        <w:rPr>
          <w:noProof/>
          <w:vertAlign w:val="superscript"/>
        </w:rPr>
        <w:t>1</w:t>
      </w:r>
      <w:r w:rsidRPr="004B38A7">
        <w:fldChar w:fldCharType="end"/>
      </w:r>
      <w:r w:rsidRPr="004B38A7">
        <w:t xml:space="preserve">. Briefly, oral swab stored in 200uL of </w:t>
      </w:r>
      <w:proofErr w:type="spellStart"/>
      <w:r w:rsidRPr="004B38A7">
        <w:t>Amies</w:t>
      </w:r>
      <w:proofErr w:type="spellEnd"/>
      <w:r w:rsidRPr="004B38A7">
        <w:t xml:space="preserve"> medium was thawed and bead-</w:t>
      </w:r>
      <w:proofErr w:type="spellStart"/>
      <w:r w:rsidRPr="004B38A7">
        <w:t>beated</w:t>
      </w:r>
      <w:proofErr w:type="spellEnd"/>
      <w:r w:rsidRPr="004B38A7">
        <w:t xml:space="preserve"> twice in lysis buffer and phenol. The resulting DNA phase was purified using magnetic beads (LGC Genomics) and eluted into 100μL of DNA isolate. Negative controls and mock communities (</w:t>
      </w:r>
      <w:proofErr w:type="spellStart"/>
      <w:r w:rsidRPr="004B38A7">
        <w:t>ZymoBIOMICS</w:t>
      </w:r>
      <w:proofErr w:type="spellEnd"/>
      <w:r w:rsidRPr="004B38A7">
        <w:t xml:space="preserve"> microbial community (DNA) standard, </w:t>
      </w:r>
      <w:proofErr w:type="spellStart"/>
      <w:r w:rsidRPr="004B38A7">
        <w:t>Zymo</w:t>
      </w:r>
      <w:proofErr w:type="spellEnd"/>
      <w:r w:rsidRPr="004B38A7">
        <w:t xml:space="preserve"> research, USA)  were used from the beginning of DNA isolation up to the data analysis stage.  </w:t>
      </w:r>
    </w:p>
    <w:p w14:paraId="14994F08" w14:textId="548E5F8C" w:rsidR="00397154" w:rsidRDefault="00397154" w:rsidP="00397154">
      <w:pPr>
        <w:pStyle w:val="Kop2"/>
        <w:numPr>
          <w:ilvl w:val="0"/>
          <w:numId w:val="0"/>
        </w:numPr>
        <w:spacing w:before="0" w:after="0" w:line="480" w:lineRule="auto"/>
        <w:rPr>
          <w:b w:val="0"/>
        </w:rPr>
      </w:pPr>
      <w:r>
        <w:t>1.3</w:t>
      </w:r>
      <w:r>
        <w:tab/>
      </w:r>
      <w:r w:rsidRPr="004B38A7">
        <w:t>Bacterial load qPCR</w:t>
      </w:r>
    </w:p>
    <w:p w14:paraId="587992B6" w14:textId="77777777" w:rsidR="00397154" w:rsidRPr="00397154" w:rsidRDefault="00397154" w:rsidP="00397154">
      <w:pPr>
        <w:pStyle w:val="Kop2"/>
        <w:numPr>
          <w:ilvl w:val="0"/>
          <w:numId w:val="0"/>
        </w:numPr>
        <w:spacing w:before="0" w:line="480" w:lineRule="auto"/>
        <w:rPr>
          <w:b w:val="0"/>
        </w:rPr>
      </w:pPr>
      <w:r>
        <w:tab/>
      </w:r>
      <w:r w:rsidRPr="00397154">
        <w:rPr>
          <w:b w:val="0"/>
        </w:rPr>
        <w:t xml:space="preserve">Total bacterial load was determined using the </w:t>
      </w:r>
      <w:proofErr w:type="spellStart"/>
      <w:r w:rsidRPr="00397154">
        <w:rPr>
          <w:b w:val="0"/>
        </w:rPr>
        <w:t>BactQuant</w:t>
      </w:r>
      <w:proofErr w:type="spellEnd"/>
      <w:r w:rsidRPr="00397154">
        <w:rPr>
          <w:b w:val="0"/>
        </w:rPr>
        <w:t xml:space="preserve"> qPCR, as described by Liu et al.</w:t>
      </w:r>
      <w:r w:rsidRPr="00397154">
        <w:rPr>
          <w:b w:val="0"/>
        </w:rPr>
        <w:fldChar w:fldCharType="begin" w:fldLock="1"/>
      </w:r>
      <w:r w:rsidRPr="00397154">
        <w:rPr>
          <w:b w:val="0"/>
        </w:rPr>
        <w:instrText>ADDIN CSL_CITATION {"citationItems":[{"id":"ITEM-1","itemData":{"author":[{"dropping-particle":"","family":"Liu","given":"Cindy M","non-dropping-particle":"","parse-names":false,"suffix":""},{"dropping-particle":"","family":"Aziz","given":"Maliha","non-dropping-particle":"","parse-names":false,"suffix":""},{"dropping-particle":"","family":"Kachur","given":"Sergey","non-dropping-particle":"","parse-names":false,"suffix":""},{"dropping-particle":"","family":"Hsueh","given":"Po-ren","non-dropping-particle":"","parse-names":false,"suffix":""},{"dropping-particle":"","family":"Huang","given":"Yu-tsung","non-dropping-particle":"","parse-names":false,"suffix":""},{"dropping-particle":"","family":"Keim","given":"Paul","non-dropping-particle":"","parse-names":false,"suffix":""},{"dropping-particle":"","family":"Price","given":"Lance B","non-dropping-particle":"","parse-names":false,"suffix":""}],"container-title":"BMC Microbiology","id":"ITEM-1","issued":{"date-parts":[["2012"]]},"page":"56","title":"BactQuant : An enhanced broad-coverage bacterial quantitative real-time PCR assay","type":"article-journal","volume":"12"},"uris":["http://www.mendeley.com/documents/?uuid=dcf014b4-de25-4eb6-be92-1c7feb9fc68d"]}],"mendeley":{"formattedCitation":"&lt;sup&gt;2&lt;/sup&gt;","plainTextFormattedCitation":"2","previouslyFormattedCitation":"(2)"},"properties":{"noteIndex":0},"schema":"https://github.com/citation-style-language/schema/raw/master/csl-citation.json"}</w:instrText>
      </w:r>
      <w:r w:rsidRPr="00397154">
        <w:rPr>
          <w:b w:val="0"/>
        </w:rPr>
        <w:fldChar w:fldCharType="separate"/>
      </w:r>
      <w:r w:rsidRPr="00397154">
        <w:rPr>
          <w:b w:val="0"/>
          <w:noProof/>
          <w:vertAlign w:val="superscript"/>
        </w:rPr>
        <w:t>2</w:t>
      </w:r>
      <w:r w:rsidRPr="00397154">
        <w:rPr>
          <w:b w:val="0"/>
        </w:rPr>
        <w:fldChar w:fldCharType="end"/>
      </w:r>
      <w:r w:rsidRPr="00397154">
        <w:rPr>
          <w:b w:val="0"/>
        </w:rPr>
        <w:t xml:space="preserve">, on a </w:t>
      </w:r>
      <w:proofErr w:type="spellStart"/>
      <w:r w:rsidRPr="00397154">
        <w:rPr>
          <w:b w:val="0"/>
        </w:rPr>
        <w:t>StepOnePlus</w:t>
      </w:r>
      <w:proofErr w:type="spellEnd"/>
      <w:r w:rsidRPr="00397154">
        <w:rPr>
          <w:b w:val="0"/>
        </w:rPr>
        <w:t xml:space="preserve"> RT-PCR system (</w:t>
      </w:r>
      <w:proofErr w:type="spellStart"/>
      <w:r w:rsidRPr="00397154">
        <w:rPr>
          <w:b w:val="0"/>
        </w:rPr>
        <w:t>ThermoFisher</w:t>
      </w:r>
      <w:proofErr w:type="spellEnd"/>
      <w:r w:rsidRPr="00397154">
        <w:rPr>
          <w:b w:val="0"/>
        </w:rPr>
        <w:t xml:space="preserve">). Briefly, 2μL of undiluted DNA isolate for each sample was </w:t>
      </w:r>
      <w:proofErr w:type="spellStart"/>
      <w:r w:rsidRPr="00397154">
        <w:rPr>
          <w:b w:val="0"/>
        </w:rPr>
        <w:t>analysed</w:t>
      </w:r>
      <w:proofErr w:type="spellEnd"/>
      <w:r w:rsidRPr="00397154">
        <w:rPr>
          <w:b w:val="0"/>
        </w:rPr>
        <w:t xml:space="preserve"> with </w:t>
      </w:r>
      <w:proofErr w:type="spellStart"/>
      <w:r w:rsidRPr="00397154">
        <w:rPr>
          <w:b w:val="0"/>
        </w:rPr>
        <w:t>Taqman</w:t>
      </w:r>
      <w:proofErr w:type="spellEnd"/>
      <w:r w:rsidRPr="00397154">
        <w:rPr>
          <w:b w:val="0"/>
        </w:rPr>
        <w:t xml:space="preserve"> qPCR for 16S </w:t>
      </w:r>
      <w:proofErr w:type="spellStart"/>
      <w:r w:rsidRPr="00397154">
        <w:rPr>
          <w:b w:val="0"/>
        </w:rPr>
        <w:t>rRNA</w:t>
      </w:r>
      <w:proofErr w:type="spellEnd"/>
      <w:r w:rsidRPr="00397154">
        <w:rPr>
          <w:b w:val="0"/>
        </w:rPr>
        <w:t xml:space="preserve">. Serial dilutions of a plasmid containing one </w:t>
      </w:r>
      <w:r w:rsidRPr="00397154">
        <w:rPr>
          <w:b w:val="0"/>
          <w:i/>
        </w:rPr>
        <w:lastRenderedPageBreak/>
        <w:t xml:space="preserve">E.coli </w:t>
      </w:r>
      <w:r w:rsidRPr="00397154">
        <w:rPr>
          <w:b w:val="0"/>
        </w:rPr>
        <w:t xml:space="preserve">16S </w:t>
      </w:r>
      <w:proofErr w:type="spellStart"/>
      <w:r w:rsidRPr="00397154">
        <w:rPr>
          <w:b w:val="0"/>
        </w:rPr>
        <w:t>rRNA</w:t>
      </w:r>
      <w:proofErr w:type="spellEnd"/>
      <w:r w:rsidRPr="00397154">
        <w:rPr>
          <w:b w:val="0"/>
        </w:rPr>
        <w:t xml:space="preserve"> copy were used to calculate absolute 16S </w:t>
      </w:r>
      <w:proofErr w:type="spellStart"/>
      <w:r w:rsidRPr="00397154">
        <w:rPr>
          <w:b w:val="0"/>
        </w:rPr>
        <w:t>rRNA</w:t>
      </w:r>
      <w:proofErr w:type="spellEnd"/>
      <w:r w:rsidRPr="00397154">
        <w:rPr>
          <w:b w:val="0"/>
        </w:rPr>
        <w:t xml:space="preserve"> concentration in each sample. Primers and probes were ordered from IDT DNA technologies. </w:t>
      </w:r>
      <w:proofErr w:type="spellStart"/>
      <w:r w:rsidRPr="00397154">
        <w:rPr>
          <w:b w:val="0"/>
        </w:rPr>
        <w:t>TaqPath</w:t>
      </w:r>
      <w:proofErr w:type="spellEnd"/>
      <w:r w:rsidRPr="00397154">
        <w:rPr>
          <w:b w:val="0"/>
        </w:rPr>
        <w:t xml:space="preserve"> master mix (</w:t>
      </w:r>
      <w:proofErr w:type="spellStart"/>
      <w:r w:rsidRPr="00397154">
        <w:rPr>
          <w:b w:val="0"/>
        </w:rPr>
        <w:t>ThermoFisher</w:t>
      </w:r>
      <w:proofErr w:type="spellEnd"/>
      <w:r w:rsidRPr="00397154">
        <w:rPr>
          <w:b w:val="0"/>
        </w:rPr>
        <w:t xml:space="preserve">) was used with standard cycling conditions on a </w:t>
      </w:r>
      <w:proofErr w:type="spellStart"/>
      <w:r w:rsidRPr="00397154">
        <w:rPr>
          <w:b w:val="0"/>
        </w:rPr>
        <w:t>StepOnePlus</w:t>
      </w:r>
      <w:proofErr w:type="spellEnd"/>
      <w:r w:rsidRPr="00397154">
        <w:rPr>
          <w:b w:val="0"/>
        </w:rPr>
        <w:t xml:space="preserve"> RT-PCR system (</w:t>
      </w:r>
      <w:proofErr w:type="spellStart"/>
      <w:r w:rsidRPr="00397154">
        <w:rPr>
          <w:b w:val="0"/>
        </w:rPr>
        <w:t>ThermoFisher</w:t>
      </w:r>
      <w:proofErr w:type="spellEnd"/>
      <w:r w:rsidRPr="00397154">
        <w:rPr>
          <w:b w:val="0"/>
        </w:rPr>
        <w:t xml:space="preserve">). Forward primer: 5′- CCTACGGGDGGCWGCA-3’, reverse primer: 5′- GGACTACHVGGGTMTCTAATC -3′, probe: (6-FAM/ZEN) 5′-CAGCAGCCGCGGTA-3′ (Iowa </w:t>
      </w:r>
      <w:proofErr w:type="spellStart"/>
      <w:r w:rsidRPr="00397154">
        <w:rPr>
          <w:b w:val="0"/>
        </w:rPr>
        <w:t>Black</w:t>
      </w:r>
      <w:r w:rsidRPr="00397154">
        <w:rPr>
          <w:b w:val="0"/>
          <w:color w:val="333333"/>
          <w:shd w:val="clear" w:color="auto" w:fill="FFFFFF"/>
        </w:rPr>
        <w:t>®FQ</w:t>
      </w:r>
      <w:proofErr w:type="spellEnd"/>
      <w:r w:rsidRPr="00397154">
        <w:rPr>
          <w:b w:val="0"/>
        </w:rPr>
        <w:t>).</w:t>
      </w:r>
    </w:p>
    <w:p w14:paraId="4AFE41C8" w14:textId="74F46076" w:rsidR="00397154" w:rsidRPr="004B38A7" w:rsidRDefault="00397154" w:rsidP="00397154">
      <w:pPr>
        <w:spacing w:line="480" w:lineRule="auto"/>
        <w:rPr>
          <w:b/>
        </w:rPr>
      </w:pPr>
      <w:r>
        <w:rPr>
          <w:b/>
        </w:rPr>
        <w:t>1.4</w:t>
      </w:r>
      <w:r>
        <w:rPr>
          <w:b/>
        </w:rPr>
        <w:tab/>
      </w:r>
      <w:r w:rsidRPr="004B38A7">
        <w:rPr>
          <w:b/>
        </w:rPr>
        <w:t>Bioinformatics</w:t>
      </w:r>
    </w:p>
    <w:p w14:paraId="172E848E" w14:textId="77777777" w:rsidR="00397154" w:rsidRDefault="00397154" w:rsidP="00397154">
      <w:pPr>
        <w:spacing w:line="480" w:lineRule="auto"/>
      </w:pPr>
      <w:r w:rsidRPr="004B38A7">
        <w:t xml:space="preserve">The 469 </w:t>
      </w:r>
      <w:proofErr w:type="spellStart"/>
      <w:r w:rsidRPr="004B38A7">
        <w:t>basepair</w:t>
      </w:r>
      <w:proofErr w:type="spellEnd"/>
      <w:r w:rsidRPr="004B38A7">
        <w:t xml:space="preserve"> V3 and V4 hyper-variable regions of the 16S </w:t>
      </w:r>
      <w:proofErr w:type="spellStart"/>
      <w:r w:rsidRPr="004B38A7">
        <w:t>rRNA</w:t>
      </w:r>
      <w:proofErr w:type="spellEnd"/>
      <w:r w:rsidRPr="004B38A7">
        <w:t xml:space="preserve"> gene were amplified and sequenced using the Illumina </w:t>
      </w:r>
      <w:proofErr w:type="spellStart"/>
      <w:r w:rsidRPr="004B38A7">
        <w:t>MiSeq</w:t>
      </w:r>
      <w:proofErr w:type="spellEnd"/>
      <w:r w:rsidRPr="004B38A7">
        <w:t xml:space="preserve"> instrument and Reagent Kit v3 (600-cycle) according to </w:t>
      </w:r>
      <w:proofErr w:type="spellStart"/>
      <w:r w:rsidRPr="004B38A7">
        <w:t>Fadrosh</w:t>
      </w:r>
      <w:proofErr w:type="spellEnd"/>
      <w:r w:rsidRPr="004B38A7">
        <w:t xml:space="preserve"> et al. </w:t>
      </w:r>
      <w:r w:rsidRPr="00F52DD1">
        <w:fldChar w:fldCharType="begin" w:fldLock="1"/>
      </w:r>
      <w:r>
        <w:instrText>ADDIN CSL_CITATION {"citationItems":[{"id":"ITEM-1","itemData":{"author":[{"dropping-particle":"","family":"Fadrosh","given":"Douglas W","non-dropping-particle":"","parse-names":false,"suffix":""},{"dropping-particle":"","family":"Ma","given":"Bing","non-dropping-particle":"","parse-names":false,"suffix":""},{"dropping-particle":"","family":"Gajer","given":"Pawel","non-dropping-particle":"","parse-names":false,"suffix":""},{"dropping-particle":"","family":"Sengamalay","given":"Naomi","non-dropping-particle":"","parse-names":false,"suffix":""},{"dropping-particle":"","family":"Ott","given":"Sandra","non-dropping-particle":"","parse-names":false,"suffix":""},{"dropping-particle":"","family":"Brotman","given":"Rebecca M","non-dropping-particle":"","parse-names":false,"suffix":""},{"dropping-particle":"","family":"Ravel","given":"Jacques","non-dropping-particle":"","parse-names":false,"suffix":""}],"container-title":"Microbiome","id":"ITEM-1","issue":"6","issued":{"date-parts":[["2014"]]},"page":"1-7","title":"An improved dual-indexing approach for multiplexed 16S rRNA gene sequencing on the Illumina MiSeq platform","type":"article-journal","volume":"2"},"uris":["http://www.mendeley.com/documents/?uuid=782e7946-c162-4501-9265-6010fb548124"]}],"mendeley":{"formattedCitation":"&lt;sup&gt;3&lt;/sup&gt;","plainTextFormattedCitation":"3","previouslyFormattedCitation":"(4)"},"properties":{"noteIndex":0},"schema":"https://github.com/citation-style-language/schema/raw/master/csl-citation.json"}</w:instrText>
      </w:r>
      <w:r w:rsidRPr="00F52DD1">
        <w:fldChar w:fldCharType="separate"/>
      </w:r>
      <w:r w:rsidRPr="00FB68D4">
        <w:rPr>
          <w:noProof/>
          <w:vertAlign w:val="superscript"/>
        </w:rPr>
        <w:t>3</w:t>
      </w:r>
      <w:r w:rsidRPr="00F52DD1">
        <w:fldChar w:fldCharType="end"/>
      </w:r>
      <w:r w:rsidRPr="004B38A7">
        <w:t xml:space="preserve">. The resulting amplicon pool generated a total of </w:t>
      </w:r>
      <w:r>
        <w:t>6.6</w:t>
      </w:r>
      <w:r w:rsidRPr="004B38A7">
        <w:t xml:space="preserve"> million paired-end reads.  These 2x300bp paired-end reads were pre-processed as follows. The first 12bp of each paired-end containing the index sequences, were extracted and afterwards concatenated to dual-index barcodes of 24bp specific for each read-pair and sample. Sequencing reads were de-multiplexed using the ‘</w:t>
      </w:r>
      <w:proofErr w:type="spellStart"/>
      <w:r w:rsidRPr="004B38A7">
        <w:t>qiime</w:t>
      </w:r>
      <w:proofErr w:type="spellEnd"/>
      <w:r w:rsidRPr="004B38A7">
        <w:t xml:space="preserve"> </w:t>
      </w:r>
      <w:proofErr w:type="spellStart"/>
      <w:r w:rsidRPr="004B38A7">
        <w:t>demux</w:t>
      </w:r>
      <w:proofErr w:type="spellEnd"/>
      <w:r w:rsidRPr="004B38A7">
        <w:t xml:space="preserve"> </w:t>
      </w:r>
      <w:proofErr w:type="spellStart"/>
      <w:r w:rsidRPr="004B38A7">
        <w:t>emp</w:t>
      </w:r>
      <w:proofErr w:type="spellEnd"/>
      <w:r w:rsidRPr="004B38A7">
        <w:t>-paired’ command from the QIIME2 microbial community analysis pipeline (version 2018.8)</w:t>
      </w:r>
      <w:r w:rsidRPr="00F52DD1">
        <w:fldChar w:fldCharType="begin" w:fldLock="1"/>
      </w:r>
      <w:r>
        <w:instrText>ADDIN CSL_CITATION {"citationItems":[{"id":"ITEM-1","itemData":{"author":[{"dropping-particle":"","family":"Bolyen","given":"Evan","non-dropping-particle":"","parse-names":false,"suffix":""},{"dropping-particle":"","family":"Rideout","given":"Jai Ram","non-dropping-particle":"","parse-names":false,"suffix":""},{"dropping-particle":"","family":"Dillon","given":"Matthew R","non-dropping-particle":"","parse-names":false,"suffix":""},{"dropping-particle":"","family":"Bokulich","given":"Nicholas A","non-dropping-particle":"","parse-names":false,"suffix":""},{"dropping-particle":"","family":"Abnet","given":"Christian C","non-dropping-particle":"","parse-names":false,"suffix":""},{"dropping-particle":"","family":"Gabriel","given":"A","non-dropping-particle":"","parse-names":false,"suffix":""},{"dropping-particle":"","family":"Ghalith","given":"Al","non-dropping-particle":"","parse-names":false,"suffix":""},{"dropping-particle":"","family":"Alexander","given":"Harriet","non-dropping-particle":"","parse-names":false,"suffix":""},{"dropping-particle":"","family":"Alm","given":"Eric J","non-dropping-particle":"","parse-names":false,"suffix":""},{"dropping-particle":"","family":"Arumugam","given":"Manimozhiyan","non-dropping-particle":"","parse-names":false,"suffix":""},{"dropping-particle":"","family":"Asnicar","given":"Francesco","non-dropping-particle":"","parse-names":false,"suffix":""},{"dropping-particle":"","family":"Bai","given":"Yang","non-dropping-particle":"","parse-names":false,"suffix":""},{"dropping-particle":"","family":"Bisanz","given":"Jordan E","non-dropping-particle":"","parse-names":false,"suffix":""},{"dropping-particle":"","family":"Bittinger","given":"Kyle","non-dropping-particle":"","parse-names":false,"suffix":""},{"dropping-particle":"","family":"Brejnrod","given":"Asker","non-dropping-particle":"","parse-names":false,"suffix":""},{"dropping-particle":"","family":"Brislawn","given":"Colin J","non-dropping-particle":"","parse-names":false,"suffix":""},{"dropping-particle":"","family":"Brown","given":"C Titus","non-dropping-particle":"","parse-names":false,"suffix":""},{"dropping-particle":"","family":"Benjamin","given":"J","non-dropping-particle":"","parse-names":false,"suffix":""},{"dropping-particle":"","family":"Mauricio","given":"Andrés","non-dropping-particle":"","parse-names":false,"suffix":""},{"dropping-particle":"","family":"Rodríguez","given":"Caraballo","non-dropping-particle":"","parse-names":false,"suffix":""},{"dropping-particle":"","family":"Chase","given":"John","non-dropping-particle":"","parse-names":false,"suffix":""},{"dropping-particle":"","family":"Cope","given":"Emily K","non-dropping-particle":"","parse-names":false,"suffix":""},{"dropping-particle":"Da","family":"Silva","given":"Ricardo","non-dropping-particle":"","parse-names":false,"suffix":""},{"dropping-particle":"","family":"Dorrestein","given":"Pieter C","non-dropping-particle":"","parse-names":false,"suffix":""},{"dropping-particle":"","family":"Douglas","given":"Gavin M","non-dropping-particle":"","parse-names":false,"suffix":""},{"dropping-particle":"","family":"Durall","given":"Daniel M","non-dropping-particle":"","parse-names":false,"suffix":""},{"dropping-particle":"","family":"Duvallet","given":"Claire","non-dropping-particle":"","parse-names":false,"suffix":""},{"dropping-particle":"","family":"Edwardson","given":"Christian F","non-dropping-particle":"","parse-names":false,"suffix":""},{"dropping-particle":"","family":"Ernst","given":"Madeleine","non-dropping-particle":"","parse-names":false,"suffix":""},{"dropping-particle":"","family":"Estaki","given":"Mehrbod","non-dropping-particle":"","parse-names":false,"suffix":""},{"dropping-particle":"","family":"Fouquier","given":"Jennifer","non-dropping-particle":"","parse-names":false,"suffix":""},{"dropping-particle":"","family":"Gauglitz","given":"Julia M","non-dropping-particle":"","parse-names":false,"suffix":""},{"dropping-particle":"","family":"Gibson","given":"Deanna L","non-dropping-particle":"","parse-names":false,"suffix":""},{"dropping-particle":"","family":"Gorlick","given":"Kestrel","non-dropping-particle":"","parse-names":false,"suffix":""},{"dropping-particle":"","family":"Guo","given":"Jiarong","non-dropping-particle":"","parse-names":false,"suffix":""},{"dropping-particle":"","family":"Hillmann","given":"Benjamin","non-dropping-particle":"","parse-names":false,"suffix":""},{"dropping-particle":"","family":"Holmes","given":"Susan","non-dropping-particle":"","parse-names":false,"suffix":""},{"dropping-particle":"","family":"Holste","given":"Hannes","non-dropping-particle":"","parse-names":false,"suffix":""},{"dropping-particle":"","family":"Huttley","given":"Gavin A","non-dropping-particle":"","parse-names":false,"suffix":""},{"dropping-particle":"","family":"Janssen","given":"Stefan","non-dropping-particle":"","parse-names":false,"suffix":""},{"dropping-particle":"","family":"Jarmusch","given":"Alan K","non-dropping-particle":"","parse-names":false,"suffix":""},{"dropping-particle":"","family":"Jiang","given":"Lingjing","non-dropping-particle":"","parse-names":false,"suffix":""},{"dropping-particle":"","family":"Benjamin","given":"D","non-dropping-particle":"","parse-names":false,"suffix":""},{"dropping-particle":"Bin","family":"Kang","given":"Kyo","non-dropping-particle":"","parse-names":false,"suffix":""},{"dropping-particle":"","family":"Keefe","given":"Christopher R","non-dropping-particle":"","parse-names":false,"suffix":""},{"dropping-particle":"","family":"Keim","given":"Paul","non-dropping-particle":"","parse-names":false,"suffix":""},{"dropping-particle":"","family":"Kelley","given":"Scott T","non-dropping-particle":"","parse-names":false,"suffix":""},{"dropping-particle":"","family":"Knights","given":"Dan","non-dropping-particle":"","parse-names":false,"suffix":""},{"dropping-particle":"","family":"Loftfield","given":"Erikka","non-dropping-particle":"","parse-names":false,"suffix":""},{"dropping-particle":"","family":"Lozupone","given":"Catherine","non-dropping-particle":"","parse-names":false,"suffix":""},{"dropping-particle":"","family":"Maher","given":"Massoud","non-dropping-particle":"","parse-names":false,"suffix":""},{"dropping-particle":"","family":"Marotz","given":"Clarisse","non-dropping-particle":"","parse-names":false,"suffix":""},{"dropping-particle":"","family":"Martin","given":"Bryan D","non-dropping-particle":"","parse-names":false,"suffix":""},{"dropping-particle":"","family":"Metcalf","given":"Jessica L","non-dropping-particle":"","parse-names":false,"suffix":""},{"dropping-particle":"","family":"Morgan","given":"Sydney C","non-dropping-particle":"","parse-names":false,"suffix":""},{"dropping-particle":"","family":"Jamie","given":"T","non-dropping-particle":"","parse-names":false,"suffix":""},{"dropping-particle":"","family":"Nothias","given":"Louis Felix","non-dropping-particle":"","parse-names":false,"suffix":""},{"dropping-particle":"","family":"Orchanian","given":"Stephanie B","non-dropping-particle":"","parse-names":false,"suffix":""},{"dropping-particle":"","family":"Segata","given":"Nicola","non-dropping-particle":"","parse-names":false,"suffix":""},{"dropping-particle":"","family":"Willis","given":"Amy D","non-dropping-particle":"","parse-names":false,"suffix":""}],"container-title":"PeerJ Preprints","id":"ITEM-1","issued":{"date-parts":[["2018"]]},"title":"QIIME 2 : Reproducible , interactive , scalable , and extensible microbiome data science","type":"article-journal"},"uris":["http://www.mendeley.com/documents/?uuid=cdba704f-718d-4527-b88b-8be6fc47eaef"]}],"mendeley":{"formattedCitation":"&lt;sup&gt;4&lt;/sup&gt;","plainTextFormattedCitation":"4","previouslyFormattedCitation":"(5)"},"properties":{"noteIndex":0},"schema":"https://github.com/citation-style-language/schema/raw/master/csl-citation.json"}</w:instrText>
      </w:r>
      <w:r w:rsidRPr="00F52DD1">
        <w:fldChar w:fldCharType="separate"/>
      </w:r>
      <w:r w:rsidRPr="00FB68D4">
        <w:rPr>
          <w:noProof/>
          <w:vertAlign w:val="superscript"/>
        </w:rPr>
        <w:t>4</w:t>
      </w:r>
      <w:r w:rsidRPr="00F52DD1">
        <w:fldChar w:fldCharType="end"/>
      </w:r>
      <w:r w:rsidRPr="004B38A7">
        <w:t>. The DADA2</w:t>
      </w:r>
      <w:r w:rsidRPr="00F52DD1">
        <w:fldChar w:fldCharType="begin" w:fldLock="1"/>
      </w:r>
      <w:r>
        <w:instrText>ADDIN CSL_CITATION {"citationItems":[{"id":"ITEM-1","itemData":{"DOI":"10.1038/nmeth.3869","author":[{"dropping-particle":"","family":"Callahan","given":"Benjamin J","non-dropping-particle":"","parse-names":false,"suffix":""},{"dropping-particle":"","family":"Mcmurdie","given":"Paul J","non-dropping-particle":"","parse-names":false,"suffix":""},{"dropping-particle":"","family":"Rosen","given":"Michael J","non-dropping-particle":"","parse-names":false,"suffix":""},{"dropping-particle":"","family":"Han","given":"Andrew W","non-dropping-particle":"","parse-names":false,"suffix":""},{"dropping-particle":"","family":"Johnson","given":"Amy Jo A","non-dropping-particle":"","parse-names":false,"suffix":""},{"dropping-particle":"","family":"Holmes","given":"Susan P","non-dropping-particle":"","parse-names":false,"suffix":""}],"container-title":"Nature Methods","id":"ITEM-1","issue":"7","issued":{"date-parts":[["2016"]]},"page":"581-587","title":"DADA2 : High-resolution sample inference from Illumina amplicon data","type":"article-journal","volume":"13"},"uris":["http://www.mendeley.com/documents/?uuid=8c534810-7dbe-4097-aeb6-f60d6772f541"]}],"mendeley":{"formattedCitation":"&lt;sup&gt;5&lt;/sup&gt;","plainTextFormattedCitation":"5","previouslyFormattedCitation":"(6)"},"properties":{"noteIndex":0},"schema":"https://github.com/citation-style-language/schema/raw/master/csl-citation.json"}</w:instrText>
      </w:r>
      <w:r w:rsidRPr="00F52DD1">
        <w:fldChar w:fldCharType="separate"/>
      </w:r>
      <w:r w:rsidRPr="00FB68D4">
        <w:rPr>
          <w:noProof/>
          <w:vertAlign w:val="superscript"/>
        </w:rPr>
        <w:t>5</w:t>
      </w:r>
      <w:r w:rsidRPr="00F52DD1">
        <w:fldChar w:fldCharType="end"/>
      </w:r>
      <w:r w:rsidRPr="004B38A7">
        <w:t xml:space="preserve"> pipeline in QIIME2 using the command ‘</w:t>
      </w:r>
      <w:proofErr w:type="spellStart"/>
      <w:r w:rsidRPr="004B38A7">
        <w:t>qiime</w:t>
      </w:r>
      <w:proofErr w:type="spellEnd"/>
      <w:r w:rsidRPr="004B38A7">
        <w:t xml:space="preserve"> dada2 </w:t>
      </w:r>
      <w:proofErr w:type="spellStart"/>
      <w:r w:rsidRPr="004B38A7">
        <w:t>denoise</w:t>
      </w:r>
      <w:proofErr w:type="spellEnd"/>
      <w:r w:rsidRPr="004B38A7">
        <w:t>-paired’ (with the options --p-trim-left-f 21 --p-trim-left-r 21 --p-</w:t>
      </w:r>
      <w:proofErr w:type="spellStart"/>
      <w:r w:rsidRPr="004B38A7">
        <w:t>trunc</w:t>
      </w:r>
      <w:proofErr w:type="spellEnd"/>
      <w:r w:rsidRPr="004B38A7">
        <w:t>-</w:t>
      </w:r>
      <w:proofErr w:type="spellStart"/>
      <w:r w:rsidRPr="004B38A7">
        <w:t>len</w:t>
      </w:r>
      <w:proofErr w:type="spellEnd"/>
      <w:r w:rsidRPr="004B38A7">
        <w:t>-f 275 --p-</w:t>
      </w:r>
      <w:proofErr w:type="spellStart"/>
      <w:r w:rsidRPr="004B38A7">
        <w:t>trunc</w:t>
      </w:r>
      <w:proofErr w:type="spellEnd"/>
      <w:r w:rsidRPr="004B38A7">
        <w:t>-</w:t>
      </w:r>
      <w:proofErr w:type="spellStart"/>
      <w:r w:rsidRPr="004B38A7">
        <w:t>len</w:t>
      </w:r>
      <w:proofErr w:type="spellEnd"/>
      <w:r w:rsidRPr="004B38A7">
        <w:t xml:space="preserve">-r 260) was then used for read quality filtering, removal of sequencing primers, paired-end reads merging, generating amplicon sequencing variants (ASVs) and the removal of chimeric sequences. After these steps, and removal of the control samples, a total of 3.2 million sequences were retained, with a mean amount of 19.3k per sample. The obtained ASVs (7351 in total) were aligned to the SILVA 16S </w:t>
      </w:r>
      <w:proofErr w:type="spellStart"/>
      <w:r w:rsidRPr="004B38A7">
        <w:t>rRNA</w:t>
      </w:r>
      <w:proofErr w:type="spellEnd"/>
      <w:r w:rsidRPr="004B38A7">
        <w:t xml:space="preserve"> gene database</w:t>
      </w:r>
      <w:r w:rsidRPr="00F52DD1">
        <w:fldChar w:fldCharType="begin" w:fldLock="1"/>
      </w:r>
      <w:r>
        <w:instrText>ADDIN CSL_CITATION {"citationItems":[{"id":"ITEM-1","itemData":{"DOI":"10.1093/nar/gks1219","author":[{"dropping-particle":"","family":"Quast","given":"Christian","non-dropping-particle":"","parse-names":false,"suffix":""},{"dropping-particle":"","family":"Pruesse","given":"Elmar","non-dropping-particle":"","parse-names":false,"suffix":""},{"dropping-particle":"","family":"Yilmaz","given":"Pelin","non-dropping-particle":"","parse-names":false,"suffix":""},{"dropping-particle":"","family":"Gerken","given":"Jan","non-dropping-particle":"","parse-names":false,"suffix":""},{"dropping-particle":"","family":"Schweer","given":"Timmy","non-dropping-particle":"","parse-names":false,"suffix":""},{"dropping-particle":"","family":"Glo","given":"Frank Oliver","non-dropping-particle":"","parse-names":false,"suffix":""},{"dropping-particle":"","family":"Yarza","given":"Pablo","non-dropping-particle":"","parse-names":false,"suffix":""}],"container-title":"Nucleic Acids Research","id":"ITEM-1","issued":{"date-parts":[["2013"]]},"page":"590-596","title":"The SILVA ribosomal RNA gene database project : improved data processing and web-based tools","type":"article-journal","volume":"41"},"uris":["http://www.mendeley.com/documents/?uuid=0d6cdb14-9297-4ea3-b759-4618d1317860"]}],"mendeley":{"formattedCitation":"&lt;sup&gt;6&lt;/sup&gt;","plainTextFormattedCitation":"6","previouslyFormattedCitation":"(7)"},"properties":{"noteIndex":0},"schema":"https://github.com/citation-style-language/schema/raw/master/csl-citation.json"}</w:instrText>
      </w:r>
      <w:r w:rsidRPr="00F52DD1">
        <w:fldChar w:fldCharType="separate"/>
      </w:r>
      <w:r w:rsidRPr="00FB68D4">
        <w:rPr>
          <w:noProof/>
          <w:vertAlign w:val="superscript"/>
        </w:rPr>
        <w:t>6</w:t>
      </w:r>
      <w:r w:rsidRPr="00F52DD1">
        <w:fldChar w:fldCharType="end"/>
      </w:r>
      <w:r w:rsidRPr="004B38A7">
        <w:t xml:space="preserve"> (SILVA 132) using the command ‘</w:t>
      </w:r>
      <w:proofErr w:type="spellStart"/>
      <w:r w:rsidRPr="004B38A7">
        <w:t>qiime</w:t>
      </w:r>
      <w:proofErr w:type="spellEnd"/>
      <w:r w:rsidRPr="004B38A7">
        <w:t xml:space="preserve"> feature-classifier classify-</w:t>
      </w:r>
      <w:proofErr w:type="spellStart"/>
      <w:r w:rsidRPr="004B38A7">
        <w:t>sklearn</w:t>
      </w:r>
      <w:proofErr w:type="spellEnd"/>
      <w:r w:rsidRPr="004B38A7">
        <w:t xml:space="preserve">’. Samples with total read count below 8.000 were considered to have insufficient coverage and were removed from further analysis. </w:t>
      </w:r>
    </w:p>
    <w:p w14:paraId="6E9FE877" w14:textId="77777777" w:rsidR="00397154" w:rsidRDefault="00397154" w:rsidP="00397154">
      <w:pPr>
        <w:spacing w:line="480" w:lineRule="auto"/>
      </w:pPr>
      <w:r w:rsidRPr="004B38A7">
        <w:lastRenderedPageBreak/>
        <w:t xml:space="preserve">Three water contaminants were detected across the 38 negative control samples: </w:t>
      </w:r>
      <w:proofErr w:type="spellStart"/>
      <w:r w:rsidRPr="004B38A7">
        <w:rPr>
          <w:i/>
        </w:rPr>
        <w:t>Halomonas</w:t>
      </w:r>
      <w:proofErr w:type="spellEnd"/>
      <w:r w:rsidRPr="004B38A7">
        <w:rPr>
          <w:i/>
        </w:rPr>
        <w:t xml:space="preserve"> </w:t>
      </w:r>
      <w:r w:rsidRPr="004B38A7">
        <w:t xml:space="preserve">(average read count in negative controls 496; in patient samples 21), </w:t>
      </w:r>
      <w:r w:rsidRPr="004B38A7">
        <w:rPr>
          <w:i/>
        </w:rPr>
        <w:t xml:space="preserve">Pseudomonas </w:t>
      </w:r>
      <w:r w:rsidRPr="004B38A7">
        <w:t xml:space="preserve">(average read count in negative controls 132; in patient samples 44), </w:t>
      </w:r>
      <w:proofErr w:type="spellStart"/>
      <w:r w:rsidRPr="004B38A7">
        <w:rPr>
          <w:i/>
        </w:rPr>
        <w:t>Shewanella</w:t>
      </w:r>
      <w:proofErr w:type="spellEnd"/>
      <w:r w:rsidRPr="004B38A7">
        <w:rPr>
          <w:i/>
        </w:rPr>
        <w:t xml:space="preserve"> algae </w:t>
      </w:r>
      <w:r w:rsidRPr="004B38A7">
        <w:t xml:space="preserve">(average read count in negative controls 424; in patient samples 71).  </w:t>
      </w:r>
      <w:r w:rsidRPr="004B38A7">
        <w:rPr>
          <w:i/>
        </w:rPr>
        <w:t>Pseudomonas</w:t>
      </w:r>
      <w:r w:rsidRPr="004B38A7">
        <w:t xml:space="preserve"> and </w:t>
      </w:r>
      <w:proofErr w:type="spellStart"/>
      <w:r w:rsidRPr="004B38A7">
        <w:rPr>
          <w:i/>
        </w:rPr>
        <w:t>Halomonas</w:t>
      </w:r>
      <w:proofErr w:type="spellEnd"/>
      <w:r w:rsidRPr="004B38A7">
        <w:t xml:space="preserve"> were not identified to the species level. In order to correct for the contamination, the genera </w:t>
      </w:r>
      <w:proofErr w:type="spellStart"/>
      <w:r w:rsidRPr="004B38A7">
        <w:rPr>
          <w:i/>
        </w:rPr>
        <w:t>Halomonas</w:t>
      </w:r>
      <w:proofErr w:type="spellEnd"/>
      <w:r w:rsidRPr="004B38A7">
        <w:t xml:space="preserve">, </w:t>
      </w:r>
      <w:r w:rsidRPr="004B38A7">
        <w:rPr>
          <w:i/>
        </w:rPr>
        <w:t>Pseudomonas</w:t>
      </w:r>
      <w:r w:rsidRPr="004B38A7">
        <w:t xml:space="preserve"> and </w:t>
      </w:r>
      <w:proofErr w:type="spellStart"/>
      <w:r w:rsidRPr="004B38A7">
        <w:rPr>
          <w:i/>
        </w:rPr>
        <w:t>Shewanella</w:t>
      </w:r>
      <w:proofErr w:type="spellEnd"/>
      <w:r w:rsidRPr="004B38A7">
        <w:t xml:space="preserve"> were removed from all further analyses.</w:t>
      </w:r>
    </w:p>
    <w:p w14:paraId="07A615DE" w14:textId="77777777" w:rsidR="00397154" w:rsidRPr="004B38A7" w:rsidRDefault="00397154" w:rsidP="00397154">
      <w:pPr>
        <w:spacing w:line="480" w:lineRule="auto"/>
      </w:pPr>
      <w:r>
        <w:t xml:space="preserve">Raw sequencing data will be made available on the European Nucleotide Archive, project code </w:t>
      </w:r>
      <w:r w:rsidRPr="0012064D">
        <w:t>PRJEB34684</w:t>
      </w:r>
      <w:r>
        <w:t>.</w:t>
      </w:r>
    </w:p>
    <w:p w14:paraId="09A1AA10" w14:textId="5E259091" w:rsidR="00397154" w:rsidRPr="004B38A7" w:rsidRDefault="00397154" w:rsidP="00397154">
      <w:pPr>
        <w:spacing w:line="480" w:lineRule="auto"/>
        <w:rPr>
          <w:b/>
        </w:rPr>
      </w:pPr>
      <w:r>
        <w:rPr>
          <w:b/>
        </w:rPr>
        <w:t>1.5</w:t>
      </w:r>
      <w:r>
        <w:rPr>
          <w:b/>
        </w:rPr>
        <w:tab/>
      </w:r>
      <w:r w:rsidRPr="004B38A7">
        <w:rPr>
          <w:b/>
        </w:rPr>
        <w:t>Chest CT scores</w:t>
      </w:r>
    </w:p>
    <w:p w14:paraId="1A05D512" w14:textId="77777777" w:rsidR="00397154" w:rsidRPr="004B38A7" w:rsidRDefault="00397154" w:rsidP="00397154">
      <w:pPr>
        <w:spacing w:line="480" w:lineRule="auto"/>
      </w:pPr>
      <w:r w:rsidRPr="004B38A7">
        <w:t xml:space="preserve">HRCT scans were performed for routine diagnostic screening every 5 years. For </w:t>
      </w:r>
      <w:r>
        <w:t>74</w:t>
      </w:r>
      <w:r w:rsidRPr="004B38A7">
        <w:t xml:space="preserve"> patients, one scan closest to time of oropharyngeal sampling was scored by a pulmonary radiologist (F.M.H.) for AD and ILD in each lobe using a previously published scoring system </w:t>
      </w:r>
      <w:r w:rsidRPr="004B38A7">
        <w:fldChar w:fldCharType="begin" w:fldLock="1"/>
      </w:r>
      <w:r>
        <w:instrText>ADDIN CSL_CITATION {"citationItems":[{"id":"ITEM-1","itemData":{"DOI":"10.1378/chest.09-2398","ISSN":"0012-3692","author":[{"dropping-particle":"Van De","family":"Ven","given":"Annick A J M","non-dropping-particle":"","parse-names":false,"suffix":""},{"dropping-particle":"Van","family":"Montfrans","given":"Joris M","non-dropping-particle":"","parse-names":false,"suffix":""}],"container-title":"CHEST","id":"ITEM-1","issue":"2","issued":{"date-parts":[["2010"]]},"page":"371-379","publisher":"The American College of Chest Physicians","title":"A CT Scan Score for the Assessment of Lung Disease in Children With Common Variable Immunodeficiency Disorders","type":"article-journal","volume":"138"},"uris":["http://www.mendeley.com/documents/?uuid=ef098f29-1c12-4bb9-b906-deadb5ab48ef"]},{"id":"ITEM-2","itemData":{"DOI":"10.1007/s10875-014-0068-6","author":[{"dropping-particle":"","family":"Maarschalk-Ellerbroek","given":"L. J.","non-dropping-particle":"","parse-names":false,"suffix":""},{"dropping-particle":"","family":"Jong","given":"P. A.","non-dropping-particle":"de","parse-names":false,"suffix":""},{"dropping-particle":"","family":"Montfrans","given":"J. M.","non-dropping-particle":"Van","parse-names":false,"suffix":""},{"dropping-particle":"","family":"Lammers","given":"J. W. J.","non-dropping-particle":"","parse-names":false,"suffix":""},{"dropping-particle":"","family":"Bloem","given":"A. C.","non-dropping-particle":"","parse-names":false,"suffix":""},{"dropping-particle":"","family":"Hoepelman","given":"A. I.M.","non-dropping-particle":"","parse-names":false,"suffix":""},{"dropping-particle":"","family":"Ellerbroek","given":"P. M.","non-dropping-particle":"","parse-names":false,"suffix":""}],"container-title":"Journal of Clinical Immunology","id":"ITEM-2","issued":{"date-parts":[["2014"]]},"page":"642-654","title":"CT Screening for Pulmonary Pathology in Common Variable Immunodeficiency Disorders and the Correlation with Clinical and Immunological Parameters","type":"article-journal","volume":"34"},"uris":["http://www.mendeley.com/documents/?uuid=a72d3e97-e3e9-4390-9508-ad5e02292d73"]}],"mendeley":{"formattedCitation":"&lt;sup&gt;7,8&lt;/sup&gt;","plainTextFormattedCitation":"7,8","previouslyFormattedCitation":"(8, 9)"},"properties":{"noteIndex":0},"schema":"https://github.com/citation-style-language/schema/raw/master/csl-citation.json"}</w:instrText>
      </w:r>
      <w:r w:rsidRPr="004B38A7">
        <w:fldChar w:fldCharType="separate"/>
      </w:r>
      <w:r w:rsidRPr="00FB68D4">
        <w:rPr>
          <w:noProof/>
          <w:vertAlign w:val="superscript"/>
        </w:rPr>
        <w:t>7,8</w:t>
      </w:r>
      <w:r w:rsidRPr="004B38A7">
        <w:fldChar w:fldCharType="end"/>
      </w:r>
      <w:r w:rsidRPr="004B38A7">
        <w:t xml:space="preserve">. AD was scored as extent and severity of bronchiectasis, airway wall thickening, mucus plugging, tree-in-bud and </w:t>
      </w:r>
      <w:proofErr w:type="spellStart"/>
      <w:r w:rsidRPr="004B38A7">
        <w:t>airtrapping</w:t>
      </w:r>
      <w:proofErr w:type="spellEnd"/>
      <w:r w:rsidRPr="004B38A7">
        <w:t xml:space="preserve">. ILD was scored as extent and severity of opacities, ground glass, septa thickening and lung nodules. The obtained score was </w:t>
      </w:r>
      <w:proofErr w:type="spellStart"/>
      <w:r w:rsidRPr="004B38A7">
        <w:t>normalised</w:t>
      </w:r>
      <w:proofErr w:type="spellEnd"/>
      <w:r w:rsidRPr="004B38A7">
        <w:t xml:space="preserve"> by the maximum obtainable score. For one patient who had undergone lobectomy and one with atelectasis of a single lobe, the maximum obtainable score was adapted to exclude the missing lobe. In thirteen cases where expiratory scans were not available, </w:t>
      </w:r>
      <w:proofErr w:type="spellStart"/>
      <w:r w:rsidRPr="004B38A7">
        <w:t>airtrapping</w:t>
      </w:r>
      <w:proofErr w:type="spellEnd"/>
      <w:r w:rsidRPr="004B38A7">
        <w:t xml:space="preserve"> could not be evaluated and </w:t>
      </w:r>
      <w:r>
        <w:t>this element was removed from the score.</w:t>
      </w:r>
    </w:p>
    <w:p w14:paraId="6CCBE249" w14:textId="6227F4B3" w:rsidR="00397154" w:rsidRPr="004B38A7" w:rsidRDefault="00397154" w:rsidP="00397154">
      <w:pPr>
        <w:pStyle w:val="Kop2"/>
        <w:numPr>
          <w:ilvl w:val="0"/>
          <w:numId w:val="0"/>
        </w:numPr>
        <w:spacing w:line="480" w:lineRule="auto"/>
        <w:rPr>
          <w:b w:val="0"/>
        </w:rPr>
      </w:pPr>
      <w:r>
        <w:t>1.6</w:t>
      </w:r>
      <w:r>
        <w:tab/>
      </w:r>
      <w:r w:rsidRPr="004B38A7">
        <w:t xml:space="preserve">Data analysis and statistical methods </w:t>
      </w:r>
    </w:p>
    <w:p w14:paraId="64B5070C" w14:textId="77777777" w:rsidR="00397154" w:rsidRPr="00397154" w:rsidRDefault="00397154" w:rsidP="00397154">
      <w:pPr>
        <w:pStyle w:val="Kop2"/>
        <w:numPr>
          <w:ilvl w:val="0"/>
          <w:numId w:val="0"/>
        </w:numPr>
        <w:spacing w:before="0" w:line="480" w:lineRule="auto"/>
        <w:rPr>
          <w:b w:val="0"/>
        </w:rPr>
      </w:pPr>
      <w:r>
        <w:tab/>
      </w:r>
      <w:r w:rsidRPr="00397154">
        <w:rPr>
          <w:b w:val="0"/>
        </w:rPr>
        <w:t xml:space="preserve">All analyses were performed using </w:t>
      </w:r>
      <w:r w:rsidRPr="00397154">
        <w:rPr>
          <w:b w:val="0"/>
          <w:u w:color="000000"/>
        </w:rPr>
        <w:t>R 3.2.0</w:t>
      </w:r>
      <w:r w:rsidRPr="00397154">
        <w:rPr>
          <w:b w:val="0"/>
          <w:bCs/>
          <w:u w:color="000000"/>
        </w:rPr>
        <w:fldChar w:fldCharType="begin" w:fldLock="1"/>
      </w:r>
      <w:r w:rsidRPr="00397154">
        <w:rPr>
          <w:b w:val="0"/>
          <w:u w:color="000000"/>
        </w:rPr>
        <w:instrText>ADDIN CSL_CITATION {"citationItems":[{"id":"ITEM-1","itemData":{"author":[{"dropping-particle":"","family":"R Foundation for Statistical Computing, Vienna","given":"Austria.","non-dropping-particle":"","parse-names":false,"suffix":""}],"id":"ITEM-1","issued":{"date-parts":[["2018"]]},"title":"R: A language and environment for statistical computing.","type":"article"},"uris":["http://www.mendeley.com/documents/?uuid=a53178ed-5fd0-4c36-98ab-2142f4f26887"]}],"mendeley":{"formattedCitation":"&lt;sup&gt;9&lt;/sup&gt;","plainTextFormattedCitation":"9","previouslyFormattedCitation":"(10)"},"properties":{"noteIndex":0},"schema":"https://github.com/citation-style-language/schema/raw/master/csl-citation.json"}</w:instrText>
      </w:r>
      <w:r w:rsidRPr="00397154">
        <w:rPr>
          <w:b w:val="0"/>
          <w:bCs/>
          <w:u w:color="000000"/>
        </w:rPr>
        <w:fldChar w:fldCharType="separate"/>
      </w:r>
      <w:r w:rsidRPr="00397154">
        <w:rPr>
          <w:b w:val="0"/>
          <w:noProof/>
          <w:u w:color="000000"/>
          <w:vertAlign w:val="superscript"/>
        </w:rPr>
        <w:t>9</w:t>
      </w:r>
      <w:r w:rsidRPr="00397154">
        <w:rPr>
          <w:b w:val="0"/>
          <w:bCs/>
          <w:u w:color="000000"/>
        </w:rPr>
        <w:fldChar w:fldCharType="end"/>
      </w:r>
      <w:r w:rsidRPr="00397154">
        <w:rPr>
          <w:b w:val="0"/>
          <w:u w:color="000000"/>
        </w:rPr>
        <w:t xml:space="preserve">, and made publically available on our group’s </w:t>
      </w:r>
      <w:proofErr w:type="spellStart"/>
      <w:r w:rsidRPr="00397154">
        <w:rPr>
          <w:b w:val="0"/>
          <w:u w:color="000000"/>
        </w:rPr>
        <w:t>Gitlab</w:t>
      </w:r>
      <w:proofErr w:type="spellEnd"/>
      <w:r w:rsidRPr="00397154">
        <w:rPr>
          <w:b w:val="0"/>
          <w:u w:color="000000"/>
        </w:rPr>
        <w:t xml:space="preserve"> page: </w:t>
      </w:r>
      <w:hyperlink r:id="rId9" w:history="1">
        <w:r w:rsidRPr="00397154">
          <w:rPr>
            <w:rStyle w:val="Hyperlink"/>
            <w:b w:val="0"/>
            <w:u w:color="000000"/>
          </w:rPr>
          <w:t>www.gitlab.com/rberbers/cvid_mbiota_oral</w:t>
        </w:r>
      </w:hyperlink>
      <w:r w:rsidRPr="00397154">
        <w:rPr>
          <w:b w:val="0"/>
          <w:u w:color="000000"/>
        </w:rPr>
        <w:t xml:space="preserve"> </w:t>
      </w:r>
      <w:r w:rsidRPr="00397154">
        <w:rPr>
          <w:b w:val="0"/>
        </w:rPr>
        <w:t xml:space="preserve">. Continuous baseline parameters, bacterial load, alpha diversity and AD/ILD scores were compared using the Mann-Whitney rank test or </w:t>
      </w:r>
      <w:r w:rsidRPr="00397154">
        <w:rPr>
          <w:b w:val="0"/>
        </w:rPr>
        <w:lastRenderedPageBreak/>
        <w:t xml:space="preserve">Student’s t-test depending on distribution of the data. Categorical variables were compared using a two-tailed Fisher’s exact test. Alpha diversity was calculating using the inverse Simpson index using the package </w:t>
      </w:r>
      <w:r w:rsidRPr="00397154">
        <w:rPr>
          <w:b w:val="0"/>
          <w:i/>
        </w:rPr>
        <w:t>vegan</w:t>
      </w:r>
      <w:r w:rsidRPr="00397154">
        <w:rPr>
          <w:b w:val="0"/>
        </w:rPr>
        <w:t xml:space="preserve">. </w:t>
      </w:r>
      <w:r w:rsidRPr="00397154">
        <w:rPr>
          <w:b w:val="0"/>
          <w:color w:val="000000"/>
          <w:u w:color="000000"/>
        </w:rPr>
        <w:t xml:space="preserve">Principal Component Analysis (PCA) was performed using the </w:t>
      </w:r>
      <w:proofErr w:type="spellStart"/>
      <w:r w:rsidRPr="00397154">
        <w:rPr>
          <w:b w:val="0"/>
          <w:i/>
          <w:color w:val="000000"/>
          <w:u w:color="000000"/>
        </w:rPr>
        <w:t>prcomp</w:t>
      </w:r>
      <w:proofErr w:type="spellEnd"/>
      <w:r w:rsidRPr="00397154">
        <w:rPr>
          <w:b w:val="0"/>
          <w:color w:val="000000"/>
          <w:u w:color="000000"/>
        </w:rPr>
        <w:t xml:space="preserve"> function on the centered log ratio (CLR) transformed data</w:t>
      </w:r>
      <w:r w:rsidRPr="00397154">
        <w:rPr>
          <w:b w:val="0"/>
          <w:bCs/>
          <w:color w:val="000000"/>
          <w:u w:color="000000"/>
        </w:rPr>
        <w:fldChar w:fldCharType="begin" w:fldLock="1"/>
      </w:r>
      <w:r w:rsidRPr="00397154">
        <w:rPr>
          <w:b w:val="0"/>
          <w:color w:val="000000"/>
          <w:u w:color="000000"/>
        </w:rPr>
        <w:instrText>ADDIN CSL_CITATION {"citationItems":[{"id":"ITEM-1","itemData":{"author":[{"dropping-particle":"","family":"Aitchison","given":"J","non-dropping-particle":"","parse-names":false,"suffix":""}],"id":"ITEM-1","issued":{"date-parts":[["1986"]]},"number-of-pages":"416 p","publisher":"Chapman &amp; Hall Ltd., London","title":"The statistical analysis of compositional data: Monographs on statistics and applied probability","type":"book"},"uris":["http://www.mendeley.com/documents/?uuid=bf2dde3d-292f-4b45-8e97-657c2a7f6fec"]}],"mendeley":{"formattedCitation":"&lt;sup&gt;10&lt;/sup&gt;","plainTextFormattedCitation":"10","previouslyFormattedCitation":"(11)"},"properties":{"noteIndex":0},"schema":"https://github.com/citation-style-language/schema/raw/master/csl-citation.json"}</w:instrText>
      </w:r>
      <w:r w:rsidRPr="00397154">
        <w:rPr>
          <w:b w:val="0"/>
          <w:bCs/>
          <w:color w:val="000000"/>
          <w:u w:color="000000"/>
        </w:rPr>
        <w:fldChar w:fldCharType="separate"/>
      </w:r>
      <w:r w:rsidRPr="00397154">
        <w:rPr>
          <w:b w:val="0"/>
          <w:noProof/>
          <w:color w:val="000000"/>
          <w:u w:color="000000"/>
          <w:vertAlign w:val="superscript"/>
        </w:rPr>
        <w:t>10</w:t>
      </w:r>
      <w:r w:rsidRPr="00397154">
        <w:rPr>
          <w:b w:val="0"/>
          <w:bCs/>
          <w:color w:val="000000"/>
          <w:u w:color="000000"/>
        </w:rPr>
        <w:fldChar w:fldCharType="end"/>
      </w:r>
      <w:r w:rsidRPr="00397154">
        <w:rPr>
          <w:b w:val="0"/>
          <w:color w:val="000000"/>
          <w:u w:color="000000"/>
        </w:rPr>
        <w:t>. Count zero multiplicative replacement (CZM) from the package</w:t>
      </w:r>
      <w:r w:rsidRPr="00397154">
        <w:rPr>
          <w:b w:val="0"/>
          <w:i/>
          <w:color w:val="000000"/>
          <w:u w:color="000000"/>
        </w:rPr>
        <w:t xml:space="preserve"> </w:t>
      </w:r>
      <w:proofErr w:type="spellStart"/>
      <w:r w:rsidRPr="00397154">
        <w:rPr>
          <w:b w:val="0"/>
          <w:i/>
          <w:color w:val="000000"/>
          <w:u w:color="000000"/>
        </w:rPr>
        <w:t>zCompositions</w:t>
      </w:r>
      <w:proofErr w:type="spellEnd"/>
      <w:r w:rsidRPr="00397154">
        <w:rPr>
          <w:b w:val="0"/>
          <w:color w:val="000000"/>
          <w:u w:color="000000"/>
        </w:rPr>
        <w:t xml:space="preserve"> was used to replace zeroes prior to CLR transformation. PERMANOVA was used to detect overall differences in PCA using the </w:t>
      </w:r>
      <w:proofErr w:type="spellStart"/>
      <w:r w:rsidRPr="00397154">
        <w:rPr>
          <w:b w:val="0"/>
          <w:i/>
          <w:color w:val="000000"/>
          <w:u w:color="000000"/>
        </w:rPr>
        <w:t>adonis</w:t>
      </w:r>
      <w:proofErr w:type="spellEnd"/>
      <w:r w:rsidRPr="00397154">
        <w:rPr>
          <w:b w:val="0"/>
          <w:color w:val="000000"/>
          <w:u w:color="000000"/>
        </w:rPr>
        <w:t xml:space="preserve"> function in </w:t>
      </w:r>
      <w:r w:rsidRPr="00397154">
        <w:rPr>
          <w:b w:val="0"/>
          <w:i/>
          <w:color w:val="000000"/>
          <w:u w:color="000000"/>
        </w:rPr>
        <w:t>vegan</w:t>
      </w:r>
      <w:r w:rsidRPr="00397154">
        <w:rPr>
          <w:b w:val="0"/>
          <w:color w:val="000000"/>
          <w:u w:color="000000"/>
        </w:rPr>
        <w:t xml:space="preserve">. </w:t>
      </w:r>
      <w:r w:rsidRPr="00397154">
        <w:rPr>
          <w:b w:val="0"/>
        </w:rPr>
        <w:t>Differential abundance testing was performed using ANCOM</w:t>
      </w:r>
      <w:r w:rsidRPr="00397154">
        <w:rPr>
          <w:b w:val="0"/>
        </w:rPr>
        <w:fldChar w:fldCharType="begin" w:fldLock="1"/>
      </w:r>
      <w:r w:rsidRPr="00397154">
        <w:rPr>
          <w:b w:val="0"/>
        </w:rPr>
        <w:instrText>ADDIN CSL_CITATION {"citationItems":[{"id":"ITEM-1","itemData":{"DOI":"10.3389/fmicb.2017.02114","author":[{"dropping-particle":"","family":"Kaul","given":"Abhishek","non-dropping-particle":"","parse-names":false,"suffix":""},{"dropping-particle":"","family":"Mandal","given":"Siddhartha","non-dropping-particle":"","parse-names":false,"suffix":""},{"dropping-particle":"","family":"Davidov","given":"Ori","non-dropping-particle":"","parse-names":false,"suffix":""},{"dropping-particle":"","family":"Peddada","given":"Shyamal D","non-dropping-particle":"","parse-names":false,"suffix":""}],"container-title":"frontiers in Microbiology","id":"ITEM-1","issue":"November","issued":{"date-parts":[["2017"]]},"page":"2114","title":"Analysis of Microbiome Data in the Presence of Excess Zeros","type":"article-journal","volume":"8"},"uris":["http://www.mendeley.com/documents/?uuid=72520e7e-1bea-4d65-b9f1-939a32f3d269"]}],"mendeley":{"formattedCitation":"&lt;sup&gt;11&lt;/sup&gt;","plainTextFormattedCitation":"11","previouslyFormattedCitation":"(12)"},"properties":{"noteIndex":0},"schema":"https://github.com/citation-style-language/schema/raw/master/csl-citation.json"}</w:instrText>
      </w:r>
      <w:r w:rsidRPr="00397154">
        <w:rPr>
          <w:b w:val="0"/>
        </w:rPr>
        <w:fldChar w:fldCharType="separate"/>
      </w:r>
      <w:r w:rsidRPr="00397154">
        <w:rPr>
          <w:b w:val="0"/>
          <w:noProof/>
          <w:vertAlign w:val="superscript"/>
        </w:rPr>
        <w:t>11</w:t>
      </w:r>
      <w:r w:rsidRPr="00397154">
        <w:rPr>
          <w:b w:val="0"/>
        </w:rPr>
        <w:fldChar w:fldCharType="end"/>
      </w:r>
      <w:r w:rsidRPr="00397154">
        <w:rPr>
          <w:b w:val="0"/>
          <w:u w:color="000000"/>
        </w:rPr>
        <w:t xml:space="preserve"> with </w:t>
      </w:r>
      <w:proofErr w:type="spellStart"/>
      <w:r w:rsidRPr="00397154">
        <w:rPr>
          <w:b w:val="0"/>
          <w:color w:val="000000"/>
          <w:u w:color="000000"/>
        </w:rPr>
        <w:t>Benjamini</w:t>
      </w:r>
      <w:proofErr w:type="spellEnd"/>
      <w:r w:rsidRPr="00397154">
        <w:rPr>
          <w:b w:val="0"/>
          <w:color w:val="000000"/>
          <w:u w:color="000000"/>
        </w:rPr>
        <w:t xml:space="preserve">-Hochberg correction for multiple testing using an alpha of 0.05 as a threshold for significance. Variables with percentage zeroes greater than 25% of all samples were excluded from analysis. All ANCOM analyses were corrected for age and gender. </w:t>
      </w:r>
    </w:p>
    <w:p w14:paraId="0FDC5338" w14:textId="77777777" w:rsidR="00397154" w:rsidRPr="004B38A7" w:rsidRDefault="00397154" w:rsidP="00397154">
      <w:pPr>
        <w:spacing w:line="480" w:lineRule="auto"/>
        <w:rPr>
          <w:bCs/>
          <w:color w:val="000000"/>
          <w:u w:color="000000"/>
        </w:rPr>
      </w:pPr>
      <w:r w:rsidRPr="004B38A7">
        <w:rPr>
          <w:bCs/>
          <w:color w:val="000000"/>
          <w:u w:color="000000"/>
        </w:rPr>
        <w:t xml:space="preserve">Correlation between lung scores and microbiota were done on the CLR-transformed sequencing data as described above. Linear regression was performed using the function </w:t>
      </w:r>
      <w:r w:rsidRPr="004B38A7">
        <w:rPr>
          <w:bCs/>
          <w:i/>
          <w:color w:val="000000"/>
          <w:u w:color="000000"/>
        </w:rPr>
        <w:t>lm</w:t>
      </w:r>
      <w:r w:rsidRPr="004B38A7">
        <w:rPr>
          <w:bCs/>
          <w:color w:val="000000"/>
          <w:u w:color="000000"/>
        </w:rPr>
        <w:t>() and the  following model:  [lung score] ~ gender + age + [bacterium]</w:t>
      </w:r>
    </w:p>
    <w:p w14:paraId="7401EFDB" w14:textId="52DA02CC" w:rsidR="00397154" w:rsidRPr="00397154" w:rsidRDefault="00397154" w:rsidP="00397154">
      <w:pPr>
        <w:spacing w:line="480" w:lineRule="auto"/>
        <w:rPr>
          <w:bCs/>
          <w:color w:val="000000"/>
          <w:u w:color="000000"/>
        </w:rPr>
      </w:pPr>
      <w:r w:rsidRPr="004B38A7">
        <w:rPr>
          <w:bCs/>
          <w:color w:val="000000"/>
          <w:u w:color="000000"/>
        </w:rPr>
        <w:t xml:space="preserve"> Bootstrapped confidence intervals were generated using the function </w:t>
      </w:r>
      <w:r w:rsidRPr="004B38A7">
        <w:rPr>
          <w:bCs/>
          <w:i/>
          <w:color w:val="000000"/>
          <w:u w:color="000000"/>
        </w:rPr>
        <w:t>boot</w:t>
      </w:r>
      <w:r w:rsidRPr="004B38A7">
        <w:rPr>
          <w:bCs/>
          <w:color w:val="000000"/>
          <w:u w:color="000000"/>
        </w:rPr>
        <w:t xml:space="preserve">() and 1000 iterations. </w:t>
      </w:r>
      <w:proofErr w:type="spellStart"/>
      <w:r w:rsidRPr="004B38A7">
        <w:rPr>
          <w:bCs/>
          <w:color w:val="000000"/>
          <w:u w:color="000000"/>
        </w:rPr>
        <w:t>Benjamini</w:t>
      </w:r>
      <w:proofErr w:type="spellEnd"/>
      <w:r w:rsidRPr="004B38A7">
        <w:rPr>
          <w:bCs/>
          <w:color w:val="000000"/>
          <w:u w:color="000000"/>
        </w:rPr>
        <w:t xml:space="preserve"> Hochberg correction was used to correct for false discovery rate. </w:t>
      </w:r>
    </w:p>
    <w:p w14:paraId="095B9CD2" w14:textId="3CAB7DFA" w:rsidR="00397154" w:rsidRPr="0039715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b/>
          <w:bCs/>
          <w:color w:val="000000"/>
          <w:u w:color="000000"/>
        </w:rPr>
      </w:pPr>
      <w:r w:rsidRPr="00397154">
        <w:rPr>
          <w:b/>
          <w:bCs/>
          <w:color w:val="000000"/>
          <w:u w:color="000000"/>
        </w:rPr>
        <w:t>1.7</w:t>
      </w:r>
      <w:r w:rsidRPr="00397154">
        <w:rPr>
          <w:b/>
          <w:bCs/>
          <w:color w:val="000000"/>
          <w:u w:color="000000"/>
        </w:rPr>
        <w:tab/>
      </w:r>
      <w:r>
        <w:rPr>
          <w:b/>
          <w:bCs/>
          <w:color w:val="000000"/>
          <w:u w:color="000000"/>
        </w:rPr>
        <w:t>Supplementary references</w:t>
      </w:r>
    </w:p>
    <w:p w14:paraId="1A9BEC4C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>
        <w:rPr>
          <w:bCs/>
          <w:color w:val="000000"/>
          <w:u w:color="000000"/>
        </w:rPr>
        <w:fldChar w:fldCharType="begin" w:fldLock="1"/>
      </w:r>
      <w:r>
        <w:rPr>
          <w:bCs/>
          <w:color w:val="000000"/>
          <w:u w:color="000000"/>
        </w:rPr>
        <w:instrText xml:space="preserve">ADDIN Mendeley Bibliography CSL_BIBLIOGRAPHY </w:instrText>
      </w:r>
      <w:r>
        <w:rPr>
          <w:bCs/>
          <w:color w:val="000000"/>
          <w:u w:color="000000"/>
        </w:rPr>
        <w:fldChar w:fldCharType="separate"/>
      </w:r>
      <w:r w:rsidRPr="00FB68D4">
        <w:rPr>
          <w:noProof/>
        </w:rPr>
        <w:t>1.</w:t>
      </w:r>
      <w:r w:rsidRPr="00FB68D4">
        <w:rPr>
          <w:noProof/>
        </w:rPr>
        <w:tab/>
        <w:t xml:space="preserve">Wyllie, A. L. </w:t>
      </w:r>
      <w:r w:rsidRPr="00FB68D4">
        <w:rPr>
          <w:i/>
          <w:iCs/>
          <w:noProof/>
        </w:rPr>
        <w:t>et al.</w:t>
      </w:r>
      <w:r w:rsidRPr="00FB68D4">
        <w:rPr>
          <w:noProof/>
        </w:rPr>
        <w:t xml:space="preserve"> Streptococcus pneumoniae in Saliva of Dutch Primary School Children. </w:t>
      </w:r>
      <w:r w:rsidRPr="00FB68D4">
        <w:rPr>
          <w:i/>
          <w:iCs/>
          <w:noProof/>
        </w:rPr>
        <w:t>PLoS One</w:t>
      </w:r>
      <w:r w:rsidRPr="00FB68D4">
        <w:rPr>
          <w:noProof/>
        </w:rPr>
        <w:t xml:space="preserve"> </w:t>
      </w:r>
      <w:r w:rsidRPr="00FB68D4">
        <w:rPr>
          <w:b/>
          <w:bCs/>
          <w:noProof/>
        </w:rPr>
        <w:t>9</w:t>
      </w:r>
      <w:r w:rsidRPr="00FB68D4">
        <w:rPr>
          <w:noProof/>
        </w:rPr>
        <w:t>, e102045 (2014).</w:t>
      </w:r>
    </w:p>
    <w:p w14:paraId="6AC4E870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2.</w:t>
      </w:r>
      <w:r w:rsidRPr="00FB68D4">
        <w:rPr>
          <w:noProof/>
        </w:rPr>
        <w:tab/>
        <w:t xml:space="preserve">Liu, C. M. </w:t>
      </w:r>
      <w:r w:rsidRPr="00FB68D4">
        <w:rPr>
          <w:i/>
          <w:iCs/>
          <w:noProof/>
        </w:rPr>
        <w:t>et al.</w:t>
      </w:r>
      <w:r w:rsidRPr="00FB68D4">
        <w:rPr>
          <w:noProof/>
        </w:rPr>
        <w:t xml:space="preserve"> BactQuant : An enhanced broad-coverage bacterial quantitative real-time PCR assay. </w:t>
      </w:r>
      <w:r w:rsidRPr="00FB68D4">
        <w:rPr>
          <w:i/>
          <w:iCs/>
          <w:noProof/>
        </w:rPr>
        <w:t>BMC Microbiol.</w:t>
      </w:r>
      <w:r w:rsidRPr="00FB68D4">
        <w:rPr>
          <w:noProof/>
        </w:rPr>
        <w:t xml:space="preserve"> </w:t>
      </w:r>
      <w:r w:rsidRPr="00FB68D4">
        <w:rPr>
          <w:b/>
          <w:bCs/>
          <w:noProof/>
        </w:rPr>
        <w:t>12</w:t>
      </w:r>
      <w:r w:rsidRPr="00FB68D4">
        <w:rPr>
          <w:noProof/>
        </w:rPr>
        <w:t>, 56 (2012).</w:t>
      </w:r>
    </w:p>
    <w:p w14:paraId="1F15FFCF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3.</w:t>
      </w:r>
      <w:r w:rsidRPr="00FB68D4">
        <w:rPr>
          <w:noProof/>
        </w:rPr>
        <w:tab/>
        <w:t xml:space="preserve">Fadrosh, D. W. </w:t>
      </w:r>
      <w:r w:rsidRPr="00FB68D4">
        <w:rPr>
          <w:i/>
          <w:iCs/>
          <w:noProof/>
        </w:rPr>
        <w:t>et al.</w:t>
      </w:r>
      <w:r w:rsidRPr="00FB68D4">
        <w:rPr>
          <w:noProof/>
        </w:rPr>
        <w:t xml:space="preserve"> An improved dual-indexing approach for multiplexed 16S rRNA gene </w:t>
      </w:r>
      <w:r w:rsidRPr="00FB68D4">
        <w:rPr>
          <w:noProof/>
        </w:rPr>
        <w:lastRenderedPageBreak/>
        <w:t xml:space="preserve">sequencing on the Illumina MiSeq platform. </w:t>
      </w:r>
      <w:r w:rsidRPr="00FB68D4">
        <w:rPr>
          <w:i/>
          <w:iCs/>
          <w:noProof/>
        </w:rPr>
        <w:t>Microbiome</w:t>
      </w:r>
      <w:r w:rsidRPr="00FB68D4">
        <w:rPr>
          <w:noProof/>
        </w:rPr>
        <w:t xml:space="preserve"> </w:t>
      </w:r>
      <w:r w:rsidRPr="00FB68D4">
        <w:rPr>
          <w:b/>
          <w:bCs/>
          <w:noProof/>
        </w:rPr>
        <w:t>2</w:t>
      </w:r>
      <w:r w:rsidRPr="00FB68D4">
        <w:rPr>
          <w:noProof/>
        </w:rPr>
        <w:t>, 1–7 (2014).</w:t>
      </w:r>
    </w:p>
    <w:p w14:paraId="2A036A10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4.</w:t>
      </w:r>
      <w:r w:rsidRPr="00FB68D4">
        <w:rPr>
          <w:noProof/>
        </w:rPr>
        <w:tab/>
        <w:t xml:space="preserve">Bolyen, E. </w:t>
      </w:r>
      <w:r w:rsidRPr="00FB68D4">
        <w:rPr>
          <w:i/>
          <w:iCs/>
          <w:noProof/>
        </w:rPr>
        <w:t>et al.</w:t>
      </w:r>
      <w:r w:rsidRPr="00FB68D4">
        <w:rPr>
          <w:noProof/>
        </w:rPr>
        <w:t xml:space="preserve"> QIIME 2 : Reproducible , interactive , scalable , and extensible microbiome data science. </w:t>
      </w:r>
      <w:r w:rsidRPr="00FB68D4">
        <w:rPr>
          <w:i/>
          <w:iCs/>
          <w:noProof/>
        </w:rPr>
        <w:t>PeerJ Prepr.</w:t>
      </w:r>
      <w:r w:rsidRPr="00FB68D4">
        <w:rPr>
          <w:noProof/>
        </w:rPr>
        <w:t xml:space="preserve"> (2018).</w:t>
      </w:r>
    </w:p>
    <w:p w14:paraId="6008B4B0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5.</w:t>
      </w:r>
      <w:r w:rsidRPr="00FB68D4">
        <w:rPr>
          <w:noProof/>
        </w:rPr>
        <w:tab/>
        <w:t xml:space="preserve">Callahan, B. J. </w:t>
      </w:r>
      <w:r w:rsidRPr="00FB68D4">
        <w:rPr>
          <w:i/>
          <w:iCs/>
          <w:noProof/>
        </w:rPr>
        <w:t>et al.</w:t>
      </w:r>
      <w:r w:rsidRPr="00FB68D4">
        <w:rPr>
          <w:noProof/>
        </w:rPr>
        <w:t xml:space="preserve"> DADA2 : High-resolution sample inference from Illumina amplicon data. </w:t>
      </w:r>
      <w:r w:rsidRPr="00FB68D4">
        <w:rPr>
          <w:i/>
          <w:iCs/>
          <w:noProof/>
        </w:rPr>
        <w:t>Nat. Methods</w:t>
      </w:r>
      <w:r w:rsidRPr="00FB68D4">
        <w:rPr>
          <w:noProof/>
        </w:rPr>
        <w:t xml:space="preserve"> </w:t>
      </w:r>
      <w:r w:rsidRPr="00FB68D4">
        <w:rPr>
          <w:b/>
          <w:bCs/>
          <w:noProof/>
        </w:rPr>
        <w:t>13</w:t>
      </w:r>
      <w:r w:rsidRPr="00FB68D4">
        <w:rPr>
          <w:noProof/>
        </w:rPr>
        <w:t>, 581–587 (2016).</w:t>
      </w:r>
    </w:p>
    <w:p w14:paraId="4908ABB7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6.</w:t>
      </w:r>
      <w:r w:rsidRPr="00FB68D4">
        <w:rPr>
          <w:noProof/>
        </w:rPr>
        <w:tab/>
        <w:t xml:space="preserve">Quast, C. </w:t>
      </w:r>
      <w:r w:rsidRPr="00FB68D4">
        <w:rPr>
          <w:i/>
          <w:iCs/>
          <w:noProof/>
        </w:rPr>
        <w:t>et al.</w:t>
      </w:r>
      <w:r w:rsidRPr="00FB68D4">
        <w:rPr>
          <w:noProof/>
        </w:rPr>
        <w:t xml:space="preserve"> The SILVA ribosomal RNA gene database project : improved data processing and web-based tools. </w:t>
      </w:r>
      <w:r w:rsidRPr="00FB68D4">
        <w:rPr>
          <w:i/>
          <w:iCs/>
          <w:noProof/>
        </w:rPr>
        <w:t>Nucleic Acids Res.</w:t>
      </w:r>
      <w:r w:rsidRPr="00FB68D4">
        <w:rPr>
          <w:noProof/>
        </w:rPr>
        <w:t xml:space="preserve"> </w:t>
      </w:r>
      <w:r w:rsidRPr="00FB68D4">
        <w:rPr>
          <w:b/>
          <w:bCs/>
          <w:noProof/>
        </w:rPr>
        <w:t>41</w:t>
      </w:r>
      <w:r w:rsidRPr="00FB68D4">
        <w:rPr>
          <w:noProof/>
        </w:rPr>
        <w:t>, 590–596 (2013).</w:t>
      </w:r>
    </w:p>
    <w:p w14:paraId="6CB054E8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7.</w:t>
      </w:r>
      <w:r w:rsidRPr="00FB68D4">
        <w:rPr>
          <w:noProof/>
        </w:rPr>
        <w:tab/>
        <w:t xml:space="preserve">Ven, A. A. J. M. Van De &amp; Montfrans, J. M. Van A CT Scan Score for the Assessment of Lung Disease in Children With Common Variable Immunodeficiency Disorders. </w:t>
      </w:r>
      <w:r w:rsidRPr="00FB68D4">
        <w:rPr>
          <w:i/>
          <w:iCs/>
          <w:noProof/>
        </w:rPr>
        <w:t>Chest</w:t>
      </w:r>
      <w:r w:rsidRPr="00FB68D4">
        <w:rPr>
          <w:noProof/>
        </w:rPr>
        <w:t xml:space="preserve"> </w:t>
      </w:r>
      <w:r w:rsidRPr="00FB68D4">
        <w:rPr>
          <w:b/>
          <w:bCs/>
          <w:noProof/>
        </w:rPr>
        <w:t>138</w:t>
      </w:r>
      <w:r w:rsidRPr="00FB68D4">
        <w:rPr>
          <w:noProof/>
        </w:rPr>
        <w:t>, 371–379 (2010).</w:t>
      </w:r>
    </w:p>
    <w:p w14:paraId="43B648C9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8.</w:t>
      </w:r>
      <w:r w:rsidRPr="00FB68D4">
        <w:rPr>
          <w:noProof/>
        </w:rPr>
        <w:tab/>
        <w:t xml:space="preserve">Maarschalk-Ellerbroek, L. J. </w:t>
      </w:r>
      <w:r w:rsidRPr="00FB68D4">
        <w:rPr>
          <w:i/>
          <w:iCs/>
          <w:noProof/>
        </w:rPr>
        <w:t>et al.</w:t>
      </w:r>
      <w:r w:rsidRPr="00FB68D4">
        <w:rPr>
          <w:noProof/>
        </w:rPr>
        <w:t xml:space="preserve"> CT Screening for Pulmonary Pathology in Common Variable Immunodeficiency Disorders and the Correlation with Clinical and Immunological Parameters. </w:t>
      </w:r>
      <w:r w:rsidRPr="00FB68D4">
        <w:rPr>
          <w:i/>
          <w:iCs/>
          <w:noProof/>
        </w:rPr>
        <w:t>J. Clin. Immunol.</w:t>
      </w:r>
      <w:r w:rsidRPr="00FB68D4">
        <w:rPr>
          <w:noProof/>
        </w:rPr>
        <w:t xml:space="preserve"> </w:t>
      </w:r>
      <w:r w:rsidRPr="00FB68D4">
        <w:rPr>
          <w:b/>
          <w:bCs/>
          <w:noProof/>
        </w:rPr>
        <w:t>34</w:t>
      </w:r>
      <w:r w:rsidRPr="00FB68D4">
        <w:rPr>
          <w:noProof/>
        </w:rPr>
        <w:t>, 642–654 (2014).</w:t>
      </w:r>
    </w:p>
    <w:p w14:paraId="43130E47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9.</w:t>
      </w:r>
      <w:r w:rsidRPr="00FB68D4">
        <w:rPr>
          <w:noProof/>
        </w:rPr>
        <w:tab/>
        <w:t>R Foundation for Statistical Computing, Vienna, A. R: A language and environment for statistical computing. (2018).at &lt;https://www.r-project.org/&gt;</w:t>
      </w:r>
    </w:p>
    <w:p w14:paraId="4D1789AB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10.</w:t>
      </w:r>
      <w:r w:rsidRPr="00FB68D4">
        <w:rPr>
          <w:noProof/>
        </w:rPr>
        <w:tab/>
        <w:t xml:space="preserve">Aitchison, J. </w:t>
      </w:r>
      <w:r w:rsidRPr="00FB68D4">
        <w:rPr>
          <w:i/>
          <w:iCs/>
          <w:noProof/>
        </w:rPr>
        <w:t>The statistical analysis of compositional data: Monographs on statistics and applied probability</w:t>
      </w:r>
      <w:r w:rsidRPr="00FB68D4">
        <w:rPr>
          <w:noProof/>
        </w:rPr>
        <w:t>. (Chapman &amp; Hall Ltd., London, 1986).</w:t>
      </w:r>
    </w:p>
    <w:p w14:paraId="1B0930BA" w14:textId="77777777" w:rsidR="00397154" w:rsidRPr="00FB68D4" w:rsidRDefault="00397154" w:rsidP="00397154">
      <w:pPr>
        <w:widowControl w:val="0"/>
        <w:autoSpaceDE w:val="0"/>
        <w:autoSpaceDN w:val="0"/>
        <w:adjustRightInd w:val="0"/>
        <w:spacing w:line="480" w:lineRule="auto"/>
        <w:ind w:left="640" w:hanging="640"/>
        <w:rPr>
          <w:noProof/>
        </w:rPr>
      </w:pPr>
      <w:r w:rsidRPr="00FB68D4">
        <w:rPr>
          <w:noProof/>
        </w:rPr>
        <w:t>11.</w:t>
      </w:r>
      <w:r w:rsidRPr="00FB68D4">
        <w:rPr>
          <w:noProof/>
        </w:rPr>
        <w:tab/>
        <w:t xml:space="preserve">Kaul, A., Mandal, S., Davidov, O. &amp; Peddada, S. D. Analysis of Microbiome Data in the Presence of Excess Zeros. </w:t>
      </w:r>
      <w:r w:rsidRPr="00FB68D4">
        <w:rPr>
          <w:i/>
          <w:iCs/>
          <w:noProof/>
        </w:rPr>
        <w:t>Front. Microbiol.</w:t>
      </w:r>
      <w:r w:rsidRPr="00FB68D4">
        <w:rPr>
          <w:noProof/>
        </w:rPr>
        <w:t xml:space="preserve"> </w:t>
      </w:r>
      <w:r w:rsidRPr="00FB68D4">
        <w:rPr>
          <w:b/>
          <w:bCs/>
          <w:noProof/>
        </w:rPr>
        <w:t>8</w:t>
      </w:r>
      <w:r w:rsidRPr="00FB68D4">
        <w:rPr>
          <w:noProof/>
        </w:rPr>
        <w:t>, 2114 (2017).</w:t>
      </w:r>
    </w:p>
    <w:p w14:paraId="4D059444" w14:textId="1A0CB22B" w:rsidR="00994A3D" w:rsidRDefault="00397154" w:rsidP="00397154">
      <w:pPr>
        <w:pStyle w:val="Kop1"/>
      </w:pPr>
      <w:r>
        <w:rPr>
          <w:bCs/>
          <w:color w:val="000000"/>
          <w:u w:color="000000"/>
        </w:rPr>
        <w:fldChar w:fldCharType="end"/>
      </w:r>
      <w:r w:rsidR="00654E8F" w:rsidRPr="00994A3D">
        <w:t>Supplementary Tables</w:t>
      </w:r>
    </w:p>
    <w:p w14:paraId="49D4C7AF" w14:textId="77777777" w:rsidR="00E45C3C" w:rsidRDefault="00E45C3C" w:rsidP="00E45C3C">
      <w:pPr>
        <w:rPr>
          <w:b/>
        </w:rPr>
      </w:pPr>
      <w:r>
        <w:rPr>
          <w:b/>
        </w:rPr>
        <w:lastRenderedPageBreak/>
        <w:t>Table S1: study characteristics for the sequencing cohort</w:t>
      </w:r>
    </w:p>
    <w:p w14:paraId="02FD63F6" w14:textId="77777777" w:rsidR="00E45C3C" w:rsidRDefault="00E45C3C" w:rsidP="00E45C3C">
      <w:pPr>
        <w:rPr>
          <w:b/>
        </w:rPr>
      </w:pP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1598"/>
        <w:gridCol w:w="1701"/>
        <w:gridCol w:w="1560"/>
        <w:gridCol w:w="1559"/>
      </w:tblGrid>
      <w:tr w:rsidR="00E45C3C" w:rsidRPr="00C43F6A" w14:paraId="60DD1A46" w14:textId="77777777" w:rsidTr="00A322BA">
        <w:trPr>
          <w:trHeight w:val="870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F0909C" w14:textId="77777777" w:rsidR="00E45C3C" w:rsidRPr="00DA3605" w:rsidRDefault="00E45C3C" w:rsidP="00E45C3C">
            <w:pPr>
              <w:spacing w:before="0" w:after="0"/>
              <w:rPr>
                <w:b/>
                <w:bCs/>
                <w:color w:val="000000"/>
                <w:lang w:eastAsia="nl-NL"/>
              </w:rPr>
            </w:pPr>
            <w:r w:rsidRPr="00C43F6A">
              <w:rPr>
                <w:b/>
                <w:bCs/>
                <w:color w:val="000000"/>
                <w:lang w:eastAsia="nl-NL"/>
              </w:rPr>
              <w:t> 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E88C04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>HC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5029AE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>CVID +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IgA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(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IgA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&gt;0.1 g/L)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5BC2D6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>CVID -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IgA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(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IgA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&lt;0.1 g/L)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4E88A5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>XLA</w:t>
            </w:r>
          </w:p>
        </w:tc>
      </w:tr>
      <w:tr w:rsidR="00E45C3C" w:rsidRPr="00C43F6A" w14:paraId="0ADF9DA5" w14:textId="77777777" w:rsidTr="00A322BA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45E4B2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>Total N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3E68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4</w:t>
            </w:r>
            <w:r>
              <w:rPr>
                <w:color w:val="000000"/>
                <w:lang w:val="nl-NL" w:eastAsia="nl-NL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E909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BC29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C4C15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11</w:t>
            </w:r>
          </w:p>
        </w:tc>
      </w:tr>
      <w:tr w:rsidR="00E45C3C" w:rsidRPr="00C43F6A" w14:paraId="40AC7B72" w14:textId="77777777" w:rsidTr="00A322BA">
        <w:trPr>
          <w:trHeight w:val="516"/>
        </w:trPr>
        <w:tc>
          <w:tcPr>
            <w:tcW w:w="35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AF7884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r>
              <w:rPr>
                <w:b/>
                <w:bCs/>
                <w:color w:val="000000"/>
                <w:lang w:val="nl-NL" w:eastAsia="nl-NL"/>
              </w:rPr>
              <w:t xml:space="preserve">Age: </w:t>
            </w:r>
            <w:proofErr w:type="spellStart"/>
            <w:r>
              <w:rPr>
                <w:b/>
                <w:bCs/>
                <w:color w:val="000000"/>
                <w:lang w:val="nl-NL" w:eastAsia="nl-NL"/>
              </w:rPr>
              <w:t>mean</w:t>
            </w:r>
            <w:proofErr w:type="spellEnd"/>
            <w:r>
              <w:rPr>
                <w:b/>
                <w:bCs/>
                <w:color w:val="000000"/>
                <w:lang w:val="nl-NL" w:eastAsia="nl-NL"/>
              </w:rPr>
              <w:t xml:space="preserve"> </w:t>
            </w:r>
            <w:r w:rsidRPr="004201DA">
              <w:rPr>
                <w:b/>
                <w:bCs/>
                <w:color w:val="000000"/>
                <w:lang w:val="nl-NL" w:eastAsia="nl-NL"/>
              </w:rPr>
              <w:t>±</w:t>
            </w:r>
            <w:r>
              <w:rPr>
                <w:b/>
                <w:bCs/>
                <w:color w:val="000000"/>
                <w:lang w:val="nl-NL" w:eastAsia="nl-NL"/>
              </w:rPr>
              <w:t xml:space="preserve"> </w:t>
            </w:r>
            <w:r w:rsidRPr="004201DA">
              <w:rPr>
                <w:b/>
                <w:bCs/>
                <w:lang w:val="nl-NL" w:eastAsia="nl-NL"/>
              </w:rPr>
              <w:t xml:space="preserve">SD  </w:t>
            </w:r>
          </w:p>
        </w:tc>
        <w:tc>
          <w:tcPr>
            <w:tcW w:w="1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34EC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41</w:t>
            </w:r>
            <w:r w:rsidRPr="00C43F6A">
              <w:rPr>
                <w:color w:val="000000"/>
                <w:lang w:val="nl-NL" w:eastAsia="nl-NL"/>
              </w:rPr>
              <w:t xml:space="preserve"> </w:t>
            </w:r>
            <w:r w:rsidRPr="004201DA">
              <w:rPr>
                <w:b/>
                <w:bCs/>
                <w:color w:val="000000"/>
                <w:lang w:val="nl-NL" w:eastAsia="nl-NL"/>
              </w:rPr>
              <w:t>±</w:t>
            </w:r>
            <w:r>
              <w:rPr>
                <w:b/>
                <w:bCs/>
                <w:color w:val="000000"/>
                <w:lang w:val="nl-NL" w:eastAsia="nl-NL"/>
              </w:rPr>
              <w:t xml:space="preserve"> </w:t>
            </w:r>
            <w:r>
              <w:rPr>
                <w:color w:val="000000"/>
                <w:lang w:val="nl-NL" w:eastAsia="nl-NL"/>
              </w:rPr>
              <w:t>12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1AD3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 xml:space="preserve">34 </w:t>
            </w:r>
            <w:r w:rsidRPr="004201DA">
              <w:rPr>
                <w:b/>
                <w:bCs/>
                <w:color w:val="000000"/>
                <w:lang w:val="nl-NL" w:eastAsia="nl-NL"/>
              </w:rPr>
              <w:t>±</w:t>
            </w:r>
            <w:r>
              <w:rPr>
                <w:b/>
                <w:bCs/>
                <w:color w:val="000000"/>
                <w:lang w:val="nl-NL" w:eastAsia="nl-NL"/>
              </w:rPr>
              <w:t xml:space="preserve"> </w:t>
            </w:r>
            <w:r>
              <w:rPr>
                <w:color w:val="000000"/>
                <w:lang w:val="nl-NL" w:eastAsia="nl-NL"/>
              </w:rPr>
              <w:t>19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E95F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 xml:space="preserve">39 </w:t>
            </w:r>
            <w:r w:rsidRPr="004201DA">
              <w:rPr>
                <w:b/>
                <w:bCs/>
                <w:color w:val="000000"/>
                <w:lang w:val="nl-NL" w:eastAsia="nl-NL"/>
              </w:rPr>
              <w:t>±</w:t>
            </w:r>
            <w:r>
              <w:rPr>
                <w:b/>
                <w:bCs/>
                <w:color w:val="000000"/>
                <w:lang w:val="nl-NL" w:eastAsia="nl-NL"/>
              </w:rPr>
              <w:t xml:space="preserve"> </w:t>
            </w:r>
            <w:r>
              <w:rPr>
                <w:color w:val="000000"/>
                <w:lang w:val="nl-NL" w:eastAsia="nl-NL"/>
              </w:rPr>
              <w:t>14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09762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 xml:space="preserve">23 </w:t>
            </w:r>
            <w:r w:rsidRPr="004201DA">
              <w:rPr>
                <w:b/>
                <w:bCs/>
                <w:color w:val="000000"/>
                <w:lang w:val="nl-NL" w:eastAsia="nl-NL"/>
              </w:rPr>
              <w:t>±</w:t>
            </w:r>
            <w:r>
              <w:rPr>
                <w:color w:val="000000"/>
                <w:lang w:val="nl-NL" w:eastAsia="nl-NL"/>
              </w:rPr>
              <w:t xml:space="preserve"> 15</w:t>
            </w:r>
          </w:p>
        </w:tc>
      </w:tr>
      <w:tr w:rsidR="00E45C3C" w:rsidRPr="00C43F6A" w14:paraId="62DC16B2" w14:textId="77777777" w:rsidTr="00A322BA">
        <w:trPr>
          <w:trHeight w:val="636"/>
        </w:trPr>
        <w:tc>
          <w:tcPr>
            <w:tcW w:w="3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88D05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</w:p>
        </w:tc>
        <w:tc>
          <w:tcPr>
            <w:tcW w:w="1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D308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AA80E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E0C3C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F2829E6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</w:p>
        </w:tc>
      </w:tr>
      <w:tr w:rsidR="00E45C3C" w:rsidRPr="00C43F6A" w14:paraId="1EB5E6DA" w14:textId="77777777" w:rsidTr="00A322BA">
        <w:trPr>
          <w:trHeight w:val="315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5FA912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>Male % (N)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DB6C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27</w:t>
            </w:r>
            <w:r w:rsidRPr="00C43F6A">
              <w:rPr>
                <w:color w:val="000000"/>
                <w:lang w:val="nl-NL" w:eastAsia="nl-NL"/>
              </w:rPr>
              <w:t>% (1</w:t>
            </w:r>
            <w:r>
              <w:rPr>
                <w:color w:val="000000"/>
                <w:lang w:val="nl-NL" w:eastAsia="nl-NL"/>
              </w:rPr>
              <w:t>1/41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ADCD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52% (25/48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7D11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61</w:t>
            </w:r>
            <w:r w:rsidRPr="00C43F6A">
              <w:rPr>
                <w:color w:val="000000"/>
                <w:lang w:val="nl-NL" w:eastAsia="nl-NL"/>
              </w:rPr>
              <w:t>% (2</w:t>
            </w:r>
            <w:r>
              <w:rPr>
                <w:color w:val="000000"/>
                <w:lang w:val="nl-NL" w:eastAsia="nl-NL"/>
              </w:rPr>
              <w:t>0</w:t>
            </w:r>
            <w:r w:rsidRPr="00C43F6A">
              <w:rPr>
                <w:color w:val="000000"/>
                <w:lang w:val="nl-NL" w:eastAsia="nl-NL"/>
              </w:rPr>
              <w:t>/</w:t>
            </w:r>
            <w:r>
              <w:rPr>
                <w:color w:val="000000"/>
                <w:lang w:val="nl-NL" w:eastAsia="nl-NL"/>
              </w:rPr>
              <w:t>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9EF16" w14:textId="77777777" w:rsidR="00E45C3C" w:rsidRPr="00C43F6A" w:rsidRDefault="00E45C3C" w:rsidP="00E45C3C">
            <w:pPr>
              <w:spacing w:before="0" w:after="0"/>
              <w:ind w:right="-7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 xml:space="preserve">100% </w:t>
            </w:r>
            <w:r>
              <w:rPr>
                <w:color w:val="000000"/>
                <w:lang w:val="nl-NL" w:eastAsia="nl-NL"/>
              </w:rPr>
              <w:t>(</w:t>
            </w:r>
            <w:r w:rsidRPr="00C43F6A">
              <w:rPr>
                <w:color w:val="000000"/>
                <w:lang w:val="nl-NL" w:eastAsia="nl-NL"/>
              </w:rPr>
              <w:t>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/1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 xml:space="preserve">) </w:t>
            </w:r>
          </w:p>
        </w:tc>
      </w:tr>
      <w:tr w:rsidR="00E45C3C" w:rsidRPr="00C43F6A" w14:paraId="3951E75B" w14:textId="77777777" w:rsidTr="00A322BA">
        <w:trPr>
          <w:trHeight w:val="315"/>
        </w:trPr>
        <w:tc>
          <w:tcPr>
            <w:tcW w:w="993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365F417" w14:textId="77777777" w:rsidR="00E45C3C" w:rsidRPr="00BF76D4" w:rsidRDefault="00E45C3C" w:rsidP="00E45C3C">
            <w:pPr>
              <w:spacing w:before="0" w:after="0"/>
              <w:jc w:val="center"/>
              <w:rPr>
                <w:b/>
                <w:bCs/>
                <w:color w:val="000000"/>
                <w:lang w:eastAsia="nl-NL"/>
              </w:rPr>
            </w:pPr>
            <w:r w:rsidRPr="00C43F6A">
              <w:rPr>
                <w:b/>
                <w:bCs/>
                <w:color w:val="000000"/>
                <w:lang w:eastAsia="nl-NL"/>
              </w:rPr>
              <w:t>Medication use during 3 months prior to sampling: % (N)</w:t>
            </w:r>
          </w:p>
        </w:tc>
      </w:tr>
      <w:tr w:rsidR="00E45C3C" w:rsidRPr="00C43F6A" w14:paraId="3E658AE7" w14:textId="77777777" w:rsidTr="00A322BA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254F19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Antibiotics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3F09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(0/4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04A6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33</w:t>
            </w:r>
            <w:r w:rsidRPr="00C43F6A">
              <w:rPr>
                <w:color w:val="000000"/>
                <w:lang w:val="nl-NL" w:eastAsia="nl-NL"/>
              </w:rPr>
              <w:t>% (</w:t>
            </w:r>
            <w:r>
              <w:rPr>
                <w:color w:val="000000"/>
                <w:lang w:val="nl-NL" w:eastAsia="nl-NL"/>
              </w:rPr>
              <w:t>16/48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3FFB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24% (8/33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53456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5</w:t>
            </w:r>
            <w:r>
              <w:rPr>
                <w:color w:val="000000"/>
                <w:lang w:val="nl-NL" w:eastAsia="nl-NL"/>
              </w:rPr>
              <w:t>5</w:t>
            </w:r>
            <w:r w:rsidRPr="00C43F6A">
              <w:rPr>
                <w:color w:val="000000"/>
                <w:lang w:val="nl-NL" w:eastAsia="nl-NL"/>
              </w:rPr>
              <w:t>% (</w:t>
            </w:r>
            <w:r>
              <w:rPr>
                <w:color w:val="000000"/>
                <w:lang w:val="nl-NL" w:eastAsia="nl-NL"/>
              </w:rPr>
              <w:t>6/11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</w:tr>
      <w:tr w:rsidR="00E45C3C" w:rsidRPr="00C43F6A" w14:paraId="728BA593" w14:textId="77777777" w:rsidTr="00A322BA">
        <w:trPr>
          <w:trHeight w:val="315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8E9A94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 xml:space="preserve">Immune 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suppressive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therapy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17B9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(0/4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40CFD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13% (6/48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3E9E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15</w:t>
            </w:r>
            <w:r w:rsidRPr="00C43F6A">
              <w:rPr>
                <w:color w:val="000000"/>
                <w:lang w:val="nl-NL" w:eastAsia="nl-NL"/>
              </w:rPr>
              <w:t>% (5/</w:t>
            </w:r>
            <w:r>
              <w:rPr>
                <w:color w:val="000000"/>
                <w:lang w:val="nl-NL" w:eastAsia="nl-NL"/>
              </w:rPr>
              <w:t>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62523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8% (1/12)</w:t>
            </w:r>
          </w:p>
        </w:tc>
      </w:tr>
      <w:tr w:rsidR="00E45C3C" w:rsidRPr="00C43F6A" w14:paraId="4BC21679" w14:textId="77777777" w:rsidTr="00A322BA">
        <w:trPr>
          <w:trHeight w:val="315"/>
        </w:trPr>
        <w:tc>
          <w:tcPr>
            <w:tcW w:w="993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25BEDE3" w14:textId="77777777" w:rsidR="00E45C3C" w:rsidRPr="00C43F6A" w:rsidRDefault="00E45C3C" w:rsidP="00E45C3C">
            <w:pPr>
              <w:spacing w:before="0" w:after="0"/>
              <w:jc w:val="center"/>
              <w:rPr>
                <w:b/>
                <w:bCs/>
                <w:color w:val="000000"/>
                <w:lang w:val="nl-NL" w:eastAsia="nl-NL"/>
              </w:rPr>
            </w:pP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Clinical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phenotype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>: % (N)</w:t>
            </w:r>
          </w:p>
        </w:tc>
      </w:tr>
      <w:tr w:rsidR="00E45C3C" w:rsidRPr="00C43F6A" w14:paraId="18581207" w14:textId="77777777" w:rsidTr="00A322BA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6FE50748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proofErr w:type="spellStart"/>
            <w:r>
              <w:rPr>
                <w:b/>
                <w:bCs/>
                <w:color w:val="000000"/>
                <w:lang w:val="nl-NL" w:eastAsia="nl-NL"/>
              </w:rPr>
              <w:t>Any</w:t>
            </w:r>
            <w:proofErr w:type="spellEnd"/>
            <w:r>
              <w:rPr>
                <w:b/>
                <w:bCs/>
                <w:color w:val="000000"/>
                <w:lang w:val="nl-NL" w:eastAsia="nl-NL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nl-NL" w:eastAsia="nl-NL"/>
              </w:rPr>
              <w:t>inflammatory</w:t>
            </w:r>
            <w:proofErr w:type="spellEnd"/>
            <w:r>
              <w:rPr>
                <w:b/>
                <w:bCs/>
                <w:color w:val="000000"/>
                <w:lang w:val="nl-NL" w:eastAsia="nl-NL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nl-NL" w:eastAsia="nl-NL"/>
              </w:rPr>
              <w:t>complication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54181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(0/4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BE5E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31% (15/48)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E115" w14:textId="77777777" w:rsidR="00E45C3C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67% (22/33)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5CC0AB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9</w:t>
            </w:r>
            <w:r w:rsidRPr="00C43F6A">
              <w:rPr>
                <w:color w:val="000000"/>
                <w:lang w:val="nl-NL" w:eastAsia="nl-NL"/>
              </w:rPr>
              <w:t>% (1/1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</w:tr>
      <w:tr w:rsidR="00E45C3C" w:rsidRPr="00C43F6A" w14:paraId="1E227F05" w14:textId="77777777" w:rsidTr="00A322BA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B848F9" w14:textId="77777777" w:rsidR="00E45C3C" w:rsidRPr="00C43F6A" w:rsidRDefault="00E45C3C" w:rsidP="00E45C3C">
            <w:pPr>
              <w:spacing w:before="0" w:after="0"/>
              <w:ind w:left="229"/>
              <w:rPr>
                <w:b/>
                <w:bCs/>
                <w:color w:val="000000"/>
                <w:lang w:val="nl-NL" w:eastAsia="nl-NL"/>
              </w:rPr>
            </w:pP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Autoimmune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disease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354D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(0/4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9155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1</w:t>
            </w:r>
            <w:r>
              <w:rPr>
                <w:color w:val="000000"/>
                <w:lang w:val="nl-NL" w:eastAsia="nl-NL"/>
              </w:rPr>
              <w:t>9</w:t>
            </w:r>
            <w:r w:rsidRPr="00C43F6A">
              <w:rPr>
                <w:color w:val="000000"/>
                <w:lang w:val="nl-NL" w:eastAsia="nl-NL"/>
              </w:rPr>
              <w:t>% (9/</w:t>
            </w:r>
            <w:r>
              <w:rPr>
                <w:color w:val="000000"/>
                <w:lang w:val="nl-NL" w:eastAsia="nl-NL"/>
              </w:rPr>
              <w:t>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D32DB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36</w:t>
            </w:r>
            <w:r w:rsidRPr="00C43F6A">
              <w:rPr>
                <w:color w:val="000000"/>
                <w:lang w:val="nl-NL" w:eastAsia="nl-NL"/>
              </w:rPr>
              <w:t>% (</w:t>
            </w:r>
            <w:r>
              <w:rPr>
                <w:color w:val="000000"/>
                <w:lang w:val="nl-NL" w:eastAsia="nl-NL"/>
              </w:rPr>
              <w:t>12/33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4F89D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9</w:t>
            </w:r>
            <w:r w:rsidRPr="00C43F6A">
              <w:rPr>
                <w:color w:val="000000"/>
                <w:lang w:val="nl-NL" w:eastAsia="nl-NL"/>
              </w:rPr>
              <w:t>% (1/1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 xml:space="preserve">) </w:t>
            </w:r>
          </w:p>
        </w:tc>
      </w:tr>
      <w:tr w:rsidR="00E45C3C" w:rsidRPr="00C43F6A" w14:paraId="586C62C9" w14:textId="77777777" w:rsidTr="00A322BA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6FB072" w14:textId="77777777" w:rsidR="00E45C3C" w:rsidRPr="00C43F6A" w:rsidRDefault="00E45C3C" w:rsidP="00E45C3C">
            <w:pPr>
              <w:spacing w:before="0" w:after="0"/>
              <w:ind w:left="229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>GLILD (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clinical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diagnosis)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BFC8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(0/4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489B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6</w:t>
            </w:r>
            <w:r w:rsidRPr="00C43F6A">
              <w:rPr>
                <w:color w:val="000000"/>
                <w:lang w:val="nl-NL" w:eastAsia="nl-NL"/>
              </w:rPr>
              <w:t>% (</w:t>
            </w:r>
            <w:r>
              <w:rPr>
                <w:color w:val="000000"/>
                <w:lang w:val="nl-NL" w:eastAsia="nl-NL"/>
              </w:rPr>
              <w:t>3/48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19D5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6</w:t>
            </w:r>
            <w:r w:rsidRPr="00C43F6A">
              <w:rPr>
                <w:color w:val="000000"/>
                <w:lang w:val="nl-NL" w:eastAsia="nl-NL"/>
              </w:rPr>
              <w:t>% (</w:t>
            </w:r>
            <w:r>
              <w:rPr>
                <w:color w:val="000000"/>
                <w:lang w:val="nl-NL" w:eastAsia="nl-NL"/>
              </w:rPr>
              <w:t>2/33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BCAB5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</w:tr>
      <w:tr w:rsidR="00E45C3C" w:rsidRPr="00C43F6A" w14:paraId="369388EB" w14:textId="77777777" w:rsidTr="00A322BA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169B79" w14:textId="77777777" w:rsidR="00E45C3C" w:rsidRPr="00C43F6A" w:rsidRDefault="00E45C3C" w:rsidP="00E45C3C">
            <w:pPr>
              <w:spacing w:before="0" w:after="0"/>
              <w:ind w:left="229"/>
              <w:rPr>
                <w:b/>
                <w:bCs/>
                <w:color w:val="000000"/>
                <w:lang w:val="nl-NL" w:eastAsia="nl-NL"/>
              </w:rPr>
            </w:pP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Granulomatous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disease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other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64B8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(0/4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D90A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2</w:t>
            </w:r>
            <w:r w:rsidRPr="00C43F6A">
              <w:rPr>
                <w:color w:val="000000"/>
                <w:lang w:val="nl-NL" w:eastAsia="nl-NL"/>
              </w:rPr>
              <w:t>% (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/</w:t>
            </w:r>
            <w:r>
              <w:rPr>
                <w:color w:val="000000"/>
                <w:lang w:val="nl-NL" w:eastAsia="nl-NL"/>
              </w:rPr>
              <w:t>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60137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6</w:t>
            </w:r>
            <w:r w:rsidRPr="00C43F6A">
              <w:rPr>
                <w:color w:val="000000"/>
                <w:lang w:val="nl-NL" w:eastAsia="nl-NL"/>
              </w:rPr>
              <w:t>% (2/</w:t>
            </w:r>
            <w:r>
              <w:rPr>
                <w:color w:val="000000"/>
                <w:lang w:val="nl-NL" w:eastAsia="nl-NL"/>
              </w:rPr>
              <w:t>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977BE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</w:tr>
      <w:tr w:rsidR="00E45C3C" w:rsidRPr="00C43F6A" w14:paraId="77F6E8A1" w14:textId="77777777" w:rsidTr="00A322BA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F8717E" w14:textId="77777777" w:rsidR="00E45C3C" w:rsidRPr="00C43F6A" w:rsidRDefault="00E45C3C" w:rsidP="00E45C3C">
            <w:pPr>
              <w:spacing w:before="0" w:after="0"/>
              <w:ind w:left="229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>Enteritis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CB9C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(0/4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FB89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1</w:t>
            </w:r>
            <w:r>
              <w:rPr>
                <w:color w:val="000000"/>
                <w:lang w:val="nl-NL" w:eastAsia="nl-NL"/>
              </w:rPr>
              <w:t>5</w:t>
            </w:r>
            <w:r w:rsidRPr="00C43F6A">
              <w:rPr>
                <w:color w:val="000000"/>
                <w:lang w:val="nl-NL" w:eastAsia="nl-NL"/>
              </w:rPr>
              <w:t>% (</w:t>
            </w:r>
            <w:r>
              <w:rPr>
                <w:color w:val="000000"/>
                <w:lang w:val="nl-NL" w:eastAsia="nl-NL"/>
              </w:rPr>
              <w:t>7</w:t>
            </w:r>
            <w:r w:rsidRPr="00C43F6A">
              <w:rPr>
                <w:color w:val="000000"/>
                <w:lang w:val="nl-NL" w:eastAsia="nl-NL"/>
              </w:rPr>
              <w:t>/</w:t>
            </w:r>
            <w:r>
              <w:rPr>
                <w:color w:val="000000"/>
                <w:lang w:val="nl-NL" w:eastAsia="nl-NL"/>
              </w:rPr>
              <w:t>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84C5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27</w:t>
            </w:r>
            <w:r w:rsidRPr="00C43F6A">
              <w:rPr>
                <w:color w:val="000000"/>
                <w:lang w:val="nl-NL" w:eastAsia="nl-NL"/>
              </w:rPr>
              <w:t>% (</w:t>
            </w:r>
            <w:r>
              <w:rPr>
                <w:color w:val="000000"/>
                <w:lang w:val="nl-NL" w:eastAsia="nl-NL"/>
              </w:rPr>
              <w:t>9</w:t>
            </w:r>
            <w:r w:rsidRPr="00C43F6A">
              <w:rPr>
                <w:color w:val="000000"/>
                <w:lang w:val="nl-NL" w:eastAsia="nl-NL"/>
              </w:rPr>
              <w:t>/</w:t>
            </w:r>
            <w:r>
              <w:rPr>
                <w:color w:val="000000"/>
                <w:lang w:val="nl-NL" w:eastAsia="nl-NL"/>
              </w:rPr>
              <w:t>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D56C8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</w:tr>
      <w:tr w:rsidR="00E45C3C" w:rsidRPr="00C43F6A" w14:paraId="1F36827B" w14:textId="77777777" w:rsidTr="00A322BA">
        <w:trPr>
          <w:trHeight w:val="315"/>
        </w:trPr>
        <w:tc>
          <w:tcPr>
            <w:tcW w:w="35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476E9C" w14:textId="77777777" w:rsidR="00E45C3C" w:rsidRPr="00C43F6A" w:rsidRDefault="00E45C3C" w:rsidP="00E45C3C">
            <w:pPr>
              <w:spacing w:before="0" w:after="0"/>
              <w:ind w:left="229"/>
              <w:rPr>
                <w:b/>
                <w:bCs/>
                <w:color w:val="000000"/>
                <w:lang w:val="nl-NL" w:eastAsia="nl-NL"/>
              </w:rPr>
            </w:pP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Malignancy</w:t>
            </w:r>
            <w:proofErr w:type="spellEnd"/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35C2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(0/4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1A35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6% (3/</w:t>
            </w:r>
            <w:r>
              <w:rPr>
                <w:color w:val="000000"/>
                <w:lang w:val="nl-NL" w:eastAsia="nl-NL"/>
              </w:rPr>
              <w:t>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C4F13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3% (1/</w:t>
            </w:r>
            <w:r>
              <w:rPr>
                <w:color w:val="000000"/>
                <w:lang w:val="nl-NL" w:eastAsia="nl-NL"/>
              </w:rPr>
              <w:t>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2745A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</w:tr>
      <w:tr w:rsidR="00E45C3C" w:rsidRPr="00C43F6A" w14:paraId="5270BFDA" w14:textId="77777777" w:rsidTr="00A322BA">
        <w:trPr>
          <w:trHeight w:val="315"/>
        </w:trPr>
        <w:tc>
          <w:tcPr>
            <w:tcW w:w="993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9385DBD" w14:textId="77777777" w:rsidR="00E45C3C" w:rsidRPr="00C43F6A" w:rsidRDefault="00E45C3C" w:rsidP="00E45C3C">
            <w:pPr>
              <w:spacing w:before="0" w:after="0"/>
              <w:jc w:val="center"/>
              <w:rPr>
                <w:b/>
                <w:bCs/>
                <w:color w:val="000000"/>
                <w:lang w:val="nl-NL" w:eastAsia="nl-NL"/>
              </w:rPr>
            </w:pP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IgA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status:</w:t>
            </w:r>
          </w:p>
        </w:tc>
      </w:tr>
      <w:tr w:rsidR="00E45C3C" w:rsidRPr="00C43F6A" w14:paraId="4DC99327" w14:textId="77777777" w:rsidTr="00A322BA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7CDDC5" w14:textId="77777777" w:rsidR="00E45C3C" w:rsidRPr="00BF76D4" w:rsidRDefault="00E45C3C" w:rsidP="00E45C3C">
            <w:pPr>
              <w:spacing w:before="0" w:after="0"/>
              <w:rPr>
                <w:b/>
                <w:bCs/>
                <w:color w:val="000000"/>
                <w:lang w:eastAsia="nl-NL"/>
              </w:rPr>
            </w:pPr>
            <w:r w:rsidRPr="00C43F6A">
              <w:rPr>
                <w:b/>
                <w:bCs/>
                <w:color w:val="000000"/>
                <w:lang w:eastAsia="nl-NL"/>
              </w:rPr>
              <w:t>Serum IgA levels available (N)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A4A9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80% (3</w:t>
            </w:r>
            <w:r>
              <w:rPr>
                <w:color w:val="000000"/>
                <w:lang w:val="nl-NL" w:eastAsia="nl-NL"/>
              </w:rPr>
              <w:t>4</w:t>
            </w:r>
            <w:r w:rsidRPr="00C43F6A">
              <w:rPr>
                <w:color w:val="000000"/>
                <w:lang w:val="nl-NL" w:eastAsia="nl-NL"/>
              </w:rPr>
              <w:t>/4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B5EB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100% (</w:t>
            </w:r>
            <w:r>
              <w:rPr>
                <w:color w:val="000000"/>
                <w:lang w:val="nl-NL" w:eastAsia="nl-NL"/>
              </w:rPr>
              <w:t>48/48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DFFF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100% (</w:t>
            </w:r>
            <w:r>
              <w:rPr>
                <w:color w:val="000000"/>
                <w:lang w:val="nl-NL" w:eastAsia="nl-NL"/>
              </w:rPr>
              <w:t>33/33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61B7F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100% 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/1</w:t>
            </w:r>
            <w:r>
              <w:rPr>
                <w:color w:val="000000"/>
                <w:lang w:val="nl-NL" w:eastAsia="nl-NL"/>
              </w:rPr>
              <w:t>1</w:t>
            </w:r>
          </w:p>
        </w:tc>
      </w:tr>
      <w:tr w:rsidR="00E45C3C" w:rsidRPr="00C43F6A" w14:paraId="66D1F977" w14:textId="77777777" w:rsidTr="00A322BA">
        <w:trPr>
          <w:trHeight w:val="300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1F2BF7" w14:textId="77777777" w:rsidR="00E45C3C" w:rsidRPr="00BF76D4" w:rsidRDefault="00E45C3C" w:rsidP="00E45C3C">
            <w:pPr>
              <w:spacing w:before="0" w:after="0"/>
              <w:rPr>
                <w:b/>
                <w:bCs/>
                <w:color w:val="000000"/>
                <w:lang w:eastAsia="nl-NL"/>
              </w:rPr>
            </w:pPr>
            <w:r w:rsidRPr="00C43F6A">
              <w:rPr>
                <w:b/>
                <w:bCs/>
                <w:color w:val="000000"/>
                <w:lang w:eastAsia="nl-NL"/>
              </w:rPr>
              <w:t>% serum IgA low (&lt;0.1 g/L)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89AE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0% (0/3</w:t>
            </w:r>
            <w:r>
              <w:rPr>
                <w:color w:val="000000"/>
                <w:lang w:val="nl-NL" w:eastAsia="nl-NL"/>
              </w:rPr>
              <w:t>4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C814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>
              <w:rPr>
                <w:color w:val="000000"/>
                <w:lang w:val="nl-NL" w:eastAsia="nl-NL"/>
              </w:rPr>
              <w:t>0% (0/48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885F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100% (</w:t>
            </w:r>
            <w:r>
              <w:rPr>
                <w:color w:val="000000"/>
                <w:lang w:val="nl-NL" w:eastAsia="nl-NL"/>
              </w:rPr>
              <w:t>33/33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08DF0" w14:textId="77777777" w:rsidR="00E45C3C" w:rsidRPr="00C43F6A" w:rsidRDefault="00E45C3C" w:rsidP="00E45C3C">
            <w:pPr>
              <w:spacing w:before="0" w:after="0"/>
              <w:rPr>
                <w:color w:val="000000"/>
                <w:lang w:val="nl-NL" w:eastAsia="nl-NL"/>
              </w:rPr>
            </w:pPr>
            <w:r w:rsidRPr="00C43F6A">
              <w:rPr>
                <w:color w:val="000000"/>
                <w:lang w:val="nl-NL" w:eastAsia="nl-NL"/>
              </w:rPr>
              <w:t>100% (1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/1</w:t>
            </w:r>
            <w:r>
              <w:rPr>
                <w:color w:val="000000"/>
                <w:lang w:val="nl-NL" w:eastAsia="nl-NL"/>
              </w:rPr>
              <w:t>1</w:t>
            </w:r>
            <w:r w:rsidRPr="00C43F6A">
              <w:rPr>
                <w:color w:val="000000"/>
                <w:lang w:val="nl-NL" w:eastAsia="nl-NL"/>
              </w:rPr>
              <w:t>)</w:t>
            </w:r>
          </w:p>
        </w:tc>
      </w:tr>
      <w:tr w:rsidR="00E45C3C" w:rsidRPr="00C43F6A" w14:paraId="6734D0CB" w14:textId="77777777" w:rsidTr="00A322BA">
        <w:trPr>
          <w:trHeight w:val="315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5C3CCC" w14:textId="77777777" w:rsidR="00E45C3C" w:rsidRPr="00C43F6A" w:rsidRDefault="00E45C3C" w:rsidP="00E45C3C">
            <w:pPr>
              <w:spacing w:before="0" w:after="0"/>
              <w:rPr>
                <w:b/>
                <w:bCs/>
                <w:color w:val="000000"/>
                <w:lang w:val="nl-NL" w:eastAsia="nl-NL"/>
              </w:rPr>
            </w:pPr>
            <w:r w:rsidRPr="00C43F6A">
              <w:rPr>
                <w:b/>
                <w:bCs/>
                <w:color w:val="000000"/>
                <w:lang w:val="nl-NL" w:eastAsia="nl-NL"/>
              </w:rPr>
              <w:t xml:space="preserve">Serum 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IgA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</w:t>
            </w:r>
            <w:proofErr w:type="spellStart"/>
            <w:r w:rsidRPr="00C43F6A">
              <w:rPr>
                <w:b/>
                <w:bCs/>
                <w:color w:val="000000"/>
                <w:lang w:val="nl-NL" w:eastAsia="nl-NL"/>
              </w:rPr>
              <w:t>mean</w:t>
            </w:r>
            <w:proofErr w:type="spellEnd"/>
            <w:r w:rsidRPr="00C43F6A">
              <w:rPr>
                <w:b/>
                <w:bCs/>
                <w:color w:val="000000"/>
                <w:lang w:val="nl-NL" w:eastAsia="nl-NL"/>
              </w:rPr>
              <w:t xml:space="preserve"> </w:t>
            </w:r>
            <w:r w:rsidRPr="004201DA">
              <w:rPr>
                <w:b/>
                <w:bCs/>
                <w:color w:val="000000"/>
                <w:lang w:val="nl-NL" w:eastAsia="nl-NL"/>
              </w:rPr>
              <w:t>±</w:t>
            </w:r>
            <w:r>
              <w:rPr>
                <w:b/>
                <w:bCs/>
                <w:color w:val="000000"/>
                <w:lang w:val="nl-NL" w:eastAsia="nl-NL"/>
              </w:rPr>
              <w:t xml:space="preserve"> </w:t>
            </w:r>
            <w:r w:rsidRPr="004201DA">
              <w:rPr>
                <w:b/>
                <w:bCs/>
                <w:lang w:val="nl-NL" w:eastAsia="nl-NL"/>
              </w:rPr>
              <w:t xml:space="preserve">SD  </w:t>
            </w:r>
            <w:r w:rsidRPr="00C43F6A">
              <w:rPr>
                <w:b/>
                <w:bCs/>
                <w:color w:val="000000"/>
                <w:lang w:val="nl-NL" w:eastAsia="nl-NL"/>
              </w:rPr>
              <w:t>in g/L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2D89" w14:textId="77777777" w:rsidR="00E45C3C" w:rsidRPr="004201DA" w:rsidRDefault="00E45C3C" w:rsidP="00E45C3C">
            <w:pPr>
              <w:spacing w:before="0" w:after="0"/>
              <w:rPr>
                <w:color w:val="000000"/>
                <w:lang w:eastAsia="nl-NL"/>
              </w:rPr>
            </w:pPr>
            <w:r w:rsidRPr="004201DA">
              <w:rPr>
                <w:color w:val="000000"/>
                <w:lang w:eastAsia="nl-NL"/>
              </w:rPr>
              <w:t>2.</w:t>
            </w:r>
            <w:r>
              <w:rPr>
                <w:color w:val="000000"/>
                <w:lang w:eastAsia="nl-NL"/>
              </w:rPr>
              <w:t>04</w:t>
            </w:r>
            <w:r w:rsidRPr="004201DA">
              <w:rPr>
                <w:color w:val="000000"/>
                <w:lang w:eastAsia="nl-NL"/>
              </w:rPr>
              <w:t xml:space="preserve"> </w:t>
            </w:r>
            <w:r w:rsidRPr="004201DA">
              <w:rPr>
                <w:b/>
                <w:bCs/>
                <w:color w:val="000000"/>
                <w:lang w:eastAsia="nl-NL"/>
              </w:rPr>
              <w:t xml:space="preserve">± </w:t>
            </w:r>
            <w:r w:rsidRPr="004201DA">
              <w:rPr>
                <w:bCs/>
                <w:color w:val="000000"/>
                <w:lang w:eastAsia="nl-NL"/>
              </w:rPr>
              <w:t>0.</w:t>
            </w:r>
            <w:r>
              <w:rPr>
                <w:bCs/>
                <w:color w:val="000000"/>
                <w:lang w:eastAsia="nl-NL"/>
              </w:rPr>
              <w:t>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A8ED" w14:textId="77777777" w:rsidR="00E45C3C" w:rsidRPr="004201DA" w:rsidRDefault="00E45C3C" w:rsidP="00E45C3C">
            <w:pPr>
              <w:spacing w:before="0" w:after="0"/>
              <w:rPr>
                <w:color w:val="000000"/>
                <w:lang w:eastAsia="nl-NL"/>
              </w:rPr>
            </w:pPr>
            <w:r w:rsidRPr="004201DA">
              <w:rPr>
                <w:color w:val="000000"/>
                <w:lang w:eastAsia="nl-NL"/>
              </w:rPr>
              <w:t>0.7</w:t>
            </w:r>
            <w:r>
              <w:rPr>
                <w:color w:val="000000"/>
                <w:lang w:eastAsia="nl-NL"/>
              </w:rPr>
              <w:t>5</w:t>
            </w:r>
            <w:r w:rsidRPr="004201DA">
              <w:rPr>
                <w:color w:val="000000"/>
                <w:lang w:eastAsia="nl-NL"/>
              </w:rPr>
              <w:t xml:space="preserve"> </w:t>
            </w:r>
            <w:r w:rsidRPr="004201DA">
              <w:rPr>
                <w:b/>
                <w:bCs/>
                <w:color w:val="000000"/>
                <w:lang w:eastAsia="nl-NL"/>
              </w:rPr>
              <w:t xml:space="preserve">± </w:t>
            </w:r>
            <w:r w:rsidRPr="004201DA">
              <w:rPr>
                <w:bCs/>
                <w:color w:val="000000"/>
                <w:lang w:eastAsia="nl-NL"/>
              </w:rPr>
              <w:t>0.5</w:t>
            </w:r>
            <w:r>
              <w:rPr>
                <w:bCs/>
                <w:color w:val="000000"/>
                <w:lang w:eastAsia="nl-NL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62DD" w14:textId="77777777" w:rsidR="00E45C3C" w:rsidRPr="004201DA" w:rsidRDefault="00E45C3C" w:rsidP="00E45C3C">
            <w:pPr>
              <w:spacing w:before="0" w:after="0"/>
              <w:rPr>
                <w:color w:val="000000"/>
                <w:lang w:eastAsia="nl-NL"/>
              </w:rPr>
            </w:pPr>
            <w:r w:rsidRPr="004201DA">
              <w:rPr>
                <w:color w:val="000000"/>
                <w:lang w:eastAsia="nl-NL"/>
              </w:rPr>
              <w:t xml:space="preserve">0.07 </w:t>
            </w:r>
            <w:r w:rsidRPr="004201DA">
              <w:rPr>
                <w:b/>
                <w:bCs/>
                <w:color w:val="000000"/>
                <w:lang w:eastAsia="nl-NL"/>
              </w:rPr>
              <w:t xml:space="preserve">± </w:t>
            </w:r>
            <w:r w:rsidRPr="004201DA">
              <w:rPr>
                <w:bCs/>
                <w:color w:val="000000"/>
                <w:lang w:eastAsia="nl-NL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69F29" w14:textId="77777777" w:rsidR="00E45C3C" w:rsidRPr="004201DA" w:rsidRDefault="00E45C3C" w:rsidP="00E45C3C">
            <w:pPr>
              <w:spacing w:before="0" w:after="0"/>
              <w:rPr>
                <w:color w:val="000000"/>
                <w:lang w:eastAsia="nl-NL"/>
              </w:rPr>
            </w:pPr>
            <w:r w:rsidRPr="004201DA">
              <w:rPr>
                <w:color w:val="000000"/>
                <w:lang w:eastAsia="nl-NL"/>
              </w:rPr>
              <w:t xml:space="preserve">0.07 </w:t>
            </w:r>
            <w:r w:rsidRPr="004201DA">
              <w:rPr>
                <w:b/>
                <w:bCs/>
                <w:color w:val="000000"/>
                <w:lang w:eastAsia="nl-NL"/>
              </w:rPr>
              <w:t xml:space="preserve">± </w:t>
            </w:r>
            <w:r w:rsidRPr="004201DA">
              <w:rPr>
                <w:bCs/>
                <w:color w:val="000000"/>
                <w:lang w:eastAsia="nl-NL"/>
              </w:rPr>
              <w:t>0.00</w:t>
            </w:r>
          </w:p>
        </w:tc>
      </w:tr>
    </w:tbl>
    <w:p w14:paraId="63D7C2B0" w14:textId="77777777" w:rsidR="00994A3D" w:rsidRPr="001549D3" w:rsidRDefault="00994A3D" w:rsidP="0001436A">
      <w:pPr>
        <w:pStyle w:val="Kop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5230932D" w:rsidR="00994A3D" w:rsidRPr="001549D3" w:rsidRDefault="00E45C3C" w:rsidP="00994A3D">
      <w:pPr>
        <w:keepNext/>
        <w:jc w:val="center"/>
        <w:rPr>
          <w:rFonts w:cs="Times New Roman"/>
          <w:szCs w:val="24"/>
        </w:rPr>
      </w:pPr>
      <w:r>
        <w:rPr>
          <w:noProof/>
          <w:lang w:val="nl-NL" w:eastAsia="nl-NL"/>
        </w:rPr>
        <w:drawing>
          <wp:inline distT="0" distB="0" distL="0" distR="0" wp14:anchorId="2C8B0E8C" wp14:editId="6DB9EB98">
            <wp:extent cx="5972810" cy="3723640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9A46594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45C3C">
        <w:rPr>
          <w:rFonts w:cs="Times New Roman"/>
          <w:szCs w:val="24"/>
        </w:rPr>
        <w:t xml:space="preserve">Overview of all samples used in each figure and table. HC: healthy control. CVID: common variable immunodeficiency. XLA: X-linked </w:t>
      </w:r>
      <w:proofErr w:type="spellStart"/>
      <w:r w:rsidR="00E45C3C">
        <w:rPr>
          <w:rFonts w:cs="Times New Roman"/>
          <w:szCs w:val="24"/>
        </w:rPr>
        <w:t>agammaglobulinemia</w:t>
      </w:r>
      <w:proofErr w:type="spellEnd"/>
      <w:r w:rsidR="00E45C3C">
        <w:rPr>
          <w:rFonts w:cs="Times New Roman"/>
          <w:szCs w:val="24"/>
        </w:rPr>
        <w:t>. IgA: immunoglobulin A. HRCT: high-resolution computed tomography.</w:t>
      </w:r>
    </w:p>
    <w:p w14:paraId="42D9C62B" w14:textId="77777777" w:rsidR="00E45C3C" w:rsidRDefault="00E45C3C" w:rsidP="002B4A57">
      <w:pPr>
        <w:keepNext/>
        <w:rPr>
          <w:rFonts w:cs="Times New Roman"/>
          <w:szCs w:val="24"/>
        </w:rPr>
      </w:pPr>
    </w:p>
    <w:p w14:paraId="37942C93" w14:textId="6C0577F8" w:rsidR="00E45C3C" w:rsidRPr="002B4A57" w:rsidRDefault="00E45C3C" w:rsidP="002B4A57">
      <w:pPr>
        <w:keepNext/>
        <w:rPr>
          <w:rFonts w:cs="Times New Roman"/>
          <w:b/>
          <w:szCs w:val="24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28D859D5" wp14:editId="031FDE4B">
            <wp:extent cx="3705603" cy="499110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997" cy="49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4AE55" w14:textId="733FDC6D" w:rsidR="00E45C3C" w:rsidRDefault="00E45C3C" w:rsidP="00E45C3C">
      <w:pPr>
        <w:spacing w:line="276" w:lineRule="auto"/>
      </w:pPr>
      <w:r>
        <w:rPr>
          <w:b/>
        </w:rPr>
        <w:t>Supplementary figure 2</w:t>
      </w:r>
      <w:r>
        <w:t xml:space="preserve">: </w:t>
      </w:r>
      <w:r w:rsidRPr="00CF755F">
        <w:t>Bacterial load in oropharyngeal swab samples as determined by qPCR for</w:t>
      </w:r>
      <w:r>
        <w:t xml:space="preserve"> copies of the</w:t>
      </w:r>
      <w:r w:rsidRPr="00CF755F">
        <w:t xml:space="preserve"> 16S </w:t>
      </w:r>
      <w:proofErr w:type="spellStart"/>
      <w:r w:rsidRPr="00CF755F">
        <w:t>rRNA</w:t>
      </w:r>
      <w:proofErr w:type="spellEnd"/>
      <w:r>
        <w:t xml:space="preserve"> gene in DNA isolates from oropharyngeal swabs</w:t>
      </w:r>
      <w:r w:rsidRPr="00CF755F">
        <w:t xml:space="preserve"> in</w:t>
      </w:r>
      <w:r>
        <w:t xml:space="preserve"> participants who did not use antibiotics</w:t>
      </w:r>
      <w:r>
        <w:t xml:space="preserve"> (-AB) </w:t>
      </w:r>
      <w:r>
        <w:t xml:space="preserve"> up to three months prior to sampling. H</w:t>
      </w:r>
      <w:r w:rsidRPr="00CF755F">
        <w:t xml:space="preserve">ealthy controls (HC, n=49), CVID </w:t>
      </w:r>
      <w:r>
        <w:t>+IgA</w:t>
      </w:r>
      <w:r w:rsidRPr="00CF755F">
        <w:t xml:space="preserve"> </w:t>
      </w:r>
      <w:r>
        <w:t>(</w:t>
      </w:r>
      <w:r w:rsidRPr="00CF755F">
        <w:t>n=</w:t>
      </w:r>
      <w:r>
        <w:t>32</w:t>
      </w:r>
      <w:r>
        <w:t>)</w:t>
      </w:r>
      <w:r w:rsidRPr="00CF755F">
        <w:t xml:space="preserve">, CVID </w:t>
      </w:r>
      <w:r>
        <w:t>–IgA (</w:t>
      </w:r>
      <w:r w:rsidRPr="00CF755F">
        <w:t>n=</w:t>
      </w:r>
      <w:r>
        <w:t>2</w:t>
      </w:r>
      <w:r>
        <w:t>6</w:t>
      </w:r>
      <w:r>
        <w:t xml:space="preserve">) and </w:t>
      </w:r>
      <w:r w:rsidRPr="00CF755F">
        <w:t xml:space="preserve"> X-linked </w:t>
      </w:r>
      <w:proofErr w:type="spellStart"/>
      <w:r w:rsidRPr="00CF755F">
        <w:t>agammaglobulinemia</w:t>
      </w:r>
      <w:proofErr w:type="spellEnd"/>
      <w:r w:rsidRPr="00CF755F">
        <w:t xml:space="preserve"> (XLA, n=</w:t>
      </w:r>
      <w:r>
        <w:t>5</w:t>
      </w:r>
      <w:r w:rsidRPr="00CF755F">
        <w:t>)</w:t>
      </w:r>
      <w:r>
        <w:t xml:space="preserve">. </w:t>
      </w:r>
      <w:r w:rsidRPr="00CF755F">
        <w:t>The horizontal line inside the box represents the median. The whiskers represent the lowest and highest values within 1.5×interquartile range. Statistical test: Mann-Whitney U test</w:t>
      </w:r>
      <w:r>
        <w:t>.</w:t>
      </w:r>
    </w:p>
    <w:p w14:paraId="7C0A7F6A" w14:textId="72EA887F" w:rsidR="00E45C3C" w:rsidRDefault="00E45C3C" w:rsidP="00E45C3C">
      <w:pPr>
        <w:spacing w:line="276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2A836819" wp14:editId="575E4727">
            <wp:extent cx="4381500" cy="5267834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58156"/>
                    <a:stretch/>
                  </pic:blipFill>
                  <pic:spPr bwMode="auto">
                    <a:xfrm>
                      <a:off x="0" y="0"/>
                      <a:ext cx="4387991" cy="527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FD598" w14:textId="77777777" w:rsidR="007457E1" w:rsidRDefault="007457E1" w:rsidP="007457E1">
      <w:pPr>
        <w:spacing w:line="276" w:lineRule="auto"/>
        <w:rPr>
          <w:b/>
        </w:rPr>
      </w:pPr>
      <w:r>
        <w:rPr>
          <w:b/>
        </w:rPr>
        <w:t>Supplementary f</w:t>
      </w:r>
      <w:r w:rsidRPr="001010A4">
        <w:rPr>
          <w:b/>
        </w:rPr>
        <w:t xml:space="preserve">igure </w:t>
      </w:r>
      <w:r>
        <w:rPr>
          <w:b/>
        </w:rPr>
        <w:t xml:space="preserve">3 </w:t>
      </w:r>
    </w:p>
    <w:p w14:paraId="3D221697" w14:textId="77777777" w:rsidR="007457E1" w:rsidRDefault="007457E1" w:rsidP="007457E1">
      <w:pPr>
        <w:spacing w:line="276" w:lineRule="auto"/>
      </w:pPr>
      <w:r w:rsidRPr="00997AFE">
        <w:rPr>
          <w:b/>
        </w:rPr>
        <w:t>A</w:t>
      </w:r>
      <w:r>
        <w:t xml:space="preserve"> </w:t>
      </w:r>
      <w:r w:rsidRPr="00CF755F">
        <w:t>Alpha diversity</w:t>
      </w:r>
      <w:r>
        <w:t xml:space="preserve"> </w:t>
      </w:r>
      <w:r w:rsidRPr="00CF755F">
        <w:t xml:space="preserve">as measured by </w:t>
      </w:r>
      <w:r>
        <w:t>inverse Simpson’s index</w:t>
      </w:r>
      <w:r w:rsidRPr="00CF755F">
        <w:t xml:space="preserve"> on 16S </w:t>
      </w:r>
      <w:proofErr w:type="spellStart"/>
      <w:r w:rsidRPr="00CF755F">
        <w:t>rRNA</w:t>
      </w:r>
      <w:proofErr w:type="spellEnd"/>
      <w:r w:rsidRPr="00CF755F">
        <w:t xml:space="preserve"> sequencing data of </w:t>
      </w:r>
      <w:r>
        <w:t xml:space="preserve">participants who did not use antibiotics up to 3 months prior to sampling (-AB): </w:t>
      </w:r>
      <w:r w:rsidRPr="00CF755F">
        <w:t xml:space="preserve">healthy controls (HC, n=41), CVID </w:t>
      </w:r>
      <w:r>
        <w:t>+IgA</w:t>
      </w:r>
      <w:r w:rsidRPr="00CF755F">
        <w:t xml:space="preserve"> </w:t>
      </w:r>
      <w:r>
        <w:t>(</w:t>
      </w:r>
      <w:r w:rsidRPr="00CF755F">
        <w:t>n=</w:t>
      </w:r>
      <w:r>
        <w:t>32</w:t>
      </w:r>
      <w:r w:rsidRPr="00CF755F">
        <w:t xml:space="preserve">), CVID </w:t>
      </w:r>
      <w:r>
        <w:t>-</w:t>
      </w:r>
      <w:r w:rsidRPr="002051A5">
        <w:t>IgA (n=2</w:t>
      </w:r>
      <w:r>
        <w:t>5</w:t>
      </w:r>
      <w:r w:rsidRPr="002051A5">
        <w:t>)</w:t>
      </w:r>
      <w:r>
        <w:t xml:space="preserve"> and</w:t>
      </w:r>
      <w:r w:rsidRPr="00CF755F">
        <w:t xml:space="preserve"> XLA (n=</w:t>
      </w:r>
      <w:r>
        <w:t xml:space="preserve">5). </w:t>
      </w:r>
      <w:r w:rsidRPr="00CF755F">
        <w:t xml:space="preserve">The horizontal line inside the box represents the median. The whiskers represent the lowest and highest values within 1.5×interquartile range. Statistical test: Mann-Whitney U test. </w:t>
      </w:r>
    </w:p>
    <w:p w14:paraId="3031023E" w14:textId="77777777" w:rsidR="007457E1" w:rsidRDefault="007457E1" w:rsidP="00E45C3C">
      <w:pPr>
        <w:spacing w:line="276" w:lineRule="auto"/>
      </w:pPr>
    </w:p>
    <w:p w14:paraId="40A28165" w14:textId="354ADCE7" w:rsidR="00E45C3C" w:rsidRDefault="00E45C3C" w:rsidP="00E45C3C">
      <w:pPr>
        <w:spacing w:line="276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4096243" wp14:editId="6FE5BFFC">
            <wp:extent cx="5505450" cy="5083607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5517"/>
                    <a:stretch/>
                  </pic:blipFill>
                  <pic:spPr bwMode="auto">
                    <a:xfrm>
                      <a:off x="0" y="0"/>
                      <a:ext cx="5515854" cy="509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A784A" w14:textId="7E239A3D" w:rsidR="00E45C3C" w:rsidRDefault="00E45C3C" w:rsidP="00E45C3C">
      <w:pPr>
        <w:spacing w:line="276" w:lineRule="auto"/>
        <w:rPr>
          <w:b/>
        </w:rPr>
      </w:pPr>
      <w:r>
        <w:rPr>
          <w:b/>
        </w:rPr>
        <w:t>Supplementary f</w:t>
      </w:r>
      <w:r w:rsidRPr="001010A4">
        <w:rPr>
          <w:b/>
        </w:rPr>
        <w:t xml:space="preserve">igure </w:t>
      </w:r>
      <w:r>
        <w:rPr>
          <w:b/>
        </w:rPr>
        <w:t>3</w:t>
      </w:r>
      <w:r>
        <w:rPr>
          <w:b/>
        </w:rPr>
        <w:t xml:space="preserve"> </w:t>
      </w:r>
    </w:p>
    <w:p w14:paraId="7B65BC41" w14:textId="5BA65D8E" w:rsidR="00DE23E8" w:rsidRDefault="00E45C3C" w:rsidP="00E45C3C">
      <w:pPr>
        <w:spacing w:before="240" w:line="276" w:lineRule="auto"/>
      </w:pPr>
      <w:r>
        <w:rPr>
          <w:b/>
        </w:rPr>
        <w:t>B</w:t>
      </w:r>
      <w:r>
        <w:t xml:space="preserve"> </w:t>
      </w:r>
      <w:r w:rsidRPr="00CF755F">
        <w:t>Principal component analysis of centered log ratio</w:t>
      </w:r>
      <w:r>
        <w:t xml:space="preserve"> (CLR)</w:t>
      </w:r>
      <w:r w:rsidRPr="00CF755F">
        <w:t xml:space="preserve">-transformed </w:t>
      </w:r>
      <w:r>
        <w:t>family</w:t>
      </w:r>
      <w:r w:rsidRPr="00CF755F">
        <w:t xml:space="preserve"> level 16S </w:t>
      </w:r>
      <w:proofErr w:type="spellStart"/>
      <w:r w:rsidRPr="00CF755F">
        <w:t>rRNA</w:t>
      </w:r>
      <w:proofErr w:type="spellEnd"/>
      <w:r w:rsidRPr="00CF755F">
        <w:t xml:space="preserve"> sequencing data</w:t>
      </w:r>
      <w:r>
        <w:t xml:space="preserve"> of the same samples described in </w:t>
      </w:r>
      <w:r w:rsidRPr="001010A4">
        <w:rPr>
          <w:b/>
        </w:rPr>
        <w:t>A</w:t>
      </w:r>
      <w:r>
        <w:t>. Ellipses indicate 95% confidence intervals. Statistics: PERMANOVA using Euclidean distance on CLR data, p=0.015.</w:t>
      </w:r>
    </w:p>
    <w:p w14:paraId="5D4C7488" w14:textId="77777777" w:rsidR="007457E1" w:rsidRDefault="007457E1" w:rsidP="007457E1">
      <w:pPr>
        <w:spacing w:line="276" w:lineRule="auto"/>
        <w:rPr>
          <w:b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32345B28" wp14:editId="1D99EB0B">
            <wp:extent cx="5972810" cy="4777740"/>
            <wp:effectExtent l="0" t="0" r="889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7E1">
        <w:rPr>
          <w:b/>
        </w:rPr>
        <w:t xml:space="preserve"> </w:t>
      </w:r>
    </w:p>
    <w:p w14:paraId="5FC967AF" w14:textId="496E37C0" w:rsidR="007457E1" w:rsidRDefault="007457E1" w:rsidP="007457E1">
      <w:pPr>
        <w:spacing w:line="276" w:lineRule="auto"/>
      </w:pPr>
      <w:r>
        <w:rPr>
          <w:b/>
        </w:rPr>
        <w:t>Supplementary f</w:t>
      </w:r>
      <w:r w:rsidRPr="001010A4">
        <w:rPr>
          <w:b/>
        </w:rPr>
        <w:t xml:space="preserve">igure </w:t>
      </w:r>
      <w:r>
        <w:rPr>
          <w:b/>
        </w:rPr>
        <w:t>4</w:t>
      </w:r>
      <w:r>
        <w:rPr>
          <w:b/>
        </w:rPr>
        <w:t xml:space="preserve"> </w:t>
      </w:r>
      <w:r>
        <w:t xml:space="preserve">Differentially abundant taxa in 16S </w:t>
      </w:r>
      <w:proofErr w:type="spellStart"/>
      <w:r>
        <w:t>rRNA</w:t>
      </w:r>
      <w:proofErr w:type="spellEnd"/>
      <w:r>
        <w:t xml:space="preserve"> sequencing of </w:t>
      </w:r>
      <w:r w:rsidRPr="00CF755F">
        <w:t xml:space="preserve">healthy controls (HC, n=41), CVID </w:t>
      </w:r>
      <w:r>
        <w:t>+IgA</w:t>
      </w:r>
      <w:r w:rsidRPr="00CF755F">
        <w:t xml:space="preserve"> </w:t>
      </w:r>
      <w:r>
        <w:t>(</w:t>
      </w:r>
      <w:r w:rsidRPr="00CF755F">
        <w:t>n=</w:t>
      </w:r>
      <w:r>
        <w:t>32</w:t>
      </w:r>
      <w:r w:rsidRPr="00CF755F">
        <w:t xml:space="preserve">), CVID </w:t>
      </w:r>
      <w:r>
        <w:t>-IgA</w:t>
      </w:r>
      <w:r w:rsidRPr="00CF755F">
        <w:t xml:space="preserve"> </w:t>
      </w:r>
      <w:r>
        <w:t>(</w:t>
      </w:r>
      <w:r>
        <w:t>n=25</w:t>
      </w:r>
      <w:r w:rsidRPr="002051A5">
        <w:t>)</w:t>
      </w:r>
      <w:r>
        <w:t xml:space="preserve"> and</w:t>
      </w:r>
      <w:r w:rsidRPr="00CF755F">
        <w:t xml:space="preserve"> XLA (n=</w:t>
      </w:r>
      <w:r>
        <w:t>5)</w:t>
      </w:r>
      <w:r>
        <w:t xml:space="preserve"> patients who did not use antibiotics (-AB) 3 months prior to sampling</w:t>
      </w:r>
      <w:r>
        <w:t>.</w:t>
      </w:r>
      <w:r>
        <w:t xml:space="preserve"> </w:t>
      </w:r>
      <w:r w:rsidRPr="00CF755F">
        <w:t xml:space="preserve">Statistics: ANCOM corrected for age and gender and </w:t>
      </w:r>
      <w:proofErr w:type="spellStart"/>
      <w:r w:rsidRPr="00CF755F">
        <w:t>Benjamini</w:t>
      </w:r>
      <w:proofErr w:type="spellEnd"/>
      <w:r w:rsidRPr="00CF755F">
        <w:t>-Hochberg correction for false discovery rate. The horizontal line inside the box represents the median. The whiskers represent the lowest and highest values within 1.5×interquartile range.</w:t>
      </w:r>
    </w:p>
    <w:p w14:paraId="70207F17" w14:textId="77777777" w:rsidR="007457E1" w:rsidRDefault="007457E1" w:rsidP="007457E1">
      <w:pPr>
        <w:spacing w:line="276" w:lineRule="auto"/>
      </w:pPr>
    </w:p>
    <w:p w14:paraId="29B8800E" w14:textId="4428B635" w:rsidR="007457E1" w:rsidRDefault="007457E1" w:rsidP="007457E1">
      <w:pPr>
        <w:spacing w:line="276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68E2DB61" wp14:editId="6207070E">
            <wp:extent cx="5972810" cy="3349625"/>
            <wp:effectExtent l="0" t="0" r="889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64A5" w14:textId="0C15E254" w:rsidR="007457E1" w:rsidRDefault="007457E1" w:rsidP="007457E1">
      <w:pPr>
        <w:spacing w:line="276" w:lineRule="auto"/>
      </w:pPr>
      <w:r>
        <w:rPr>
          <w:noProof/>
          <w:lang w:val="nl-NL" w:eastAsia="nl-NL"/>
        </w:rPr>
        <w:drawing>
          <wp:inline distT="0" distB="0" distL="0" distR="0" wp14:anchorId="34994D7F" wp14:editId="302F9E0F">
            <wp:extent cx="2962275" cy="3324450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2590" cy="332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7E1">
        <w:rPr>
          <w:b/>
        </w:rPr>
        <w:t xml:space="preserve"> </w:t>
      </w:r>
      <w:r w:rsidR="00831775">
        <w:rPr>
          <w:b/>
        </w:rPr>
        <w:t>Supplementary figure 5</w:t>
      </w:r>
      <w:bookmarkStart w:id="0" w:name="_GoBack"/>
      <w:bookmarkEnd w:id="0"/>
      <w:r>
        <w:rPr>
          <w:b/>
        </w:rPr>
        <w:t xml:space="preserve"> A</w:t>
      </w:r>
      <w:r>
        <w:t xml:space="preserve"> </w:t>
      </w:r>
      <w:r w:rsidRPr="00CF755F">
        <w:t>Bacterial load in oropharyngeal swab samples as determined by qPCR for</w:t>
      </w:r>
      <w:r>
        <w:t xml:space="preserve"> copies of the</w:t>
      </w:r>
      <w:r w:rsidRPr="00CF755F">
        <w:t xml:space="preserve"> 16S </w:t>
      </w:r>
      <w:proofErr w:type="spellStart"/>
      <w:r w:rsidRPr="00CF755F">
        <w:t>rRNA</w:t>
      </w:r>
      <w:proofErr w:type="spellEnd"/>
      <w:r>
        <w:t xml:space="preserve"> gene in DNA isolates from oropharyngeal swabs</w:t>
      </w:r>
      <w:r w:rsidRPr="00CF755F">
        <w:t xml:space="preserve"> in </w:t>
      </w:r>
      <w:r>
        <w:t>patients with ai</w:t>
      </w:r>
      <w:r>
        <w:t>rway disease score (AD) &lt;2 (n=22) or &gt;10 (n=15</w:t>
      </w:r>
      <w:r>
        <w:t xml:space="preserve">). </w:t>
      </w:r>
    </w:p>
    <w:p w14:paraId="422EF305" w14:textId="466F48B3" w:rsidR="007457E1" w:rsidRPr="004263F2" w:rsidRDefault="007457E1" w:rsidP="007457E1">
      <w:pPr>
        <w:spacing w:line="276" w:lineRule="auto"/>
        <w:rPr>
          <w:b/>
        </w:rPr>
      </w:pPr>
      <w:r w:rsidRPr="004263F2">
        <w:rPr>
          <w:b/>
        </w:rPr>
        <w:t>B</w:t>
      </w:r>
      <w:r>
        <w:rPr>
          <w:b/>
        </w:rPr>
        <w:t xml:space="preserve"> </w:t>
      </w:r>
      <w:r w:rsidRPr="00CF755F">
        <w:t>Bacterial load in oropharyngeal swab samples as determined by qPCR for</w:t>
      </w:r>
      <w:r>
        <w:t xml:space="preserve"> copies of the</w:t>
      </w:r>
      <w:r w:rsidRPr="00CF755F">
        <w:t xml:space="preserve"> 16S </w:t>
      </w:r>
      <w:proofErr w:type="spellStart"/>
      <w:r w:rsidRPr="00CF755F">
        <w:t>rRNA</w:t>
      </w:r>
      <w:proofErr w:type="spellEnd"/>
      <w:r>
        <w:t xml:space="preserve"> gene in DNA isolates from oropharyngeal swabs</w:t>
      </w:r>
      <w:r w:rsidRPr="00CF755F">
        <w:t xml:space="preserve"> in </w:t>
      </w:r>
      <w:r>
        <w:t>patients with interstitial l</w:t>
      </w:r>
      <w:r>
        <w:t>ung disease score (ILD) &lt;2 (n=51</w:t>
      </w:r>
      <w:r>
        <w:t>) or &gt;10 (n=10).</w:t>
      </w:r>
    </w:p>
    <w:p w14:paraId="1E2DE1EE" w14:textId="77777777" w:rsidR="007457E1" w:rsidRDefault="007457E1" w:rsidP="007457E1">
      <w:pPr>
        <w:spacing w:line="276" w:lineRule="auto"/>
      </w:pPr>
      <w:r w:rsidRPr="004263F2">
        <w:rPr>
          <w:b/>
        </w:rPr>
        <w:lastRenderedPageBreak/>
        <w:t>C</w:t>
      </w:r>
      <w:r w:rsidRPr="004263F2">
        <w:t xml:space="preserve"> </w:t>
      </w:r>
      <w:r w:rsidRPr="00CF755F">
        <w:t xml:space="preserve">Alpha diversity of </w:t>
      </w:r>
      <w:r>
        <w:t xml:space="preserve">the same samples described in </w:t>
      </w:r>
      <w:r w:rsidRPr="001010A4">
        <w:rPr>
          <w:b/>
        </w:rPr>
        <w:t>A</w:t>
      </w:r>
      <w:r>
        <w:rPr>
          <w:b/>
        </w:rPr>
        <w:t xml:space="preserve"> and B</w:t>
      </w:r>
      <w:r w:rsidRPr="00CF755F">
        <w:t xml:space="preserve"> as measured by </w:t>
      </w:r>
      <w:r>
        <w:t>inverse Simpson’s index</w:t>
      </w:r>
      <w:r w:rsidRPr="00CF755F">
        <w:t xml:space="preserve"> on 16S </w:t>
      </w:r>
      <w:proofErr w:type="spellStart"/>
      <w:r w:rsidRPr="00CF755F">
        <w:t>rRNA</w:t>
      </w:r>
      <w:proofErr w:type="spellEnd"/>
      <w:r w:rsidRPr="00CF755F">
        <w:t xml:space="preserve"> sequencing data.</w:t>
      </w:r>
    </w:p>
    <w:p w14:paraId="42A696BA" w14:textId="61413C81" w:rsidR="007457E1" w:rsidRPr="001549D3" w:rsidRDefault="007457E1" w:rsidP="007457E1">
      <w:pPr>
        <w:spacing w:line="276" w:lineRule="auto"/>
      </w:pPr>
      <w:r w:rsidRPr="00CF755F">
        <w:t>The horizontal line inside the box represents the median. The whiskers represent the lowest and highest values within 1.5×interquartile range. Statistical test: Mann-Whitney U test.</w:t>
      </w:r>
    </w:p>
    <w:sectPr w:rsidR="007457E1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3177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3177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3177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3177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nl-NL" w:eastAsia="nl-NL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Kop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97154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2AA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57E1"/>
    <w:rsid w:val="007501BE"/>
    <w:rsid w:val="00790BB3"/>
    <w:rsid w:val="007C206C"/>
    <w:rsid w:val="00817DD6"/>
    <w:rsid w:val="00831775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5C3C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Kop1">
    <w:name w:val="heading 1"/>
    <w:basedOn w:val="Lijstalinea"/>
    <w:next w:val="Standaard"/>
    <w:link w:val="Kop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Kop2">
    <w:name w:val="heading 2"/>
    <w:basedOn w:val="Kop1"/>
    <w:next w:val="Standaard"/>
    <w:link w:val="Kop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Kop3">
    <w:name w:val="heading 3"/>
    <w:basedOn w:val="Standaard"/>
    <w:next w:val="Standaard"/>
    <w:link w:val="Kop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Kop3"/>
    <w:next w:val="Standaard"/>
    <w:link w:val="Kop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Kop5">
    <w:name w:val="heading 5"/>
    <w:basedOn w:val="Kop4"/>
    <w:next w:val="Standaard"/>
    <w:link w:val="Kop5Char"/>
    <w:uiPriority w:val="2"/>
    <w:qFormat/>
    <w:rsid w:val="00AB6715"/>
    <w:pPr>
      <w:numPr>
        <w:ilvl w:val="4"/>
      </w:num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Ondertitel">
    <w:name w:val="Subtitle"/>
    <w:basedOn w:val="Standaard"/>
    <w:next w:val="Standaard"/>
    <w:link w:val="Ondertite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Ondertitel"/>
    <w:next w:val="Standaard"/>
    <w:uiPriority w:val="1"/>
    <w:qFormat/>
    <w:rsid w:val="00AB6715"/>
  </w:style>
  <w:style w:type="paragraph" w:styleId="Ballontekst">
    <w:name w:val="Balloon Text"/>
    <w:basedOn w:val="Standaard"/>
    <w:link w:val="Ballonteks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elvanboek">
    <w:name w:val="Book Title"/>
    <w:basedOn w:val="Standaardalinea-lettertyp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jschrift">
    <w:name w:val="caption"/>
    <w:basedOn w:val="Standaard"/>
    <w:next w:val="Ge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Geenafsta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67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67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67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AB6715"/>
    <w:rPr>
      <w:rFonts w:ascii="Times New Roman" w:hAnsi="Times New Roman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6715"/>
    <w:rPr>
      <w:rFonts w:ascii="Times New Roman" w:hAnsi="Times New Roman"/>
      <w:sz w:val="24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tekstChar">
    <w:name w:val="Koptekst Char"/>
    <w:basedOn w:val="Standaardalinea-lettertype"/>
    <w:link w:val="Koptekst"/>
    <w:uiPriority w:val="99"/>
    <w:rsid w:val="00AB6715"/>
    <w:rPr>
      <w:rFonts w:ascii="Times New Roman" w:hAnsi="Times New Roman"/>
      <w:b/>
      <w:sz w:val="24"/>
    </w:rPr>
  </w:style>
  <w:style w:type="paragraph" w:styleId="Lijstalinea">
    <w:name w:val="List Paragraph"/>
    <w:basedOn w:val="Standa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ardalinea-lettertype"/>
    <w:uiPriority w:val="99"/>
    <w:unhideWhenUsed/>
    <w:rsid w:val="00AB6715"/>
    <w:rPr>
      <w:color w:val="0000FF"/>
      <w:u w:val="single"/>
    </w:rPr>
  </w:style>
  <w:style w:type="character" w:styleId="Intensievebenadrukking">
    <w:name w:val="Intense Emphasis"/>
    <w:basedOn w:val="Standaardalinea-lettertyp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AB6715"/>
    <w:rPr>
      <w:b/>
      <w:bCs/>
      <w:smallCaps/>
      <w:color w:val="auto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AB6715"/>
  </w:style>
  <w:style w:type="character" w:customStyle="1" w:styleId="Kop3Char">
    <w:name w:val="Kop 3 Char"/>
    <w:basedOn w:val="Standaardalinea-lettertype"/>
    <w:link w:val="Kop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Zwaar">
    <w:name w:val="Strong"/>
    <w:basedOn w:val="Standaardalinea-lettertype"/>
    <w:uiPriority w:val="22"/>
    <w:qFormat/>
    <w:rsid w:val="00AB6715"/>
    <w:rPr>
      <w:rFonts w:ascii="Times New Roman" w:hAnsi="Times New Roman"/>
      <w:b/>
      <w:bCs/>
    </w:rPr>
  </w:style>
  <w:style w:type="character" w:styleId="Subtielebenadrukking">
    <w:name w:val="Subtle Emphasis"/>
    <w:basedOn w:val="Standaardalinea-lettertyp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raster">
    <w:name w:val="Table Grid"/>
    <w:basedOn w:val="Standaardtabe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Kop1">
    <w:name w:val="heading 1"/>
    <w:basedOn w:val="Lijstalinea"/>
    <w:next w:val="Standaard"/>
    <w:link w:val="Kop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Kop2">
    <w:name w:val="heading 2"/>
    <w:basedOn w:val="Kop1"/>
    <w:next w:val="Standaard"/>
    <w:link w:val="Kop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Kop3">
    <w:name w:val="heading 3"/>
    <w:basedOn w:val="Standaard"/>
    <w:next w:val="Standaard"/>
    <w:link w:val="Kop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Kop3"/>
    <w:next w:val="Standaard"/>
    <w:link w:val="Kop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Kop5">
    <w:name w:val="heading 5"/>
    <w:basedOn w:val="Kop4"/>
    <w:next w:val="Standaard"/>
    <w:link w:val="Kop5Char"/>
    <w:uiPriority w:val="2"/>
    <w:qFormat/>
    <w:rsid w:val="00AB6715"/>
    <w:pPr>
      <w:numPr>
        <w:ilvl w:val="4"/>
      </w:num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Ondertitel">
    <w:name w:val="Subtitle"/>
    <w:basedOn w:val="Standaard"/>
    <w:next w:val="Standaard"/>
    <w:link w:val="Ondertite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Ondertitel"/>
    <w:next w:val="Standaard"/>
    <w:uiPriority w:val="1"/>
    <w:qFormat/>
    <w:rsid w:val="00AB6715"/>
  </w:style>
  <w:style w:type="paragraph" w:styleId="Ballontekst">
    <w:name w:val="Balloon Text"/>
    <w:basedOn w:val="Standaard"/>
    <w:link w:val="Ballonteks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elvanboek">
    <w:name w:val="Book Title"/>
    <w:basedOn w:val="Standaardalinea-lettertyp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jschrift">
    <w:name w:val="caption"/>
    <w:basedOn w:val="Standaard"/>
    <w:next w:val="Ge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Geenafsta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67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67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67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AB6715"/>
    <w:rPr>
      <w:rFonts w:ascii="Times New Roman" w:hAnsi="Times New Roman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6715"/>
    <w:rPr>
      <w:rFonts w:ascii="Times New Roman" w:hAnsi="Times New Roman"/>
      <w:sz w:val="24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tekstChar">
    <w:name w:val="Koptekst Char"/>
    <w:basedOn w:val="Standaardalinea-lettertype"/>
    <w:link w:val="Koptekst"/>
    <w:uiPriority w:val="99"/>
    <w:rsid w:val="00AB6715"/>
    <w:rPr>
      <w:rFonts w:ascii="Times New Roman" w:hAnsi="Times New Roman"/>
      <w:b/>
      <w:sz w:val="24"/>
    </w:rPr>
  </w:style>
  <w:style w:type="paragraph" w:styleId="Lijstalinea">
    <w:name w:val="List Paragraph"/>
    <w:basedOn w:val="Standa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ardalinea-lettertype"/>
    <w:uiPriority w:val="99"/>
    <w:unhideWhenUsed/>
    <w:rsid w:val="00AB6715"/>
    <w:rPr>
      <w:color w:val="0000FF"/>
      <w:u w:val="single"/>
    </w:rPr>
  </w:style>
  <w:style w:type="character" w:styleId="Intensievebenadrukking">
    <w:name w:val="Intense Emphasis"/>
    <w:basedOn w:val="Standaardalinea-lettertyp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AB6715"/>
    <w:rPr>
      <w:b/>
      <w:bCs/>
      <w:smallCaps/>
      <w:color w:val="auto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AB6715"/>
  </w:style>
  <w:style w:type="character" w:customStyle="1" w:styleId="Kop3Char">
    <w:name w:val="Kop 3 Char"/>
    <w:basedOn w:val="Standaardalinea-lettertype"/>
    <w:link w:val="Kop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Zwaar">
    <w:name w:val="Strong"/>
    <w:basedOn w:val="Standaardalinea-lettertype"/>
    <w:uiPriority w:val="22"/>
    <w:qFormat/>
    <w:rsid w:val="00AB6715"/>
    <w:rPr>
      <w:rFonts w:ascii="Times New Roman" w:hAnsi="Times New Roman"/>
      <w:b/>
      <w:bCs/>
    </w:rPr>
  </w:style>
  <w:style w:type="character" w:styleId="Subtielebenadrukking">
    <w:name w:val="Subtle Emphasis"/>
    <w:basedOn w:val="Standaardalinea-lettertyp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raster">
    <w:name w:val="Table Grid"/>
    <w:basedOn w:val="Standaardtabe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www.gitlab.com/rberbers/cvid_mbiota_oral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D667569-722A-471A-B673-96D25978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18</TotalTime>
  <Pages>13</Pages>
  <Words>5004</Words>
  <Characters>27526</Characters>
  <Application>Microsoft Office Word</Application>
  <DocSecurity>0</DocSecurity>
  <Lines>229</Lines>
  <Paragraphs>64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Utrecht</Company>
  <LinksUpToDate>false</LinksUpToDate>
  <CharactersWithSpaces>32466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Berbers, R.</cp:lastModifiedBy>
  <cp:revision>4</cp:revision>
  <cp:lastPrinted>2013-10-03T12:51:00Z</cp:lastPrinted>
  <dcterms:created xsi:type="dcterms:W3CDTF">2020-02-17T12:00:00Z</dcterms:created>
  <dcterms:modified xsi:type="dcterms:W3CDTF">2020-02-24T12:41:00Z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http://www.zotero.org/styles/frontiers-in-immunology</vt:lpwstr>
  </property>
  <property fmtid="{D5CDD505-2E9C-101B-9397-08002B2CF9AE}" pid="13" name="Mendeley Recent Style Name 5_1">
    <vt:lpwstr>Frontiers in Immunology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