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7F7A" w14:textId="77777777" w:rsidR="00EF5CEC" w:rsidRPr="00AC5841" w:rsidRDefault="000B5B23" w:rsidP="00EF5CEC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Supplementary </w:t>
      </w:r>
      <w:r w:rsidR="00544384">
        <w:rPr>
          <w:rFonts w:cs="Times New Roman"/>
          <w:b/>
          <w:szCs w:val="24"/>
        </w:rPr>
        <w:t>T</w:t>
      </w:r>
      <w:r w:rsidR="00EF5CEC" w:rsidRPr="00AC5841">
        <w:rPr>
          <w:rFonts w:cs="Times New Roman"/>
          <w:b/>
          <w:szCs w:val="24"/>
        </w:rPr>
        <w:t>able 1: Published works on germ-line variants and toxicity in locally advanced rectal cancer (LARC) patients receiving neoadjuvant chemoradiotherapy (</w:t>
      </w:r>
      <w:proofErr w:type="spellStart"/>
      <w:r w:rsidR="00EF5CEC" w:rsidRPr="00AC5841">
        <w:rPr>
          <w:rFonts w:cs="Times New Roman"/>
          <w:b/>
          <w:szCs w:val="24"/>
        </w:rPr>
        <w:t>nCRT</w:t>
      </w:r>
      <w:proofErr w:type="spellEnd"/>
      <w:r w:rsidR="00EF5CEC" w:rsidRPr="00AC5841">
        <w:rPr>
          <w:rFonts w:cs="Times New Roman"/>
          <w:b/>
          <w:szCs w:val="24"/>
        </w:rPr>
        <w:t>)</w:t>
      </w:r>
    </w:p>
    <w:tbl>
      <w:tblPr>
        <w:tblStyle w:val="TableGrid"/>
        <w:tblW w:w="5221" w:type="pct"/>
        <w:tblInd w:w="-289" w:type="dxa"/>
        <w:tblLook w:val="04A0" w:firstRow="1" w:lastRow="0" w:firstColumn="1" w:lastColumn="0" w:noHBand="0" w:noVBand="1"/>
      </w:tblPr>
      <w:tblGrid>
        <w:gridCol w:w="2176"/>
        <w:gridCol w:w="1228"/>
        <w:gridCol w:w="2686"/>
        <w:gridCol w:w="1106"/>
        <w:gridCol w:w="4101"/>
        <w:gridCol w:w="2322"/>
        <w:gridCol w:w="1537"/>
      </w:tblGrid>
      <w:tr w:rsidR="00974C9F" w:rsidRPr="00544384" w14:paraId="2E5B26E6" w14:textId="77777777" w:rsidTr="000D2511">
        <w:trPr>
          <w:trHeight w:val="194"/>
        </w:trPr>
        <w:tc>
          <w:tcPr>
            <w:tcW w:w="718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DD180E" w14:textId="77777777" w:rsidR="002C5875" w:rsidRPr="00544384" w:rsidRDefault="002C5875" w:rsidP="000D2511">
            <w:pPr>
              <w:spacing w:before="0" w:after="12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544384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>Pharmacogenetic panel</w:t>
            </w:r>
          </w:p>
        </w:tc>
        <w:tc>
          <w:tcPr>
            <w:tcW w:w="405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DF0956D" w14:textId="77777777" w:rsidR="002C5875" w:rsidRPr="00544384" w:rsidRDefault="002C5875" w:rsidP="000D2511">
            <w:pPr>
              <w:spacing w:before="0" w:after="12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544384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 xml:space="preserve">Study Population </w:t>
            </w:r>
          </w:p>
        </w:tc>
        <w:tc>
          <w:tcPr>
            <w:tcW w:w="886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1A11CE2" w14:textId="77777777" w:rsidR="002C5875" w:rsidRPr="00544384" w:rsidRDefault="002C5875" w:rsidP="000D2511">
            <w:pPr>
              <w:spacing w:before="0" w:after="12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544384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>Neo-adjuvant regimen</w:t>
            </w:r>
          </w:p>
        </w:tc>
        <w:tc>
          <w:tcPr>
            <w:tcW w:w="365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CDE0355" w14:textId="77777777" w:rsidR="002C5875" w:rsidRPr="00544384" w:rsidRDefault="002C5875" w:rsidP="000D2511">
            <w:pPr>
              <w:spacing w:before="0" w:after="120"/>
              <w:ind w:right="3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544384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 xml:space="preserve">Clinical End-point </w:t>
            </w:r>
          </w:p>
        </w:tc>
        <w:tc>
          <w:tcPr>
            <w:tcW w:w="1353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6C32D008" w14:textId="77777777" w:rsidR="002C5875" w:rsidRPr="00544384" w:rsidRDefault="002C5875" w:rsidP="000D2511">
            <w:pPr>
              <w:spacing w:before="0" w:after="120"/>
              <w:ind w:right="104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544384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 xml:space="preserve">Main findings 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7463C25B" w14:textId="77777777" w:rsidR="002C5875" w:rsidRPr="00544384" w:rsidRDefault="002C5875" w:rsidP="000D2511">
            <w:pPr>
              <w:spacing w:before="0" w:after="120"/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</w:pPr>
            <w:r w:rsidRPr="00544384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>Other findings</w:t>
            </w:r>
          </w:p>
        </w:tc>
        <w:tc>
          <w:tcPr>
            <w:tcW w:w="507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2241C37" w14:textId="77777777" w:rsidR="002C5875" w:rsidRPr="00544384" w:rsidRDefault="002C5875" w:rsidP="000D2511">
            <w:pPr>
              <w:spacing w:before="0" w:after="120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it-IT"/>
              </w:rPr>
            </w:pPr>
            <w:r w:rsidRPr="00544384">
              <w:rPr>
                <w:rFonts w:eastAsia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it-IT"/>
              </w:rPr>
              <w:t xml:space="preserve">Reference </w:t>
            </w:r>
          </w:p>
        </w:tc>
      </w:tr>
      <w:tr w:rsidR="002A7CE9" w:rsidRPr="00544384" w14:paraId="0A112CF7" w14:textId="77777777" w:rsidTr="000D2511">
        <w:trPr>
          <w:trHeight w:val="12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9F012E1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 xml:space="preserve">MTHFR </w:t>
            </w:r>
          </w:p>
        </w:tc>
      </w:tr>
      <w:tr w:rsidR="002A7CE9" w:rsidRPr="00544384" w14:paraId="11198C71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F6B082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/>
                <w:sz w:val="20"/>
                <w:szCs w:val="20"/>
              </w:rPr>
              <w:t>10 variants in 6 genes (TYMS, MTHFR, DPYD, UGT1A1, ABCC1 and SLCO1B1).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DE4E95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/>
                <w:sz w:val="20"/>
                <w:szCs w:val="20"/>
              </w:rPr>
              <w:t>131 LARC patients (Caucasian, USA)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797E6B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  <w:lang w:val="it-IT"/>
              </w:rPr>
            </w:pPr>
            <w:r w:rsidRPr="00544384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CT: 5-FU-based ± IRI (IRI n=35 </w:t>
            </w:r>
            <w:proofErr w:type="spellStart"/>
            <w:r w:rsidRPr="00544384">
              <w:rPr>
                <w:rFonts w:cs="Times New Roman"/>
                <w:color w:val="000000"/>
                <w:sz w:val="20"/>
                <w:szCs w:val="20"/>
                <w:lang w:val="it-IT"/>
              </w:rPr>
              <w:t>patients</w:t>
            </w:r>
            <w:proofErr w:type="spellEnd"/>
            <w:r w:rsidRPr="00544384">
              <w:rPr>
                <w:rFonts w:cs="Times New Roman"/>
                <w:color w:val="000000"/>
                <w:sz w:val="20"/>
                <w:szCs w:val="20"/>
                <w:lang w:val="it-IT"/>
              </w:rPr>
              <w:t>, non-IRI n=96).</w:t>
            </w:r>
          </w:p>
          <w:p w14:paraId="5BF3DC56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 w:themeColor="text1"/>
                <w:sz w:val="20"/>
                <w:szCs w:val="20"/>
              </w:rPr>
              <w:t>RT: Total dose of 45–50.4Gy</w:t>
            </w:r>
          </w:p>
          <w:p w14:paraId="3558A6AF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FF6071" w14:textId="77777777" w:rsidR="002A7CE9" w:rsidRPr="00544384" w:rsidRDefault="002A7CE9" w:rsidP="000D2511">
            <w:pPr>
              <w:spacing w:before="0" w:after="120"/>
              <w:ind w:right="3"/>
              <w:rPr>
                <w:rFonts w:cs="Times New Roman"/>
                <w:sz w:val="20"/>
                <w:szCs w:val="20"/>
              </w:rPr>
            </w:pPr>
            <w:r w:rsidRPr="00544384">
              <w:rPr>
                <w:rFonts w:cs="Times New Roman"/>
                <w:sz w:val="20"/>
                <w:szCs w:val="20"/>
              </w:rPr>
              <w:t xml:space="preserve">Toxicity </w:t>
            </w:r>
            <w:r w:rsidRPr="00544384">
              <w:rPr>
                <w:rFonts w:cs="Times New Roman"/>
                <w:kern w:val="24"/>
                <w:sz w:val="20"/>
                <w:szCs w:val="20"/>
              </w:rPr>
              <w:t>(NCI-CTCAE v.2.0)</w:t>
            </w:r>
            <w:r w:rsidRPr="00544384">
              <w:rPr>
                <w:rFonts w:cs="Times New Roman"/>
                <w:sz w:val="20"/>
                <w:szCs w:val="20"/>
              </w:rPr>
              <w:t>; no association observed on drug response.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2392DC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104"/>
              <w:rPr>
                <w:iCs/>
                <w:kern w:val="24"/>
                <w:sz w:val="20"/>
                <w:szCs w:val="20"/>
              </w:rPr>
            </w:pPr>
            <w:r w:rsidRPr="00544384">
              <w:rPr>
                <w:iCs/>
                <w:kern w:val="24"/>
                <w:sz w:val="20"/>
                <w:szCs w:val="20"/>
              </w:rPr>
              <w:t xml:space="preserve">MTHFR rs1801131 and MTHFR </w:t>
            </w:r>
            <w:proofErr w:type="spellStart"/>
            <w:r w:rsidRPr="00544384">
              <w:rPr>
                <w:iCs/>
                <w:kern w:val="24"/>
                <w:sz w:val="20"/>
                <w:szCs w:val="20"/>
              </w:rPr>
              <w:t>diplotypes</w:t>
            </w:r>
            <w:proofErr w:type="spellEnd"/>
            <w:r w:rsidRPr="00544384">
              <w:rPr>
                <w:iCs/>
                <w:kern w:val="24"/>
                <w:sz w:val="20"/>
                <w:szCs w:val="20"/>
              </w:rPr>
              <w:t xml:space="preserve"> (for rs1801133 and rs1801131) were associated with toxicity when 5-FU was used alone (OR:4.71, </w:t>
            </w:r>
            <w:r w:rsidRPr="00544384">
              <w:rPr>
                <w:i/>
                <w:kern w:val="24"/>
                <w:sz w:val="20"/>
                <w:szCs w:val="20"/>
              </w:rPr>
              <w:t>P</w:t>
            </w:r>
            <w:r w:rsidRPr="00544384">
              <w:rPr>
                <w:iCs/>
                <w:kern w:val="24"/>
                <w:sz w:val="20"/>
                <w:szCs w:val="20"/>
              </w:rPr>
              <w:t xml:space="preserve">=0.005). MTHFR haplotypes (rs1801133-C/rs1801131-C) and </w:t>
            </w:r>
            <w:proofErr w:type="spellStart"/>
            <w:r w:rsidRPr="00544384">
              <w:rPr>
                <w:iCs/>
                <w:kern w:val="24"/>
                <w:sz w:val="20"/>
                <w:szCs w:val="20"/>
              </w:rPr>
              <w:t>diplotypes</w:t>
            </w:r>
            <w:proofErr w:type="spellEnd"/>
            <w:r w:rsidRPr="00544384">
              <w:rPr>
                <w:iCs/>
                <w:kern w:val="24"/>
                <w:sz w:val="20"/>
                <w:szCs w:val="20"/>
              </w:rPr>
              <w:t xml:space="preserve"> (CA–TA and TA–TA) showed, respectively, a protective (OR:0.21, </w:t>
            </w:r>
            <w:r w:rsidRPr="00544384">
              <w:rPr>
                <w:i/>
                <w:kern w:val="24"/>
                <w:sz w:val="20"/>
                <w:szCs w:val="20"/>
              </w:rPr>
              <w:t>P</w:t>
            </w:r>
            <w:r w:rsidRPr="00544384">
              <w:rPr>
                <w:iCs/>
                <w:kern w:val="24"/>
                <w:sz w:val="20"/>
                <w:szCs w:val="20"/>
              </w:rPr>
              <w:t xml:space="preserve">=0.005) and a detrimental effect on the incidence of severe diarrhea or mucositis (OR:7.75, </w:t>
            </w:r>
            <w:r w:rsidRPr="00544384">
              <w:rPr>
                <w:i/>
                <w:kern w:val="24"/>
                <w:sz w:val="20"/>
                <w:szCs w:val="20"/>
              </w:rPr>
              <w:t>P</w:t>
            </w:r>
            <w:r w:rsidRPr="00544384">
              <w:rPr>
                <w:iCs/>
                <w:kern w:val="24"/>
                <w:sz w:val="20"/>
                <w:szCs w:val="20"/>
              </w:rPr>
              <w:t>=0.003).</w:t>
            </w:r>
          </w:p>
        </w:tc>
        <w:tc>
          <w:tcPr>
            <w:tcW w:w="766" w:type="pct"/>
            <w:vAlign w:val="center"/>
          </w:tcPr>
          <w:p w14:paraId="13C5EA86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C2E009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Thomas et al., 2011</w:t>
            </w:r>
          </w:p>
        </w:tc>
      </w:tr>
      <w:tr w:rsidR="002A7CE9" w:rsidRPr="00544384" w14:paraId="1BEDE997" w14:textId="77777777" w:rsidTr="000D2511">
        <w:trPr>
          <w:trHeight w:val="12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C2D965B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 xml:space="preserve">DPYD </w:t>
            </w:r>
          </w:p>
        </w:tc>
      </w:tr>
      <w:tr w:rsidR="002A7CE9" w:rsidRPr="00544384" w14:paraId="1ECEA875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27191B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/>
                <w:sz w:val="20"/>
                <w:szCs w:val="20"/>
              </w:rPr>
              <w:t>4 SNPs in DPYD (DPYD*2A, c.1905þ1G&gt;A, rs3918290; DPYD*13, c.1679T&gt;G, rs55886062; c2846A&gt;T, rs67376798; c.1236G&gt;A/HapB3, rs56038477).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FACCB8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/>
                <w:sz w:val="20"/>
                <w:szCs w:val="20"/>
              </w:rPr>
              <w:t>93 LARC patients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8C7340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/>
                <w:sz w:val="20"/>
                <w:szCs w:val="20"/>
              </w:rPr>
              <w:t xml:space="preserve">CT: </w:t>
            </w:r>
            <w:r w:rsidRPr="00544384">
              <w:rPr>
                <w:rFonts w:cs="Times New Roman"/>
                <w:color w:val="000000" w:themeColor="text1"/>
                <w:sz w:val="20"/>
                <w:szCs w:val="20"/>
              </w:rPr>
              <w:t>FPs-based (</w:t>
            </w:r>
            <w:r w:rsidRPr="00544384">
              <w:rPr>
                <w:rFonts w:cs="Times New Roman"/>
                <w:color w:val="000000"/>
                <w:sz w:val="20"/>
                <w:szCs w:val="20"/>
              </w:rPr>
              <w:t>CAPE n=92; 5-FU n=1)</w:t>
            </w:r>
          </w:p>
          <w:p w14:paraId="122E583D" w14:textId="77777777" w:rsidR="002A7CE9" w:rsidRPr="00544384" w:rsidRDefault="002A7CE9" w:rsidP="000D2511">
            <w:pPr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 w:themeColor="text1"/>
                <w:sz w:val="20"/>
                <w:szCs w:val="20"/>
              </w:rPr>
              <w:t>RT: 55Gy median RT</w:t>
            </w: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FBC48D" w14:textId="77777777" w:rsidR="002A7CE9" w:rsidRPr="00544384" w:rsidRDefault="002A7CE9" w:rsidP="000D2511">
            <w:pPr>
              <w:spacing w:before="0" w:after="120"/>
              <w:ind w:right="3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/>
                <w:sz w:val="20"/>
                <w:szCs w:val="20"/>
              </w:rPr>
              <w:t>Toxicity (NCI-CTCAE v3.0 or  v4.03)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B00507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104"/>
              <w:contextualSpacing/>
              <w:rPr>
                <w:iCs/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 xml:space="preserve">DPYD variant allele carriers: </w:t>
            </w:r>
          </w:p>
          <w:p w14:paraId="22BDB30A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iCs/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 xml:space="preserve">treated with standard dosages had an increased risk of severe gastrointestinal (adj OR:2.58,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 xml:space="preserve">=0.045) or severe hematological (adj OR:4.19,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 xml:space="preserve">=0.015) toxicity compared with WT patients. </w:t>
            </w:r>
          </w:p>
          <w:p w14:paraId="628A43C6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iCs/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treated with dose reductions had a comparable frequency of severe gastrointestinal toxicity compared with WT patients, but more (not statistically significant) severe hematological toxicity. Mean duration of hospitalization was significantly shorter in the dose reduction group.</w:t>
            </w:r>
          </w:p>
        </w:tc>
        <w:tc>
          <w:tcPr>
            <w:tcW w:w="766" w:type="pct"/>
            <w:vAlign w:val="center"/>
          </w:tcPr>
          <w:p w14:paraId="6D56E529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A234C1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Lunenburg et al., 2018</w:t>
            </w:r>
          </w:p>
        </w:tc>
      </w:tr>
      <w:tr w:rsidR="002A7CE9" w:rsidRPr="00544384" w14:paraId="0D1CDBA4" w14:textId="77777777" w:rsidTr="000D2511">
        <w:trPr>
          <w:trHeight w:val="12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792149E5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 xml:space="preserve">DNA repair </w:t>
            </w:r>
          </w:p>
        </w:tc>
      </w:tr>
      <w:tr w:rsidR="002A7CE9" w:rsidRPr="00544384" w14:paraId="7F3A3A66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22E963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XRCC1-rs25487; XRCC3-rs1799794, -rs861539; RAD51-rs1801320; GSTP1-rs1695.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04765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67 </w:t>
            </w:r>
            <w:r w:rsidRPr="00544384">
              <w:rPr>
                <w:color w:val="000000" w:themeColor="text1"/>
                <w:sz w:val="20"/>
                <w:szCs w:val="20"/>
              </w:rPr>
              <w:t>LARC patients</w:t>
            </w:r>
          </w:p>
          <w:p w14:paraId="659FABA8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(Caucasian)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892E30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 xml:space="preserve">CT: FPs-based (5-FU or CAPE) </w:t>
            </w:r>
          </w:p>
          <w:p w14:paraId="5EBDCACA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RT: Total dose of 45.0Gy</w:t>
            </w: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19A20B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Acute Toxicity</w:t>
            </w:r>
          </w:p>
          <w:p w14:paraId="1C6A40BD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(NCI-CTCAE v.3.0)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4243BD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RAD51 rs1801320-C allele (vs GG) associated with increased grade ≥3 abdominal/pelvis pain toxicity (22.2% vs 3.4%,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=0.027) and acute skin toxicity of any grade (55.6% vs 22.8%,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 xml:space="preserve"> 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=0.04). </w:t>
            </w:r>
          </w:p>
          <w:p w14:paraId="102D8287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XRCC1 rs25487-A (Gln) allele (vs GG) 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lastRenderedPageBreak/>
              <w:t xml:space="preserve">associated with increased skin toxicity of any grade (36.6% vs 12%,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=0.03). </w:t>
            </w:r>
          </w:p>
          <w:p w14:paraId="3CF538DB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XRCC3 rs1799794-GG (25%,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=0.01), AG (12.5%,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 xml:space="preserve"> 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=0.022), and GG/AG (11.1%,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=0.031) associated with increased grade ≥3 urinary frequency/urgency; rs1799794-GG associated with higher risk of acute skin toxicity of any grade (75% vs 25%,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=0.015). XRCC3 rs1799794-AG (vs AA) (29.2% vs 10%,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=0.049) associated with higher rates of fatigue.</w:t>
            </w:r>
          </w:p>
        </w:tc>
        <w:tc>
          <w:tcPr>
            <w:tcW w:w="766" w:type="pct"/>
            <w:vAlign w:val="center"/>
          </w:tcPr>
          <w:p w14:paraId="2692EBCC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6CBA76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proofErr w:type="spellStart"/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Osti</w:t>
            </w:r>
            <w:proofErr w:type="spellEnd"/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et al., 2017</w:t>
            </w:r>
          </w:p>
        </w:tc>
      </w:tr>
      <w:tr w:rsidR="002A7CE9" w:rsidRPr="00544384" w14:paraId="02D66521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DF4CDE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22 SNPs in 17 genes (ERCC1, XRCC1, RAD23B, XPA, ERCC2, hOGG1, PARP, MTHFR, TS, DP</w:t>
            </w:r>
            <w:r w:rsidR="00EB35F4"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Y</w:t>
            </w: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D, OPRT, CCND1, TP53, EGFR, VEGF, IL6, TLR2).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94DD8E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132 </w:t>
            </w:r>
            <w:r w:rsidRPr="00544384">
              <w:rPr>
                <w:color w:val="000000" w:themeColor="text1"/>
                <w:sz w:val="20"/>
                <w:szCs w:val="20"/>
              </w:rPr>
              <w:t>LARC patients</w:t>
            </w:r>
          </w:p>
          <w:p w14:paraId="060462A3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(mixed, mainly Caucasian)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48B6B7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5-FU-based ± modified FOLFOX-6 CRT.</w:t>
            </w: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690D5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Toxicity</w:t>
            </w:r>
          </w:p>
          <w:p w14:paraId="643EE2B7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(NCI-CTCAE v.3.0)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8C6E2E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XRCC1 rs25487-A (Gln) allele (24% vs 5%,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=0.01) and ERCC2 rs13181-AA (Lys/Lys) genotype (27% vs 12%,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=0.02) associated with increased grade ≥3 toxicity. </w:t>
            </w:r>
          </w:p>
          <w:p w14:paraId="356BC389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TP53 rs1042522-C (Pro) (26% vs 5%,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=0.008) associated with increased rate of grade ≥3 toxicity to modified FOLFOX-6.</w:t>
            </w:r>
          </w:p>
        </w:tc>
        <w:tc>
          <w:tcPr>
            <w:tcW w:w="766" w:type="pct"/>
            <w:vAlign w:val="center"/>
          </w:tcPr>
          <w:p w14:paraId="02393D09" w14:textId="77777777" w:rsidR="002A7CE9" w:rsidRPr="00544384" w:rsidRDefault="002A7CE9" w:rsidP="000D2511">
            <w:pPr>
              <w:autoSpaceDE w:val="0"/>
              <w:autoSpaceDN w:val="0"/>
              <w:adjustRightInd w:val="0"/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E722B6" w14:textId="77777777" w:rsidR="002A7CE9" w:rsidRPr="00544384" w:rsidRDefault="002A7CE9" w:rsidP="000D2511">
            <w:pPr>
              <w:autoSpaceDE w:val="0"/>
              <w:autoSpaceDN w:val="0"/>
              <w:adjustRightInd w:val="0"/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</w:p>
          <w:p w14:paraId="062B92EA" w14:textId="77777777" w:rsidR="002A7CE9" w:rsidRPr="00544384" w:rsidRDefault="002A7CE9" w:rsidP="000D2511">
            <w:pPr>
              <w:autoSpaceDE w:val="0"/>
              <w:autoSpaceDN w:val="0"/>
              <w:adjustRightInd w:val="0"/>
              <w:spacing w:before="0" w:after="120"/>
              <w:rPr>
                <w:rFonts w:cs="Times New Roman"/>
                <w:color w:val="000000"/>
                <w:sz w:val="20"/>
                <w:szCs w:val="20"/>
              </w:rPr>
            </w:pPr>
            <w:r w:rsidRPr="0054438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14:paraId="50AFC99D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proofErr w:type="spellStart"/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Duldulao</w:t>
            </w:r>
            <w:proofErr w:type="spellEnd"/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et al., 2013a</w:t>
            </w:r>
          </w:p>
        </w:tc>
      </w:tr>
      <w:tr w:rsidR="002A7CE9" w:rsidRPr="00544384" w14:paraId="6CC0C6D8" w14:textId="77777777" w:rsidTr="000D2511">
        <w:trPr>
          <w:trHeight w:val="128"/>
        </w:trPr>
        <w:tc>
          <w:tcPr>
            <w:tcW w:w="5000" w:type="pct"/>
            <w:gridSpan w:val="7"/>
            <w:shd w:val="clear" w:color="auto" w:fill="F2F2F2" w:themeFill="background1" w:themeFillShade="F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F25556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b/>
                <w:color w:val="000000" w:themeColor="text1"/>
                <w:kern w:val="24"/>
                <w:sz w:val="20"/>
                <w:szCs w:val="20"/>
                <w:lang w:val="en-US"/>
              </w:rPr>
              <w:t xml:space="preserve">Inflammation </w:t>
            </w:r>
          </w:p>
        </w:tc>
      </w:tr>
      <w:tr w:rsidR="002A7CE9" w:rsidRPr="00544384" w14:paraId="3A1F017F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992DF3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XRCC1-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 rs25487; </w:t>
            </w: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ERCC2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- rs13181; </w:t>
            </w: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TGFB1-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rs1800471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84A942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165 LARC patients</w:t>
            </w:r>
          </w:p>
          <w:p w14:paraId="795E049E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(Caucasian, 82%; Black, 8%; Asian, 10%) 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E411B8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CT: FPs-based (5-FU or CAPE)</w:t>
            </w:r>
          </w:p>
          <w:p w14:paraId="16887E1D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RT: Total dose of 50.4Gy</w:t>
            </w: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5ACFD7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Acute Toxicity</w:t>
            </w:r>
          </w:p>
          <w:p w14:paraId="6FE43282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(classified by NCI-CTCAE v.3.0 system, n=165; by also 7-item Bowel Problems Scale, n=52)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72A967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TGFB1 rs1800471-C (Pro25) allele (vs GG) associated with increased grade ≥3 toxicity (OR:3.47,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=0.04) and, in patients who completed the Bowel Problems Scale, with grade ≥4 toxicity (OR:5.61,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=0.02). Confirmed in </w:t>
            </w:r>
            <w:r w:rsidRPr="00544384">
              <w:rPr>
                <w:color w:val="000000" w:themeColor="text1"/>
                <w:kern w:val="24"/>
                <w:sz w:val="20"/>
                <w:szCs w:val="20"/>
                <w:u w:val="single"/>
              </w:rPr>
              <w:t>multivariate analysis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 (OR:1.83,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=0.02).</w:t>
            </w:r>
          </w:p>
        </w:tc>
        <w:tc>
          <w:tcPr>
            <w:tcW w:w="766" w:type="pct"/>
            <w:vAlign w:val="center"/>
          </w:tcPr>
          <w:p w14:paraId="69D997C7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XRCC1 rs25487-A (Gln) allele (vs GG) showed an association trend with grade ≥3 toxicity (OR:4.25, P=0.06)</w:t>
            </w: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A09272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Smith et al., 2017</w:t>
            </w:r>
          </w:p>
        </w:tc>
      </w:tr>
      <w:tr w:rsidR="002A7CE9" w:rsidRPr="00544384" w14:paraId="3D091CF9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89360F" w14:textId="77777777" w:rsidR="002A7CE9" w:rsidRPr="008E0D1D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  <w:lang w:val="fr-FR"/>
              </w:rPr>
            </w:pPr>
            <w:r w:rsidRPr="008E0D1D">
              <w:rPr>
                <w:color w:val="000000" w:themeColor="text1"/>
                <w:kern w:val="24"/>
                <w:sz w:val="20"/>
                <w:szCs w:val="20"/>
                <w:lang w:val="fr-FR"/>
              </w:rPr>
              <w:t>TNFA-rs1799964, -rs1800629; IL6-rs1800796; IL1-rs1143623, -rs1143627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EBBDE1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356 rectal cancer patients</w:t>
            </w:r>
          </w:p>
          <w:p w14:paraId="12E0582D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(Chinese)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A37E81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Concurrent CT: 7.6%, none; 62.6%</w:t>
            </w:r>
            <w:r w:rsidRPr="00544384">
              <w:rPr>
                <w:sz w:val="20"/>
                <w:szCs w:val="20"/>
              </w:rPr>
              <w:t xml:space="preserve"> 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5-FU or CAPE combined with OXA; 10.1%, IRI and CAPE; 19.7%, single drug (5-FU or CAPE)</w:t>
            </w:r>
          </w:p>
          <w:p w14:paraId="7238F1A1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RT: Total dose ≤50Gy (61.5%); &gt;50Gy (38.5%). Pelvic RT: 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lastRenderedPageBreak/>
              <w:t>58.8%, pre-operative; 32.4% post-operative; 8.8%, recurrent</w:t>
            </w: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A945E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lastRenderedPageBreak/>
              <w:t>Acute Toxicity</w:t>
            </w:r>
          </w:p>
          <w:p w14:paraId="7E3A9CC2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(NCI-CTCAE v.3.0)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9CAAAD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TNFA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 rs1799964-T allele was associated with increased risk of total grade ≥2 acute toxicity (CT vs CC: adj OR:4.718,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 = 0.031; TT vs CC: adj OR:4.443,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=0.034; CT/TT vs CC, adj OR:4.132,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=0.04).</w:t>
            </w:r>
          </w:p>
          <w:p w14:paraId="7A4C6D69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lastRenderedPageBreak/>
              <w:t>In vitro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 analysis suggested that the rs1799964-T allele was associated with higher TNF mRNA expression levels in Chinese population.</w:t>
            </w:r>
          </w:p>
        </w:tc>
        <w:tc>
          <w:tcPr>
            <w:tcW w:w="766" w:type="pct"/>
            <w:vAlign w:val="center"/>
          </w:tcPr>
          <w:p w14:paraId="610E48AF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073F02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Zhang et al., 2015a</w:t>
            </w:r>
          </w:p>
        </w:tc>
      </w:tr>
      <w:tr w:rsidR="002A7CE9" w:rsidRPr="00544384" w14:paraId="5506C954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A95001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6 SNPs in </w:t>
            </w: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PAI-1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 and </w:t>
            </w: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PAR-1 genes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6EFE24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356 rectal cancer patients</w:t>
            </w:r>
          </w:p>
          <w:p w14:paraId="7818ABBA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(Chinese)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80FA20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CT: 7.6%, none; 62.6%</w:t>
            </w:r>
            <w:r w:rsidRPr="00544384">
              <w:rPr>
                <w:sz w:val="20"/>
                <w:szCs w:val="20"/>
              </w:rPr>
              <w:t xml:space="preserve"> 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5-FU or CAPE plus OXA; 10.1%, IRI and CAPE; 19.7%, single drug (5-FU or CAPE)</w:t>
            </w:r>
          </w:p>
          <w:p w14:paraId="20088BB2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RT: Total dose ≤50Gy (61.5%); &gt;50Gy (38.5%). Pelvic RT: 58.8%, pre-operative; 32.4% post-operative; 8.8%, recurrent </w:t>
            </w: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E3FEFD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Acute Toxicity</w:t>
            </w:r>
          </w:p>
          <w:p w14:paraId="7FB9E2C8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(NCI-CTCAE v.3.0)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93E1FAD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PAI-1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 rs1050955-GG genotype (vs AA) associated with decreased grade ≥2 diarrhea (adj OR:0.394,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=0.019) and fecal incontinence (anal toxicity) (adj OR:0.474,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=0.02). </w:t>
            </w:r>
          </w:p>
          <w:p w14:paraId="7F51F48E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Cs/>
                <w:color w:val="000000" w:themeColor="text1"/>
                <w:kern w:val="24"/>
                <w:sz w:val="20"/>
                <w:szCs w:val="20"/>
              </w:rPr>
              <w:t>PAI-1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 rs2227631-GG genotype (vs AA) associated with increased grade ≥2 incontinence (adj OR:3.172,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=0.003).</w:t>
            </w:r>
          </w:p>
          <w:p w14:paraId="061FDB15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PAI-1 rs2227631-GG genotype (vs A-allele) associated with increased overall grade ≥2 toxicity (adj OR:1.995,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=0.012); PAR-1 rs32934-CT genotype (vs CC) with inferior risk (adj OR:1.778,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=0.037).</w:t>
            </w:r>
          </w:p>
        </w:tc>
        <w:tc>
          <w:tcPr>
            <w:tcW w:w="766" w:type="pct"/>
            <w:vAlign w:val="center"/>
          </w:tcPr>
          <w:p w14:paraId="0F2472E6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5892DD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Zhang et al., 2015b</w:t>
            </w:r>
          </w:p>
        </w:tc>
      </w:tr>
      <w:tr w:rsidR="002A7CE9" w:rsidRPr="00544384" w14:paraId="678AF66C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667954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NFKB1-rs28362491; PTGS1-rs1213266, -rs5789; PTGS2-rs5275; IL1B-rs16944, -rs1143627.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494EE0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159 LARC patients</w:t>
            </w:r>
          </w:p>
          <w:p w14:paraId="7563CC87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(Hispanic)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AA4783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 xml:space="preserve">CT: CAPE-based </w:t>
            </w:r>
          </w:p>
          <w:p w14:paraId="6F8638CA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RT: Total dose of 50.4Gy</w:t>
            </w: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3D932C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Acute Toxicity</w:t>
            </w:r>
          </w:p>
          <w:p w14:paraId="5443C724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(NCI-CTCAE v.4.0)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3B86D8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NFKB1 rs28362491-DEL/DEL genotype (vs INS-allele) associated with increased grade ≥2 dermatitis (OR:3.31,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=0.01) and proctitis (OR:3.32,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=0.02).</w:t>
            </w:r>
          </w:p>
          <w:p w14:paraId="51B0F358" w14:textId="77777777" w:rsidR="002A7CE9" w:rsidRPr="00544384" w:rsidRDefault="002A7CE9" w:rsidP="000D2511">
            <w:pPr>
              <w:pStyle w:val="NormalWeb"/>
              <w:numPr>
                <w:ilvl w:val="0"/>
                <w:numId w:val="5"/>
              </w:numPr>
              <w:spacing w:before="0" w:beforeAutospacing="0" w:after="120" w:afterAutospacing="0"/>
              <w:ind w:left="312" w:right="104" w:hanging="28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By </w:t>
            </w:r>
            <w:r w:rsidRPr="00544384">
              <w:rPr>
                <w:color w:val="000000" w:themeColor="text1"/>
                <w:kern w:val="24"/>
                <w:sz w:val="20"/>
                <w:szCs w:val="20"/>
                <w:u w:val="single"/>
              </w:rPr>
              <w:t>haplotype analysis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, rs28362491-DEL/rs1143627-A/rs1213266-G/rs5789-C/rs5275-A/rs16944-G associated with increased clinically significant grade≥2 acute organ toxicity (OR:4.12, 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=0.037), respect the reference haplotype (rs28362491-INS/rs1143627-A/rs1213266-G/rs5789-C/rs5275-A/rs16944-G). </w:t>
            </w:r>
          </w:p>
        </w:tc>
        <w:tc>
          <w:tcPr>
            <w:tcW w:w="766" w:type="pct"/>
            <w:vAlign w:val="center"/>
          </w:tcPr>
          <w:p w14:paraId="0C745FDF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8EACE0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Dzhugashvili et al., 2014</w:t>
            </w:r>
          </w:p>
        </w:tc>
      </w:tr>
      <w:tr w:rsidR="002A7CE9" w:rsidRPr="00544384" w14:paraId="7A0676BD" w14:textId="77777777" w:rsidTr="000D2511">
        <w:trPr>
          <w:trHeight w:val="128"/>
        </w:trPr>
        <w:tc>
          <w:tcPr>
            <w:tcW w:w="71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1C8066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9 </w:t>
            </w:r>
            <w:proofErr w:type="spellStart"/>
            <w:r w:rsidRPr="00544384">
              <w:rPr>
                <w:color w:val="000000" w:themeColor="text1"/>
                <w:kern w:val="24"/>
                <w:sz w:val="20"/>
                <w:szCs w:val="20"/>
              </w:rPr>
              <w:t>TagSNPs</w:t>
            </w:r>
            <w:proofErr w:type="spellEnd"/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 in TGFB1</w:t>
            </w:r>
          </w:p>
        </w:tc>
        <w:tc>
          <w:tcPr>
            <w:tcW w:w="40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76A9DD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163 LARC patients</w:t>
            </w:r>
          </w:p>
          <w:p w14:paraId="245F50D7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 xml:space="preserve">(discovery cohort, </w:t>
            </w:r>
            <w:r w:rsidRPr="00544384">
              <w:rPr>
                <w:iCs/>
                <w:color w:val="000000" w:themeColor="text1"/>
                <w:sz w:val="20"/>
                <w:szCs w:val="20"/>
              </w:rPr>
              <w:t>n</w:t>
            </w:r>
            <w:r w:rsidRPr="00544384">
              <w:rPr>
                <w:color w:val="000000" w:themeColor="text1"/>
                <w:sz w:val="20"/>
                <w:szCs w:val="20"/>
              </w:rPr>
              <w:t xml:space="preserve">=88; replication cohort </w:t>
            </w:r>
            <w:r w:rsidRPr="00544384">
              <w:rPr>
                <w:iCs/>
                <w:color w:val="000000" w:themeColor="text1"/>
                <w:sz w:val="20"/>
                <w:szCs w:val="20"/>
              </w:rPr>
              <w:t>n</w:t>
            </w:r>
            <w:r w:rsidRPr="00544384">
              <w:rPr>
                <w:color w:val="000000" w:themeColor="text1"/>
                <w:sz w:val="20"/>
                <w:szCs w:val="20"/>
              </w:rPr>
              <w:t>=75)</w:t>
            </w:r>
          </w:p>
          <w:p w14:paraId="77ACFB81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sz w:val="20"/>
                <w:szCs w:val="20"/>
              </w:rPr>
            </w:pPr>
            <w:r w:rsidRPr="00544384">
              <w:rPr>
                <w:color w:val="000000" w:themeColor="text1"/>
                <w:sz w:val="20"/>
                <w:szCs w:val="20"/>
              </w:rPr>
              <w:t>(Caucasian)</w:t>
            </w:r>
            <w:r w:rsidRPr="00544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3974EE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 xml:space="preserve">CT: 5-FU-based ± OXA </w:t>
            </w:r>
          </w:p>
          <w:p w14:paraId="3147AC0C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RT: Total dose of 50.4Gy</w:t>
            </w:r>
            <w:r w:rsidRPr="00544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A01D2E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Acute Toxicity</w:t>
            </w:r>
          </w:p>
          <w:p w14:paraId="0A8C38DE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t>(i.e., QAOT*)</w:t>
            </w:r>
          </w:p>
          <w:p w14:paraId="406E573E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</w:p>
          <w:p w14:paraId="6415C102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3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t>*defined as an NCI-</w:t>
            </w:r>
            <w:r w:rsidRPr="00544384">
              <w:rPr>
                <w:i/>
                <w:color w:val="000000" w:themeColor="text1"/>
                <w:kern w:val="24"/>
                <w:sz w:val="20"/>
                <w:szCs w:val="20"/>
              </w:rPr>
              <w:lastRenderedPageBreak/>
              <w:t>CTCAE v.3.0 grade ≥2 for at least one case of enteritis, proctitis, cystitis, or dermatitis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  <w:tc>
          <w:tcPr>
            <w:tcW w:w="13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9A619D" w14:textId="77777777" w:rsidR="002A7CE9" w:rsidRPr="00544384" w:rsidRDefault="002A7CE9" w:rsidP="000D2511">
            <w:pPr>
              <w:pStyle w:val="NormalWeb"/>
              <w:spacing w:before="0" w:beforeAutospacing="0" w:after="120" w:afterAutospacing="0"/>
              <w:ind w:right="104"/>
              <w:rPr>
                <w:color w:val="000000" w:themeColor="text1"/>
                <w:kern w:val="24"/>
                <w:sz w:val="20"/>
                <w:szCs w:val="20"/>
              </w:rPr>
            </w:pPr>
            <w:r w:rsidRPr="00544384">
              <w:rPr>
                <w:color w:val="000000" w:themeColor="text1"/>
                <w:kern w:val="24"/>
                <w:sz w:val="20"/>
                <w:szCs w:val="20"/>
              </w:rPr>
              <w:lastRenderedPageBreak/>
              <w:t xml:space="preserve">In both cohorts, all patients carrying the TGFB1 rs1800471-C (Pro25) allele experienced QAOT (positive predictive value of 100%, adjusted </w:t>
            </w:r>
            <w:r w:rsidRPr="00544384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P</w:t>
            </w:r>
            <w:r w:rsidRPr="00544384">
              <w:rPr>
                <w:color w:val="000000" w:themeColor="text1"/>
                <w:kern w:val="24"/>
                <w:sz w:val="20"/>
                <w:szCs w:val="20"/>
              </w:rPr>
              <w:t>=0.0006).</w:t>
            </w:r>
          </w:p>
        </w:tc>
        <w:tc>
          <w:tcPr>
            <w:tcW w:w="766" w:type="pct"/>
            <w:vAlign w:val="center"/>
          </w:tcPr>
          <w:p w14:paraId="0A9F8F7E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0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084E1" w14:textId="77777777" w:rsidR="002A7CE9" w:rsidRPr="00544384" w:rsidRDefault="002A7CE9" w:rsidP="000D2511">
            <w:pPr>
              <w:pStyle w:val="Default"/>
              <w:spacing w:after="120"/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544384">
              <w:rPr>
                <w:rFonts w:ascii="Times New Roman" w:hAnsi="Times New Roman"/>
                <w:color w:val="000000" w:themeColor="text1"/>
                <w:kern w:val="24"/>
                <w:sz w:val="20"/>
                <w:szCs w:val="20"/>
                <w:lang w:val="en-US"/>
              </w:rPr>
              <w:t>Schirmer et al., 2012</w:t>
            </w:r>
          </w:p>
        </w:tc>
      </w:tr>
    </w:tbl>
    <w:p w14:paraId="65062A0B" w14:textId="77777777" w:rsidR="00EF5CEC" w:rsidRPr="00AC5841" w:rsidRDefault="00EF5CEC" w:rsidP="00EF5CEC">
      <w:pPr>
        <w:jc w:val="both"/>
        <w:rPr>
          <w:rFonts w:cs="Times New Roman"/>
          <w:szCs w:val="24"/>
        </w:rPr>
      </w:pPr>
      <w:r w:rsidRPr="00AC5841">
        <w:rPr>
          <w:rFonts w:cs="Times New Roman"/>
          <w:szCs w:val="24"/>
        </w:rPr>
        <w:t xml:space="preserve">Abbreviations: </w:t>
      </w:r>
      <w:r w:rsidRPr="00AC5841">
        <w:rPr>
          <w:rFonts w:cs="Times New Roman"/>
          <w:color w:val="000000" w:themeColor="text1"/>
          <w:kern w:val="24"/>
          <w:szCs w:val="24"/>
        </w:rPr>
        <w:t>5-FU, 5-fluorouracil; Adj, adjusted;</w:t>
      </w:r>
      <w:r w:rsidRPr="00AC5841">
        <w:rPr>
          <w:rFonts w:cs="Times New Roman"/>
          <w:szCs w:val="24"/>
        </w:rPr>
        <w:t xml:space="preserve"> CAPE, capecitabine;  CRT, chemoradiotherapy; CT, chemotherapy; </w:t>
      </w:r>
      <w:r w:rsidRPr="00AC5841">
        <w:rPr>
          <w:rFonts w:cs="Times New Roman"/>
          <w:color w:val="000000"/>
          <w:szCs w:val="24"/>
        </w:rPr>
        <w:t>CTCAE, Common Terminology Criteria for Adverse Events;</w:t>
      </w:r>
      <w:r w:rsidRPr="00AC5841">
        <w:rPr>
          <w:rFonts w:cs="Times New Roman"/>
          <w:szCs w:val="24"/>
        </w:rPr>
        <w:t xml:space="preserve"> FOLFOX, </w:t>
      </w:r>
      <w:proofErr w:type="spellStart"/>
      <w:r w:rsidRPr="00AC5841">
        <w:rPr>
          <w:rFonts w:cs="Times New Roman"/>
          <w:szCs w:val="24"/>
        </w:rPr>
        <w:t>folinic</w:t>
      </w:r>
      <w:proofErr w:type="spellEnd"/>
      <w:r w:rsidRPr="00AC5841">
        <w:rPr>
          <w:rFonts w:cs="Times New Roman"/>
          <w:szCs w:val="24"/>
        </w:rPr>
        <w:t xml:space="preserve"> acid, fluorouracil and oxaliplatin; FPs, fluoropyrimidines; IRI, irinotecan; NCI, National Cancer Institute; OR, odd ratio; OXA, oxaliplatin; QAOT, quality of life-impairing acute organ toxicity; RT, radiotherapy; SNP, single nucleotide polymorphism; </w:t>
      </w:r>
      <w:proofErr w:type="spellStart"/>
      <w:r w:rsidRPr="00AC5841">
        <w:rPr>
          <w:rFonts w:cs="Times New Roman"/>
          <w:szCs w:val="24"/>
        </w:rPr>
        <w:t>TagSNPs</w:t>
      </w:r>
      <w:proofErr w:type="spellEnd"/>
      <w:r w:rsidRPr="00AC5841">
        <w:rPr>
          <w:rFonts w:cs="Times New Roman"/>
          <w:szCs w:val="24"/>
        </w:rPr>
        <w:t>, tagging polymorphisms; WT, wild-type.</w:t>
      </w:r>
    </w:p>
    <w:sectPr w:rsidR="00EF5CEC" w:rsidRPr="00AC5841" w:rsidSect="008E0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720" w:right="720" w:bottom="720" w:left="720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CD38" w14:textId="77777777" w:rsidR="008F0830" w:rsidRDefault="008F0830" w:rsidP="00117666">
      <w:pPr>
        <w:spacing w:after="0"/>
      </w:pPr>
      <w:r>
        <w:separator/>
      </w:r>
    </w:p>
  </w:endnote>
  <w:endnote w:type="continuationSeparator" w:id="0">
    <w:p w14:paraId="0C0D0D55" w14:textId="77777777" w:rsidR="008F0830" w:rsidRDefault="008F083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ergiaNormal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CED9" w14:textId="4AC22614" w:rsidR="00974C9F" w:rsidRPr="00577C4C" w:rsidRDefault="008F0830">
    <w:pPr>
      <w:pStyle w:val="Footer"/>
      <w:rPr>
        <w:color w:val="C00000"/>
        <w:szCs w:val="24"/>
      </w:rPr>
    </w:pPr>
    <w:r>
      <w:rPr>
        <w:noProof/>
        <w:lang w:val="en-GB" w:eastAsia="en-GB"/>
      </w:rPr>
      <w:pict w14:anchorId="508749A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14pt;margin-top:0;width:118.8pt;height:25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" filled="f" stroked="f" strokeweight=".5pt">
          <v:textbox style="mso-fit-shape-to-text:t">
            <w:txbxContent>
              <w:p w14:paraId="63492347" w14:textId="77777777" w:rsidR="00974C9F" w:rsidRPr="00577C4C" w:rsidRDefault="00561E30">
                <w:pPr>
                  <w:pStyle w:val="Footer"/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974C9F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A54D36" w:rsidRPr="00A54D36">
                  <w:rPr>
                    <w:noProof/>
                    <w:color w:val="000000" w:themeColor="text1"/>
                    <w:sz w:val="22"/>
                    <w:szCs w:val="40"/>
                  </w:rPr>
                  <w:t>4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ABBF" w14:textId="77777777" w:rsidR="00974C9F" w:rsidRPr="00577C4C" w:rsidRDefault="008F0830">
    <w:pPr>
      <w:pStyle w:val="Footer"/>
      <w:rPr>
        <w:b/>
        <w:sz w:val="20"/>
        <w:szCs w:val="24"/>
      </w:rPr>
    </w:pPr>
    <w:r>
      <w:rPr>
        <w:noProof/>
        <w:lang w:val="en-GB" w:eastAsia="en-GB"/>
      </w:rPr>
      <w:pict w14:anchorId="712148F5"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2049" type="#_x0000_t202" style="position:absolute;margin-left:214pt;margin-top:0;width:118.8pt;height:25.8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" filled="f" stroked="f" strokeweight=".5pt">
          <v:textbox style="mso-fit-shape-to-text:t">
            <w:txbxContent>
              <w:p w14:paraId="0358F02B" w14:textId="77777777" w:rsidR="00974C9F" w:rsidRPr="00577C4C" w:rsidRDefault="00561E30">
                <w:pPr>
                  <w:pStyle w:val="Footer"/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974C9F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A54D36" w:rsidRPr="00A54D36">
                  <w:rPr>
                    <w:noProof/>
                    <w:color w:val="000000" w:themeColor="text1"/>
                    <w:sz w:val="22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C22A" w14:textId="77777777" w:rsidR="008F0830" w:rsidRDefault="008F0830" w:rsidP="00117666">
      <w:pPr>
        <w:spacing w:after="0"/>
      </w:pPr>
      <w:r>
        <w:separator/>
      </w:r>
    </w:p>
  </w:footnote>
  <w:footnote w:type="continuationSeparator" w:id="0">
    <w:p w14:paraId="5A4C7A36" w14:textId="77777777" w:rsidR="008F0830" w:rsidRDefault="008F083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0986" w14:textId="77777777" w:rsidR="00974C9F" w:rsidRPr="009C299F" w:rsidRDefault="00974C9F" w:rsidP="009C299F">
    <w:pPr>
      <w:pStyle w:val="Header"/>
      <w:jc w:val="right"/>
    </w:pPr>
    <w:r>
      <w:t>Pharmacogenomics of rectal cancer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01553" w14:textId="77777777" w:rsidR="00974C9F" w:rsidRPr="009C299F" w:rsidRDefault="00974C9F" w:rsidP="00000048">
    <w:pPr>
      <w:pStyle w:val="Header"/>
      <w:jc w:val="right"/>
    </w:pPr>
    <w:r>
      <w:t>Pharmacogenomics of rectal cancer</w:t>
    </w:r>
  </w:p>
  <w:p w14:paraId="2A7F0751" w14:textId="77777777" w:rsidR="00974C9F" w:rsidRPr="00000048" w:rsidRDefault="00974C9F" w:rsidP="00000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65857" w14:textId="77777777" w:rsidR="00974C9F" w:rsidRDefault="00974C9F" w:rsidP="00A53000">
    <w:pPr>
      <w:pStyle w:val="Header"/>
    </w:pPr>
    <w:r w:rsidRPr="005A1D84">
      <w:rPr>
        <w:noProof/>
        <w:color w:val="A6A6A6" w:themeColor="background1" w:themeShade="A6"/>
        <w:lang w:val="it-IT" w:eastAsia="it-IT"/>
      </w:rPr>
      <w:drawing>
        <wp:inline distT="0" distB="0" distL="0" distR="0" wp14:anchorId="24F8CF2C" wp14:editId="7830A1AC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956C9"/>
    <w:multiLevelType w:val="hybridMultilevel"/>
    <w:tmpl w:val="28ACD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96AF3"/>
    <w:multiLevelType w:val="hybridMultilevel"/>
    <w:tmpl w:val="82B83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09"/>
          </w:tabs>
          <w:ind w:left="709" w:hanging="567"/>
        </w:pPr>
        <w:rPr>
          <w:rFonts w:hint="default"/>
        </w:rPr>
      </w:lvl>
    </w:lvlOverride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821"/>
    <w:rsid w:val="00000048"/>
    <w:rsid w:val="00015FBC"/>
    <w:rsid w:val="00027A97"/>
    <w:rsid w:val="00034304"/>
    <w:rsid w:val="00035434"/>
    <w:rsid w:val="00045678"/>
    <w:rsid w:val="000458E4"/>
    <w:rsid w:val="00063D84"/>
    <w:rsid w:val="0006636D"/>
    <w:rsid w:val="00077D53"/>
    <w:rsid w:val="00081394"/>
    <w:rsid w:val="000B1200"/>
    <w:rsid w:val="000B34BD"/>
    <w:rsid w:val="000B5B23"/>
    <w:rsid w:val="000C0666"/>
    <w:rsid w:val="000C26EC"/>
    <w:rsid w:val="000C2743"/>
    <w:rsid w:val="000C7E2A"/>
    <w:rsid w:val="000D20D3"/>
    <w:rsid w:val="000D2511"/>
    <w:rsid w:val="000D5D2F"/>
    <w:rsid w:val="000F4CFB"/>
    <w:rsid w:val="001052EE"/>
    <w:rsid w:val="001065C6"/>
    <w:rsid w:val="00117666"/>
    <w:rsid w:val="001223A7"/>
    <w:rsid w:val="00122494"/>
    <w:rsid w:val="00134256"/>
    <w:rsid w:val="00147395"/>
    <w:rsid w:val="001552C9"/>
    <w:rsid w:val="00177D84"/>
    <w:rsid w:val="001964EF"/>
    <w:rsid w:val="001A3CDE"/>
    <w:rsid w:val="001B0B30"/>
    <w:rsid w:val="001B1A2C"/>
    <w:rsid w:val="001B3397"/>
    <w:rsid w:val="001C66A8"/>
    <w:rsid w:val="001D5C23"/>
    <w:rsid w:val="001F0D14"/>
    <w:rsid w:val="001F4C07"/>
    <w:rsid w:val="002060A7"/>
    <w:rsid w:val="00220AEA"/>
    <w:rsid w:val="00226954"/>
    <w:rsid w:val="002572CB"/>
    <w:rsid w:val="002629A3"/>
    <w:rsid w:val="002650F8"/>
    <w:rsid w:val="00265660"/>
    <w:rsid w:val="00267D18"/>
    <w:rsid w:val="002868E2"/>
    <w:rsid w:val="002869C3"/>
    <w:rsid w:val="002936E4"/>
    <w:rsid w:val="00296B88"/>
    <w:rsid w:val="0029790E"/>
    <w:rsid w:val="002A7CE9"/>
    <w:rsid w:val="002C5875"/>
    <w:rsid w:val="002C74CA"/>
    <w:rsid w:val="002F744D"/>
    <w:rsid w:val="00303DE6"/>
    <w:rsid w:val="00310124"/>
    <w:rsid w:val="003405A0"/>
    <w:rsid w:val="003544FB"/>
    <w:rsid w:val="003545F7"/>
    <w:rsid w:val="003563C4"/>
    <w:rsid w:val="00365D63"/>
    <w:rsid w:val="0036793B"/>
    <w:rsid w:val="00372682"/>
    <w:rsid w:val="00376CC5"/>
    <w:rsid w:val="0039693B"/>
    <w:rsid w:val="003D2F2D"/>
    <w:rsid w:val="003D40FB"/>
    <w:rsid w:val="00401590"/>
    <w:rsid w:val="0040655B"/>
    <w:rsid w:val="00422C94"/>
    <w:rsid w:val="00424024"/>
    <w:rsid w:val="00463E3D"/>
    <w:rsid w:val="004645AE"/>
    <w:rsid w:val="004B00CB"/>
    <w:rsid w:val="004D3E33"/>
    <w:rsid w:val="004D61B7"/>
    <w:rsid w:val="005250F2"/>
    <w:rsid w:val="00544384"/>
    <w:rsid w:val="00554631"/>
    <w:rsid w:val="00561E30"/>
    <w:rsid w:val="00581C88"/>
    <w:rsid w:val="005A1D84"/>
    <w:rsid w:val="005A70EA"/>
    <w:rsid w:val="005C3963"/>
    <w:rsid w:val="005D1840"/>
    <w:rsid w:val="005D35E4"/>
    <w:rsid w:val="005D7910"/>
    <w:rsid w:val="006015F3"/>
    <w:rsid w:val="0062154F"/>
    <w:rsid w:val="00631A8C"/>
    <w:rsid w:val="00651CA2"/>
    <w:rsid w:val="00653D60"/>
    <w:rsid w:val="00660D05"/>
    <w:rsid w:val="00662FFA"/>
    <w:rsid w:val="00671D9A"/>
    <w:rsid w:val="00673952"/>
    <w:rsid w:val="00681821"/>
    <w:rsid w:val="00685690"/>
    <w:rsid w:val="00686C9D"/>
    <w:rsid w:val="006B2D5B"/>
    <w:rsid w:val="006B7D14"/>
    <w:rsid w:val="006D5B93"/>
    <w:rsid w:val="006F3EE0"/>
    <w:rsid w:val="00725393"/>
    <w:rsid w:val="00725A7D"/>
    <w:rsid w:val="0073085C"/>
    <w:rsid w:val="00733784"/>
    <w:rsid w:val="0073400A"/>
    <w:rsid w:val="00734C01"/>
    <w:rsid w:val="007364AA"/>
    <w:rsid w:val="00740112"/>
    <w:rsid w:val="00746505"/>
    <w:rsid w:val="007671A3"/>
    <w:rsid w:val="00790BB3"/>
    <w:rsid w:val="00792043"/>
    <w:rsid w:val="00797EDD"/>
    <w:rsid w:val="007A3D28"/>
    <w:rsid w:val="007A692D"/>
    <w:rsid w:val="007B0322"/>
    <w:rsid w:val="007B401E"/>
    <w:rsid w:val="007B7DFC"/>
    <w:rsid w:val="007C0E3F"/>
    <w:rsid w:val="007C206C"/>
    <w:rsid w:val="007C5729"/>
    <w:rsid w:val="008111E4"/>
    <w:rsid w:val="0081301C"/>
    <w:rsid w:val="00817DD6"/>
    <w:rsid w:val="00830BD9"/>
    <w:rsid w:val="008629A9"/>
    <w:rsid w:val="0088513A"/>
    <w:rsid w:val="00893C19"/>
    <w:rsid w:val="008946F4"/>
    <w:rsid w:val="008A4D6F"/>
    <w:rsid w:val="008B056B"/>
    <w:rsid w:val="008D6C8D"/>
    <w:rsid w:val="008E0D1D"/>
    <w:rsid w:val="008E2B54"/>
    <w:rsid w:val="008E4404"/>
    <w:rsid w:val="008E58C7"/>
    <w:rsid w:val="008F0830"/>
    <w:rsid w:val="008F5021"/>
    <w:rsid w:val="00911D41"/>
    <w:rsid w:val="00927D82"/>
    <w:rsid w:val="00943573"/>
    <w:rsid w:val="0096419B"/>
    <w:rsid w:val="00964808"/>
    <w:rsid w:val="00971B61"/>
    <w:rsid w:val="00974C9F"/>
    <w:rsid w:val="00975E01"/>
    <w:rsid w:val="00980C31"/>
    <w:rsid w:val="009955FF"/>
    <w:rsid w:val="009C299F"/>
    <w:rsid w:val="009C52F0"/>
    <w:rsid w:val="009D259D"/>
    <w:rsid w:val="00A05363"/>
    <w:rsid w:val="00A50D9D"/>
    <w:rsid w:val="00A53000"/>
    <w:rsid w:val="00A545C6"/>
    <w:rsid w:val="00A54D36"/>
    <w:rsid w:val="00A54E43"/>
    <w:rsid w:val="00A652D0"/>
    <w:rsid w:val="00A66C02"/>
    <w:rsid w:val="00A75F87"/>
    <w:rsid w:val="00A95D8B"/>
    <w:rsid w:val="00AC0270"/>
    <w:rsid w:val="00AC3EA3"/>
    <w:rsid w:val="00AC792D"/>
    <w:rsid w:val="00AD41CB"/>
    <w:rsid w:val="00AF10C1"/>
    <w:rsid w:val="00B05261"/>
    <w:rsid w:val="00B3640C"/>
    <w:rsid w:val="00B50A46"/>
    <w:rsid w:val="00B657B8"/>
    <w:rsid w:val="00B84920"/>
    <w:rsid w:val="00B8556A"/>
    <w:rsid w:val="00B87C35"/>
    <w:rsid w:val="00B97093"/>
    <w:rsid w:val="00BA2870"/>
    <w:rsid w:val="00BB7E4D"/>
    <w:rsid w:val="00BC0971"/>
    <w:rsid w:val="00BC6CFB"/>
    <w:rsid w:val="00BD3EF8"/>
    <w:rsid w:val="00BF524E"/>
    <w:rsid w:val="00C012A3"/>
    <w:rsid w:val="00C114B6"/>
    <w:rsid w:val="00C16F19"/>
    <w:rsid w:val="00C52A7B"/>
    <w:rsid w:val="00C53316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34A08"/>
    <w:rsid w:val="00D537FA"/>
    <w:rsid w:val="00D5547D"/>
    <w:rsid w:val="00D80D99"/>
    <w:rsid w:val="00D9503C"/>
    <w:rsid w:val="00DA2794"/>
    <w:rsid w:val="00DD73EF"/>
    <w:rsid w:val="00DE23E8"/>
    <w:rsid w:val="00E0128B"/>
    <w:rsid w:val="00E449CD"/>
    <w:rsid w:val="00E548DB"/>
    <w:rsid w:val="00E60A58"/>
    <w:rsid w:val="00E60CA8"/>
    <w:rsid w:val="00E64E17"/>
    <w:rsid w:val="00E71306"/>
    <w:rsid w:val="00E733CE"/>
    <w:rsid w:val="00E74ECB"/>
    <w:rsid w:val="00E94BA3"/>
    <w:rsid w:val="00EA3D3C"/>
    <w:rsid w:val="00EB35F4"/>
    <w:rsid w:val="00EC7CC3"/>
    <w:rsid w:val="00EF5CEC"/>
    <w:rsid w:val="00F145AA"/>
    <w:rsid w:val="00F46494"/>
    <w:rsid w:val="00F558AB"/>
    <w:rsid w:val="00F61D89"/>
    <w:rsid w:val="00F86ABB"/>
    <w:rsid w:val="00FB16AF"/>
    <w:rsid w:val="00FC68E0"/>
    <w:rsid w:val="00FD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7124BE5"/>
  <w15:docId w15:val="{FB844F1B-6347-4A59-A878-A4E9280D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80D99"/>
    <w:pPr>
      <w:numPr>
        <w:numId w:val="2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D80D99"/>
    <w:pPr>
      <w:keepNext/>
      <w:keepLines/>
      <w:numPr>
        <w:ilvl w:val="2"/>
        <w:numId w:val="2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D80D99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004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10124"/>
    <w:pPr>
      <w:numPr>
        <w:numId w:val="1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3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MDPI11articletype">
    <w:name w:val="MDPI_1.1_article_type"/>
    <w:basedOn w:val="Normal"/>
    <w:next w:val="Normal"/>
    <w:qFormat/>
    <w:rsid w:val="000D20D3"/>
    <w:pPr>
      <w:adjustRightInd w:val="0"/>
      <w:snapToGrid w:val="0"/>
      <w:spacing w:before="240" w:after="0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8keywords">
    <w:name w:val="MDPI_1.8_keywords"/>
    <w:basedOn w:val="Normal"/>
    <w:next w:val="Normal"/>
    <w:qFormat/>
    <w:rsid w:val="000D20D3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Default">
    <w:name w:val="Default"/>
    <w:rsid w:val="000D20D3"/>
    <w:pPr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Times New Roman"/>
      <w:color w:val="000000"/>
      <w:sz w:val="24"/>
      <w:szCs w:val="24"/>
      <w:lang w:val="it-IT" w:eastAsia="it-IT"/>
    </w:rPr>
  </w:style>
  <w:style w:type="character" w:customStyle="1" w:styleId="Heading6Char">
    <w:name w:val="Heading 6 Char"/>
    <w:basedOn w:val="DefaultParagraphFont"/>
    <w:link w:val="Heading6"/>
    <w:uiPriority w:val="9"/>
    <w:rsid w:val="00000048"/>
    <w:rPr>
      <w:rFonts w:eastAsiaTheme="majorEastAsia" w:cstheme="majorBidi"/>
      <w:color w:val="243F60" w:themeColor="accent1" w:themeShade="7F"/>
    </w:rPr>
  </w:style>
  <w:style w:type="character" w:customStyle="1" w:styleId="A10">
    <w:name w:val="A10"/>
    <w:uiPriority w:val="99"/>
    <w:rsid w:val="00000048"/>
    <w:rPr>
      <w:rFonts w:cs="AlergiaNormal-Light"/>
      <w:color w:val="000000"/>
      <w:sz w:val="19"/>
      <w:szCs w:val="19"/>
    </w:rPr>
  </w:style>
  <w:style w:type="character" w:customStyle="1" w:styleId="A2">
    <w:name w:val="A2"/>
    <w:uiPriority w:val="99"/>
    <w:rsid w:val="00000048"/>
    <w:rPr>
      <w:rFonts w:cs="Times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000048"/>
    <w:pPr>
      <w:autoSpaceDE w:val="0"/>
      <w:autoSpaceDN w:val="0"/>
      <w:adjustRightInd w:val="0"/>
      <w:spacing w:before="0" w:after="0" w:line="241" w:lineRule="atLeast"/>
    </w:pPr>
    <w:rPr>
      <w:rFonts w:ascii="Times" w:hAnsi="Times"/>
      <w:szCs w:val="24"/>
      <w:lang w:val="it-IT"/>
    </w:rPr>
  </w:style>
  <w:style w:type="paragraph" w:customStyle="1" w:styleId="p">
    <w:name w:val="p"/>
    <w:basedOn w:val="Normal"/>
    <w:rsid w:val="00000048"/>
    <w:pPr>
      <w:spacing w:before="100" w:beforeAutospacing="1" w:after="100" w:afterAutospacing="1"/>
    </w:pPr>
    <w:rPr>
      <w:rFonts w:eastAsia="Times New Roman" w:cs="Times New Roman"/>
      <w:szCs w:val="24"/>
      <w:lang w:val="it-IT" w:eastAsia="it-IT"/>
    </w:rPr>
  </w:style>
  <w:style w:type="character" w:customStyle="1" w:styleId="highlight">
    <w:name w:val="highlight"/>
    <w:basedOn w:val="DefaultParagraphFont"/>
    <w:rsid w:val="00000048"/>
  </w:style>
  <w:style w:type="character" w:customStyle="1" w:styleId="ui-ncbitoggler-master-text">
    <w:name w:val="ui-ncbitoggler-master-text"/>
    <w:basedOn w:val="DefaultParagraphFont"/>
    <w:rsid w:val="00000048"/>
  </w:style>
  <w:style w:type="character" w:customStyle="1" w:styleId="stix">
    <w:name w:val="stix"/>
    <w:basedOn w:val="DefaultParagraphFont"/>
    <w:rsid w:val="00000048"/>
  </w:style>
  <w:style w:type="character" w:customStyle="1" w:styleId="st">
    <w:name w:val="st"/>
    <w:basedOn w:val="DefaultParagraphFont"/>
    <w:rsid w:val="0000004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0048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Pa11">
    <w:name w:val="Pa11"/>
    <w:basedOn w:val="Default"/>
    <w:next w:val="Default"/>
    <w:uiPriority w:val="99"/>
    <w:rsid w:val="00000048"/>
    <w:pPr>
      <w:spacing w:line="201" w:lineRule="atLeast"/>
    </w:pPr>
    <w:rPr>
      <w:rFonts w:ascii="Times New Roman" w:eastAsiaTheme="minorHAnsi" w:hAnsi="Times New Roman"/>
      <w:color w:val="auto"/>
      <w:lang w:eastAsia="en-US"/>
    </w:rPr>
  </w:style>
  <w:style w:type="character" w:customStyle="1" w:styleId="display">
    <w:name w:val="display"/>
    <w:basedOn w:val="DefaultParagraphFont"/>
    <w:rsid w:val="00000048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00004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arattere"/>
    <w:rsid w:val="00000048"/>
    <w:pPr>
      <w:spacing w:before="0" w:after="0" w:line="259" w:lineRule="auto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00004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attere"/>
    <w:rsid w:val="00000048"/>
    <w:pPr>
      <w:spacing w:before="0" w:after="160"/>
      <w:jc w:val="both"/>
    </w:pPr>
    <w:rPr>
      <w:rFonts w:ascii="Calibri" w:hAnsi="Calibri" w:cs="Calibri"/>
      <w:noProof/>
      <w:sz w:val="22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000048"/>
    <w:rPr>
      <w:rFonts w:ascii="Calibri" w:hAnsi="Calibri" w:cs="Calibri"/>
      <w:noProof/>
    </w:rPr>
  </w:style>
  <w:style w:type="paragraph" w:customStyle="1" w:styleId="MDPI62Acknowledgments">
    <w:name w:val="MDPI_6.2_Acknowledgments"/>
    <w:qFormat/>
    <w:rsid w:val="00000048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Pa9">
    <w:name w:val="Pa9"/>
    <w:basedOn w:val="Default"/>
    <w:next w:val="Default"/>
    <w:uiPriority w:val="99"/>
    <w:rsid w:val="00EF5CEC"/>
    <w:pPr>
      <w:spacing w:line="181" w:lineRule="atLeast"/>
    </w:pPr>
    <w:rPr>
      <w:rFonts w:ascii="Verdana" w:eastAsiaTheme="minorHAnsi" w:hAnsi="Verdana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EF5CEC"/>
    <w:pPr>
      <w:spacing w:line="201" w:lineRule="atLeast"/>
    </w:pPr>
    <w:rPr>
      <w:rFonts w:ascii="Times" w:eastAsiaTheme="minorHAnsi" w:hAnsi="Times" w:cstheme="minorBidi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EF5CEC"/>
    <w:pPr>
      <w:spacing w:line="201" w:lineRule="atLeast"/>
    </w:pPr>
    <w:rPr>
      <w:rFonts w:ascii="Times" w:eastAsiaTheme="minorHAnsi" w:hAnsi="Times" w:cstheme="minorBidi"/>
      <w:color w:val="auto"/>
      <w:lang w:eastAsia="en-US"/>
    </w:rPr>
  </w:style>
  <w:style w:type="character" w:customStyle="1" w:styleId="A3">
    <w:name w:val="A3"/>
    <w:uiPriority w:val="99"/>
    <w:rsid w:val="00EF5CEC"/>
    <w:rPr>
      <w:rFonts w:cs="Times"/>
      <w:color w:val="000000"/>
      <w:sz w:val="12"/>
      <w:szCs w:val="12"/>
    </w:rPr>
  </w:style>
  <w:style w:type="character" w:customStyle="1" w:styleId="A1">
    <w:name w:val="A1"/>
    <w:uiPriority w:val="99"/>
    <w:rsid w:val="00EF5CEC"/>
    <w:rPr>
      <w:rFonts w:ascii="AGaramond Bold" w:hAnsi="AGaramond Bold" w:cs="AGaramond Bold"/>
      <w:color w:val="000000"/>
      <w:sz w:val="14"/>
      <w:szCs w:val="14"/>
    </w:rPr>
  </w:style>
  <w:style w:type="paragraph" w:customStyle="1" w:styleId="Pa19">
    <w:name w:val="Pa19"/>
    <w:basedOn w:val="Default"/>
    <w:next w:val="Default"/>
    <w:uiPriority w:val="99"/>
    <w:rsid w:val="00EF5CEC"/>
    <w:pPr>
      <w:spacing w:line="171" w:lineRule="atLeast"/>
    </w:pPr>
    <w:rPr>
      <w:rFonts w:ascii="Frutiger 45 Light" w:eastAsiaTheme="minorHAnsi" w:hAnsi="Frutiger 45 Light" w:cstheme="minorBidi"/>
      <w:color w:val="auto"/>
      <w:lang w:eastAsia="en-US"/>
    </w:rPr>
  </w:style>
  <w:style w:type="character" w:customStyle="1" w:styleId="figpopup-sensitive-area">
    <w:name w:val="figpopup-sensitive-area"/>
    <w:basedOn w:val="DefaultParagraphFont"/>
    <w:rsid w:val="00EF5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99469C-74BA-4C15-9AA2-EB9D110C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0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edemattia</dc:creator>
  <cp:lastModifiedBy>Florine Lièvre</cp:lastModifiedBy>
  <cp:revision>6</cp:revision>
  <cp:lastPrinted>2020-05-18T14:54:00Z</cp:lastPrinted>
  <dcterms:created xsi:type="dcterms:W3CDTF">2020-05-25T07:32:00Z</dcterms:created>
  <dcterms:modified xsi:type="dcterms:W3CDTF">2020-06-12T08:57:00Z</dcterms:modified>
</cp:coreProperties>
</file>