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50E7" w14:textId="77777777" w:rsidR="00096008" w:rsidRDefault="00096008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96008">
        <w:rPr>
          <w:rFonts w:ascii="Times New Roman" w:hAnsi="Times New Roman" w:cs="Times New Roman"/>
          <w:b/>
          <w:sz w:val="24"/>
          <w:szCs w:val="24"/>
          <w:lang w:eastAsia="zh-CN"/>
        </w:rPr>
        <w:t>SUPPLEMENTAL MATERIAL</w:t>
      </w:r>
    </w:p>
    <w:p w14:paraId="039E8C1B" w14:textId="77777777" w:rsidR="00096008" w:rsidRDefault="00096008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471A7A5" w14:textId="77777777" w:rsidR="007615EA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Figure S</w:t>
      </w:r>
      <w:r w:rsidR="00356388">
        <w:rPr>
          <w:rFonts w:ascii="Times New Roman" w:hAnsi="Times New Roman" w:cs="Times New Roman"/>
          <w:b/>
          <w:sz w:val="24"/>
          <w:szCs w:val="24"/>
          <w:lang w:eastAsia="zh-CN"/>
        </w:rPr>
        <w:t>1. Flowchart for population selection</w:t>
      </w:r>
    </w:p>
    <w:p w14:paraId="47395BDA" w14:textId="77777777" w:rsidR="00305E89" w:rsidRDefault="00305E89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E859E39" w14:textId="77777777" w:rsidR="003E3283" w:rsidRPr="003E3283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Figure S</w:t>
      </w:r>
      <w:r w:rsidR="00305E89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3E3283" w:rsidRPr="003E3283">
        <w:rPr>
          <w:rFonts w:ascii="Times New Roman" w:hAnsi="Times New Roman" w:cs="Times New Roman"/>
          <w:b/>
          <w:sz w:val="24"/>
          <w:szCs w:val="24"/>
          <w:lang w:eastAsia="zh-CN"/>
        </w:rPr>
        <w:t>. The association between baseline CRF and changes in cardiometabolic risk factors modified by baseline BMI</w:t>
      </w:r>
    </w:p>
    <w:p w14:paraId="6713DD5A" w14:textId="77777777" w:rsidR="003E3283" w:rsidRPr="003E3283" w:rsidRDefault="003E3283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001FAE39" w14:textId="77777777" w:rsidR="003E3283" w:rsidRPr="003E3283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Figure S</w:t>
      </w:r>
      <w:r w:rsidR="00305E89">
        <w:rPr>
          <w:rFonts w:ascii="Times New Roman" w:hAnsi="Times New Roman" w:cs="Times New Roman"/>
          <w:b/>
          <w:sz w:val="24"/>
          <w:szCs w:val="24"/>
          <w:lang w:eastAsia="zh-CN"/>
        </w:rPr>
        <w:t>3</w:t>
      </w:r>
      <w:r w:rsidR="003E3283" w:rsidRPr="003E3283">
        <w:rPr>
          <w:rFonts w:ascii="Times New Roman" w:hAnsi="Times New Roman" w:cs="Times New Roman"/>
          <w:b/>
          <w:sz w:val="24"/>
          <w:szCs w:val="24"/>
          <w:lang w:eastAsia="zh-CN"/>
        </w:rPr>
        <w:t>. The association between change in BMI/PBF and changes in cardiometabolic risk factors modified by baseline BMI/PBF</w:t>
      </w:r>
    </w:p>
    <w:p w14:paraId="5A6B8318" w14:textId="77777777" w:rsidR="003E3283" w:rsidRPr="003E3283" w:rsidRDefault="003E3283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69910702" w14:textId="77777777" w:rsidR="003E3283" w:rsidRPr="003E3283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Figure S</w:t>
      </w:r>
      <w:r w:rsidR="00305E89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3E3283" w:rsidRPr="003E3283">
        <w:rPr>
          <w:rFonts w:ascii="Times New Roman" w:hAnsi="Times New Roman" w:cs="Times New Roman"/>
          <w:b/>
          <w:sz w:val="24"/>
          <w:szCs w:val="24"/>
          <w:lang w:eastAsia="zh-CN"/>
        </w:rPr>
        <w:t>. The association between changes in CRF and changes in systolic and diastolic blood pressure modified by baseline CRF</w:t>
      </w:r>
    </w:p>
    <w:p w14:paraId="7BC6D767" w14:textId="77777777" w:rsidR="003E3283" w:rsidRPr="003E3283" w:rsidRDefault="003E3283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1642780A" w14:textId="77777777" w:rsidR="004A7A89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Figure S</w:t>
      </w:r>
      <w:r w:rsidR="00305E89"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 w:rsidR="003E3283" w:rsidRPr="003E328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The association between change in CRF and changes in fasting glucose modified by </w:t>
      </w:r>
      <w:r w:rsidR="0066486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the </w:t>
      </w:r>
      <w:r w:rsidR="003E3283" w:rsidRPr="003E3283">
        <w:rPr>
          <w:rFonts w:ascii="Times New Roman" w:hAnsi="Times New Roman" w:cs="Times New Roman"/>
          <w:b/>
          <w:sz w:val="24"/>
          <w:szCs w:val="24"/>
          <w:lang w:eastAsia="zh-CN"/>
        </w:rPr>
        <w:t>change in PBF</w:t>
      </w:r>
    </w:p>
    <w:p w14:paraId="0F03E796" w14:textId="77777777" w:rsidR="003E3283" w:rsidRDefault="003E3283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3D811B4" w14:textId="77777777" w:rsidR="004A7A89" w:rsidRDefault="00A52A2C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4A7A89" w:rsidRPr="004A7A89">
        <w:rPr>
          <w:rFonts w:ascii="Times New Roman" w:hAnsi="Times New Roman" w:cs="Times New Roman"/>
          <w:b/>
          <w:sz w:val="24"/>
          <w:szCs w:val="24"/>
        </w:rPr>
        <w:t>1. P values for interaction between intervention and BMI, percent body fat, and cardiorespiratory fitness for changes in cardiometabolic risk factors</w:t>
      </w:r>
    </w:p>
    <w:p w14:paraId="332BE050" w14:textId="77777777" w:rsidR="004A7A89" w:rsidRDefault="004A7A89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92033" w14:textId="77777777" w:rsidR="004A7A89" w:rsidRPr="004A7A89" w:rsidRDefault="00A52A2C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4A7A89" w:rsidRPr="004A7A89">
        <w:rPr>
          <w:rFonts w:ascii="Times New Roman" w:hAnsi="Times New Roman" w:cs="Times New Roman"/>
          <w:b/>
          <w:sz w:val="24"/>
          <w:szCs w:val="24"/>
        </w:rPr>
        <w:t>2. P values for interaction between sex and BMI, percent body fat, and cardiorespiratory for changes in cardiometabolic risk factors</w:t>
      </w:r>
    </w:p>
    <w:p w14:paraId="516514C6" w14:textId="77777777" w:rsidR="004A7A89" w:rsidRDefault="004A7A89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DDADE60" w14:textId="77777777" w:rsidR="004A7A89" w:rsidRDefault="00A52A2C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4A7A89" w:rsidRPr="004A7A89">
        <w:rPr>
          <w:rFonts w:ascii="Times New Roman" w:hAnsi="Times New Roman" w:cs="Times New Roman"/>
          <w:b/>
          <w:sz w:val="24"/>
          <w:szCs w:val="24"/>
        </w:rPr>
        <w:t>3. Differences between children who included and those who were lost to follow-up in the analysis</w:t>
      </w:r>
    </w:p>
    <w:p w14:paraId="4091D8AD" w14:textId="77777777" w:rsidR="005C344E" w:rsidRDefault="005C344E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2297C" w14:textId="77777777" w:rsidR="009F6862" w:rsidRDefault="009F6862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S4</w:t>
      </w:r>
      <w:r w:rsidRPr="005C344E">
        <w:rPr>
          <w:rFonts w:ascii="Times New Roman" w:hAnsi="Times New Roman" w:cs="Times New Roman"/>
          <w:b/>
          <w:sz w:val="24"/>
          <w:szCs w:val="24"/>
        </w:rPr>
        <w:t>. Changes in cardiometabolic risk factors associated with baseline and changes in waist circumference</w:t>
      </w:r>
    </w:p>
    <w:p w14:paraId="3D6E3C36" w14:textId="77777777" w:rsidR="009F6862" w:rsidRDefault="009F6862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908A601" w14:textId="77777777" w:rsidR="005C344E" w:rsidRDefault="00A52A2C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9F6862">
        <w:rPr>
          <w:rFonts w:ascii="Times New Roman" w:hAnsi="Times New Roman" w:cs="Times New Roman"/>
          <w:b/>
          <w:sz w:val="24"/>
          <w:szCs w:val="24"/>
        </w:rPr>
        <w:t>5</w:t>
      </w:r>
      <w:r w:rsidR="005C344E" w:rsidRPr="005C344E">
        <w:rPr>
          <w:rFonts w:ascii="Times New Roman" w:hAnsi="Times New Roman" w:cs="Times New Roman"/>
          <w:b/>
          <w:sz w:val="24"/>
          <w:szCs w:val="24"/>
        </w:rPr>
        <w:t>. Changes in cardiometabolic risk factors associated with baseline and changes in cardiorespiratory fitness in the control group</w:t>
      </w:r>
    </w:p>
    <w:p w14:paraId="6BD54BA7" w14:textId="77777777" w:rsidR="005C344E" w:rsidRPr="005C344E" w:rsidRDefault="005C344E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436F5" w14:textId="77777777" w:rsidR="005C344E" w:rsidRDefault="00A52A2C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9F6862">
        <w:rPr>
          <w:rFonts w:ascii="Times New Roman" w:hAnsi="Times New Roman" w:cs="Times New Roman"/>
          <w:b/>
          <w:sz w:val="24"/>
          <w:szCs w:val="24"/>
        </w:rPr>
        <w:t>6</w:t>
      </w:r>
      <w:r w:rsidR="005C344E" w:rsidRPr="005C344E">
        <w:rPr>
          <w:rFonts w:ascii="Times New Roman" w:hAnsi="Times New Roman" w:cs="Times New Roman"/>
          <w:b/>
          <w:sz w:val="24"/>
          <w:szCs w:val="24"/>
        </w:rPr>
        <w:t xml:space="preserve">. Changes in cardiometabolic risk factors associated with baseline and changes in BMI in </w:t>
      </w:r>
      <w:r w:rsidR="0066486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C344E" w:rsidRPr="005C344E">
        <w:rPr>
          <w:rFonts w:ascii="Times New Roman" w:hAnsi="Times New Roman" w:cs="Times New Roman"/>
          <w:b/>
          <w:sz w:val="24"/>
          <w:szCs w:val="24"/>
        </w:rPr>
        <w:t>control group</w:t>
      </w:r>
    </w:p>
    <w:p w14:paraId="327D476C" w14:textId="77777777" w:rsidR="005C344E" w:rsidRPr="005C344E" w:rsidRDefault="005C344E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9BBCD" w14:textId="77777777" w:rsidR="00F369C8" w:rsidRDefault="00A52A2C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9F6862">
        <w:rPr>
          <w:rFonts w:ascii="Times New Roman" w:hAnsi="Times New Roman" w:cs="Times New Roman"/>
          <w:b/>
          <w:sz w:val="24"/>
          <w:szCs w:val="24"/>
        </w:rPr>
        <w:t>7</w:t>
      </w:r>
      <w:r w:rsidR="005C344E" w:rsidRPr="005C344E">
        <w:rPr>
          <w:rFonts w:ascii="Times New Roman" w:hAnsi="Times New Roman" w:cs="Times New Roman"/>
          <w:b/>
          <w:sz w:val="24"/>
          <w:szCs w:val="24"/>
        </w:rPr>
        <w:t>. Changes in cardiometabolic risk factors associated with baseline and changes in PBF in the control group</w:t>
      </w:r>
      <w:r w:rsidR="00F369C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165879" w14:textId="77777777" w:rsidR="004A7A89" w:rsidRDefault="00BD19E9" w:rsidP="00B1122A">
      <w:pPr>
        <w:spacing w:line="480" w:lineRule="auto"/>
        <w:jc w:val="both"/>
      </w:pPr>
      <w:r>
        <w:object w:dxaOrig="9421" w:dyaOrig="7171" w14:anchorId="11AB6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43.5pt" o:ole="">
            <v:imagedata r:id="rId6" o:title=""/>
          </v:shape>
          <o:OLEObject Type="Embed" ProgID="Visio.Drawing.15" ShapeID="_x0000_i1025" DrawAspect="Content" ObjectID="_1650866105" r:id="rId7"/>
        </w:object>
      </w:r>
    </w:p>
    <w:p w14:paraId="034D1239" w14:textId="77777777" w:rsidR="00BD19E9" w:rsidRDefault="00BD19E9" w:rsidP="00B1122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br w:type="page"/>
      </w:r>
    </w:p>
    <w:p w14:paraId="3EC0B646" w14:textId="77777777" w:rsidR="00BD19E9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Figure S</w:t>
      </w:r>
      <w:r w:rsidR="00BD19E9">
        <w:rPr>
          <w:rFonts w:ascii="Times New Roman" w:hAnsi="Times New Roman" w:cs="Times New Roman"/>
          <w:b/>
          <w:sz w:val="24"/>
          <w:szCs w:val="24"/>
          <w:lang w:eastAsia="zh-CN"/>
        </w:rPr>
        <w:t>1. Flowchart for population selection</w:t>
      </w:r>
    </w:p>
    <w:p w14:paraId="021D83A9" w14:textId="77777777" w:rsidR="00B32D01" w:rsidRDefault="00B32D01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50A7E9" w14:textId="77777777" w:rsidR="00B32D01" w:rsidRDefault="00B32D01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B32D01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46745B" w14:textId="77777777" w:rsidR="00B32D01" w:rsidRDefault="002014DC" w:rsidP="00B112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B32D01" w:rsidSect="00B32D0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78C2A8EF" wp14:editId="5ED7C5D8">
            <wp:extent cx="8591550" cy="573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AA850" w14:textId="77777777" w:rsidR="0037580C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Figure S</w:t>
      </w:r>
      <w:r w:rsidR="00305E89">
        <w:rPr>
          <w:rFonts w:ascii="Times New Roman" w:hAnsi="Times New Roman" w:cs="Times New Roman"/>
          <w:b/>
          <w:sz w:val="24"/>
          <w:szCs w:val="24"/>
          <w:lang w:eastAsia="zh-CN"/>
        </w:rPr>
        <w:t>2</w:t>
      </w:r>
      <w:r w:rsidR="0037580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The association between </w:t>
      </w:r>
      <w:r w:rsidR="002014DC">
        <w:rPr>
          <w:rFonts w:ascii="Times New Roman" w:hAnsi="Times New Roman" w:cs="Times New Roman"/>
          <w:b/>
          <w:sz w:val="24"/>
          <w:szCs w:val="24"/>
          <w:lang w:eastAsia="zh-CN"/>
        </w:rPr>
        <w:t>baseline CRF</w:t>
      </w:r>
      <w:r w:rsidR="0037580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and changes in </w:t>
      </w:r>
      <w:r w:rsidR="0037580C">
        <w:rPr>
          <w:rFonts w:ascii="Times New Roman" w:hAnsi="Times New Roman" w:cs="Times New Roman"/>
          <w:b/>
          <w:sz w:val="24"/>
          <w:szCs w:val="24"/>
          <w:lang w:eastAsia="zh-CN"/>
        </w:rPr>
        <w:t>cardiometabolic risk factors</w:t>
      </w:r>
      <w:r w:rsidR="0037580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modified by </w:t>
      </w:r>
      <w:r w:rsidR="0037580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baseline </w:t>
      </w:r>
      <w:r w:rsidR="0037580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>BMI</w:t>
      </w:r>
    </w:p>
    <w:p w14:paraId="6847FC6C" w14:textId="77777777" w:rsidR="0037580C" w:rsidRDefault="0009484E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GLM </w:t>
      </w:r>
      <w:r w:rsidR="0037580C" w:rsidRPr="00C812AD">
        <w:rPr>
          <w:rFonts w:ascii="Times New Roman" w:hAnsi="Times New Roman" w:cs="Times New Roman"/>
          <w:sz w:val="24"/>
          <w:szCs w:val="24"/>
          <w:lang w:eastAsia="zh-CN"/>
        </w:rPr>
        <w:t xml:space="preserve">was 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>us</w:t>
      </w:r>
      <w:r w:rsidR="0037580C" w:rsidRPr="00C812AD">
        <w:rPr>
          <w:rFonts w:ascii="Times New Roman" w:hAnsi="Times New Roman" w:cs="Times New Roman"/>
          <w:sz w:val="24"/>
          <w:szCs w:val="24"/>
          <w:lang w:eastAsia="zh-CN"/>
        </w:rPr>
        <w:t xml:space="preserve">ed to 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test whether the association between 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>baseline CRF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 and changes in CMR factors was modified by baseline BMI. C</w:t>
      </w:r>
      <w:r w:rsidR="0037580C" w:rsidRPr="00E7594E">
        <w:rPr>
          <w:rFonts w:ascii="Times New Roman" w:hAnsi="Times New Roman" w:cs="Times New Roman"/>
          <w:sz w:val="24"/>
          <w:szCs w:val="24"/>
          <w:lang w:eastAsia="zh-CN"/>
        </w:rPr>
        <w:t>hildren within classes in school as clustering effects and characteristics of the individuals including age, sex, grade,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 intervention, corresponding cardiometabolic risk factor</w:t>
      </w:r>
      <w:r w:rsidR="0037580C" w:rsidRPr="00E7594E">
        <w:rPr>
          <w:rFonts w:ascii="Times New Roman" w:hAnsi="Times New Roman" w:cs="Times New Roman"/>
          <w:sz w:val="24"/>
          <w:szCs w:val="24"/>
          <w:lang w:eastAsia="zh-CN"/>
        </w:rPr>
        <w:t>, physical activity, total energy intake at baseline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37580C" w:rsidRPr="00E7594E">
        <w:rPr>
          <w:rFonts w:ascii="Times New Roman" w:hAnsi="Times New Roman" w:cs="Times New Roman"/>
          <w:sz w:val="24"/>
          <w:szCs w:val="24"/>
          <w:lang w:eastAsia="zh-CN"/>
        </w:rPr>
        <w:t>birthweight, household income, mother’s education, father’s education, mother’s BMI, and father’s BMI as fixed effects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 were adjusted for. We did the analysis for all the CMR factors and only present those with significant moderation in this figure.</w:t>
      </w:r>
    </w:p>
    <w:p w14:paraId="2CABA2B6" w14:textId="77777777" w:rsidR="002014DC" w:rsidRDefault="0037580C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*indicates </w:t>
      </w:r>
      <w:r w:rsidR="0066486C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significant trend for changes in CMR factors with 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>baseline CRF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in the specific quintiles of BMI at baseline.</w:t>
      </w:r>
    </w:p>
    <w:p w14:paraId="4F8DF409" w14:textId="77777777" w:rsidR="002014DC" w:rsidRDefault="002014DC" w:rsidP="00B1122A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13D7E7E5" w14:textId="77777777" w:rsidR="002014DC" w:rsidRDefault="002014DC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  <w:sectPr w:rsidR="002014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E801E0" w14:textId="77777777" w:rsidR="002014DC" w:rsidRDefault="002014DC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  <w:sectPr w:rsidR="002014DC" w:rsidSect="002014D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16CDD466" wp14:editId="715A1A3A">
            <wp:extent cx="8591550" cy="5727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568" cy="57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C55E" w14:textId="77777777" w:rsidR="002014DC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Figure S</w:t>
      </w:r>
      <w:r w:rsidR="00305E89">
        <w:rPr>
          <w:rFonts w:ascii="Times New Roman" w:hAnsi="Times New Roman" w:cs="Times New Roman"/>
          <w:b/>
          <w:sz w:val="24"/>
          <w:szCs w:val="24"/>
          <w:lang w:eastAsia="zh-CN"/>
        </w:rPr>
        <w:t>3</w:t>
      </w:r>
      <w:r w:rsidR="002014D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The association between </w:t>
      </w:r>
      <w:r w:rsidR="009D2639">
        <w:rPr>
          <w:rFonts w:ascii="Times New Roman" w:hAnsi="Times New Roman" w:cs="Times New Roman"/>
          <w:b/>
          <w:sz w:val="24"/>
          <w:szCs w:val="24"/>
          <w:lang w:eastAsia="zh-CN"/>
        </w:rPr>
        <w:t>change in BMI/PBF</w:t>
      </w:r>
      <w:r w:rsidR="002014D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and changes in </w:t>
      </w:r>
      <w:r w:rsidR="002014DC">
        <w:rPr>
          <w:rFonts w:ascii="Times New Roman" w:hAnsi="Times New Roman" w:cs="Times New Roman"/>
          <w:b/>
          <w:sz w:val="24"/>
          <w:szCs w:val="24"/>
          <w:lang w:eastAsia="zh-CN"/>
        </w:rPr>
        <w:t>cardiometabolic risk factors</w:t>
      </w:r>
      <w:r w:rsidR="002014D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modified by </w:t>
      </w:r>
      <w:r w:rsidR="002014D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baseline </w:t>
      </w:r>
      <w:r w:rsidR="002014D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>BMI</w:t>
      </w:r>
      <w:r w:rsidR="009D2639">
        <w:rPr>
          <w:rFonts w:ascii="Times New Roman" w:hAnsi="Times New Roman" w:cs="Times New Roman"/>
          <w:b/>
          <w:sz w:val="24"/>
          <w:szCs w:val="24"/>
          <w:lang w:eastAsia="zh-CN"/>
        </w:rPr>
        <w:t>/PBF</w:t>
      </w:r>
    </w:p>
    <w:p w14:paraId="584C7C91" w14:textId="77777777" w:rsidR="002014DC" w:rsidRDefault="0009484E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GLM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014DC" w:rsidRPr="00C812AD">
        <w:rPr>
          <w:rFonts w:ascii="Times New Roman" w:hAnsi="Times New Roman" w:cs="Times New Roman"/>
          <w:sz w:val="24"/>
          <w:szCs w:val="24"/>
          <w:lang w:eastAsia="zh-CN"/>
        </w:rPr>
        <w:t xml:space="preserve">was 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>us</w:t>
      </w:r>
      <w:r w:rsidR="002014DC" w:rsidRPr="00C812AD">
        <w:rPr>
          <w:rFonts w:ascii="Times New Roman" w:hAnsi="Times New Roman" w:cs="Times New Roman"/>
          <w:sz w:val="24"/>
          <w:szCs w:val="24"/>
          <w:lang w:eastAsia="zh-CN"/>
        </w:rPr>
        <w:t xml:space="preserve">ed to 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 xml:space="preserve">test whether the association between 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 xml:space="preserve">change in BMI/PBF 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>and changes in CMR factors was modified by baseline BMI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>/PBF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>. C</w:t>
      </w:r>
      <w:r w:rsidR="002014DC" w:rsidRPr="00E7594E">
        <w:rPr>
          <w:rFonts w:ascii="Times New Roman" w:hAnsi="Times New Roman" w:cs="Times New Roman"/>
          <w:sz w:val="24"/>
          <w:szCs w:val="24"/>
          <w:lang w:eastAsia="zh-CN"/>
        </w:rPr>
        <w:t>hildren within classes in school as clustering effects and characteristics of the individuals including age, sex, grade,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 xml:space="preserve"> intervention, corresponding cardiometabolic risk factor</w:t>
      </w:r>
      <w:r w:rsidR="002014DC" w:rsidRPr="00E7594E">
        <w:rPr>
          <w:rFonts w:ascii="Times New Roman" w:hAnsi="Times New Roman" w:cs="Times New Roman"/>
          <w:sz w:val="24"/>
          <w:szCs w:val="24"/>
          <w:lang w:eastAsia="zh-CN"/>
        </w:rPr>
        <w:t>, physical activity, total energy intake at baseline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2014DC" w:rsidRPr="00E7594E">
        <w:rPr>
          <w:rFonts w:ascii="Times New Roman" w:hAnsi="Times New Roman" w:cs="Times New Roman"/>
          <w:sz w:val="24"/>
          <w:szCs w:val="24"/>
          <w:lang w:eastAsia="zh-CN"/>
        </w:rPr>
        <w:t>birthweight, household income, mother’s education, father’s education, mother’s BMI, and father’s BMI as fixed effects</w:t>
      </w:r>
      <w:r w:rsidR="002014DC">
        <w:rPr>
          <w:rFonts w:ascii="Times New Roman" w:hAnsi="Times New Roman" w:cs="Times New Roman"/>
          <w:sz w:val="24"/>
          <w:szCs w:val="24"/>
          <w:lang w:eastAsia="zh-CN"/>
        </w:rPr>
        <w:t xml:space="preserve"> were adjusted for. We did the analysis for all the CMR factors and only present those with significant moderation in this figure.</w:t>
      </w:r>
    </w:p>
    <w:p w14:paraId="0953A337" w14:textId="77777777" w:rsidR="002014DC" w:rsidRDefault="002014DC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*indicates </w:t>
      </w:r>
      <w:r w:rsidR="0066486C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significant trend for changes in CMR factors with 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>change</w:t>
      </w:r>
      <w:r w:rsidR="0066486C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 xml:space="preserve"> in BMI/PBF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in the specific quintiles of BMI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>/PBF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at baseline.</w:t>
      </w:r>
    </w:p>
    <w:p w14:paraId="68A934F8" w14:textId="77777777" w:rsidR="002014DC" w:rsidRDefault="002014DC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E61EC94" w14:textId="77777777" w:rsidR="0037580C" w:rsidRDefault="00B32D01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014DC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28AD26B9" wp14:editId="15B3403B">
            <wp:extent cx="5734050" cy="573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DC57A" w14:textId="77777777" w:rsidR="0037580C" w:rsidRDefault="0037580C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4DBFC0" w14:textId="77777777" w:rsidR="0037580C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Figure S</w:t>
      </w:r>
      <w:r w:rsidR="00305E89">
        <w:rPr>
          <w:rFonts w:ascii="Times New Roman" w:hAnsi="Times New Roman" w:cs="Times New Roman"/>
          <w:b/>
          <w:sz w:val="24"/>
          <w:szCs w:val="24"/>
          <w:lang w:eastAsia="zh-CN"/>
        </w:rPr>
        <w:t>4</w:t>
      </w:r>
      <w:r w:rsidR="0037580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The association between </w:t>
      </w:r>
      <w:r w:rsidR="0037580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changes in </w:t>
      </w:r>
      <w:r w:rsidR="004A7A89">
        <w:rPr>
          <w:rFonts w:ascii="Times New Roman" w:hAnsi="Times New Roman" w:cs="Times New Roman"/>
          <w:b/>
          <w:sz w:val="24"/>
          <w:szCs w:val="24"/>
          <w:lang w:eastAsia="zh-CN"/>
        </w:rPr>
        <w:t>CRF</w:t>
      </w:r>
      <w:r w:rsidR="0037580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and changes in </w:t>
      </w:r>
      <w:r w:rsidR="004A7A89">
        <w:rPr>
          <w:rFonts w:ascii="Times New Roman" w:hAnsi="Times New Roman" w:cs="Times New Roman"/>
          <w:b/>
          <w:sz w:val="24"/>
          <w:szCs w:val="24"/>
          <w:lang w:eastAsia="zh-CN"/>
        </w:rPr>
        <w:t>systolic and diastolic blood pressure</w:t>
      </w:r>
      <w:r w:rsidR="0037580C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modified by </w:t>
      </w:r>
      <w:r w:rsidR="0037580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baseline </w:t>
      </w:r>
      <w:r w:rsidR="004A7A89">
        <w:rPr>
          <w:rFonts w:ascii="Times New Roman" w:hAnsi="Times New Roman" w:cs="Times New Roman"/>
          <w:b/>
          <w:sz w:val="24"/>
          <w:szCs w:val="24"/>
          <w:lang w:eastAsia="zh-CN"/>
        </w:rPr>
        <w:t>CRF</w:t>
      </w:r>
    </w:p>
    <w:p w14:paraId="35C1E7D7" w14:textId="77777777" w:rsidR="0037580C" w:rsidRDefault="0009484E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GLM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7580C" w:rsidRPr="00C812AD">
        <w:rPr>
          <w:rFonts w:ascii="Times New Roman" w:hAnsi="Times New Roman" w:cs="Times New Roman"/>
          <w:sz w:val="24"/>
          <w:szCs w:val="24"/>
          <w:lang w:eastAsia="zh-CN"/>
        </w:rPr>
        <w:t xml:space="preserve">was 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>us</w:t>
      </w:r>
      <w:r w:rsidR="0037580C" w:rsidRPr="00C812AD">
        <w:rPr>
          <w:rFonts w:ascii="Times New Roman" w:hAnsi="Times New Roman" w:cs="Times New Roman"/>
          <w:sz w:val="24"/>
          <w:szCs w:val="24"/>
          <w:lang w:eastAsia="zh-CN"/>
        </w:rPr>
        <w:t xml:space="preserve">ed to 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test whether the association between changes in </w:t>
      </w:r>
      <w:r w:rsidR="004A7A89">
        <w:rPr>
          <w:rFonts w:ascii="Times New Roman" w:hAnsi="Times New Roman" w:cs="Times New Roman"/>
          <w:sz w:val="24"/>
          <w:szCs w:val="24"/>
          <w:lang w:eastAsia="zh-CN"/>
        </w:rPr>
        <w:t>CRF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 and changes in 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 xml:space="preserve">BMI and WC 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was modified by baseline </w:t>
      </w:r>
      <w:r w:rsidR="004A7A89">
        <w:rPr>
          <w:rFonts w:ascii="Times New Roman" w:hAnsi="Times New Roman" w:cs="Times New Roman"/>
          <w:sz w:val="24"/>
          <w:szCs w:val="24"/>
          <w:lang w:eastAsia="zh-CN"/>
        </w:rPr>
        <w:t>CRF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>. C</w:t>
      </w:r>
      <w:r w:rsidR="0037580C" w:rsidRPr="00E7594E">
        <w:rPr>
          <w:rFonts w:ascii="Times New Roman" w:hAnsi="Times New Roman" w:cs="Times New Roman"/>
          <w:sz w:val="24"/>
          <w:szCs w:val="24"/>
          <w:lang w:eastAsia="zh-CN"/>
        </w:rPr>
        <w:t>hildren within classes in school as clustering effects and characteristics of the individuals including age, sex, grade,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 intervention, corresponding cardiometabolic risk factor</w:t>
      </w:r>
      <w:r w:rsidR="0037580C" w:rsidRPr="00E7594E">
        <w:rPr>
          <w:rFonts w:ascii="Times New Roman" w:hAnsi="Times New Roman" w:cs="Times New Roman"/>
          <w:sz w:val="24"/>
          <w:szCs w:val="24"/>
          <w:lang w:eastAsia="zh-CN"/>
        </w:rPr>
        <w:t>, physical activity, total energy intake at baseline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37580C" w:rsidRPr="00E7594E">
        <w:rPr>
          <w:rFonts w:ascii="Times New Roman" w:hAnsi="Times New Roman" w:cs="Times New Roman"/>
          <w:sz w:val="24"/>
          <w:szCs w:val="24"/>
          <w:lang w:eastAsia="zh-CN"/>
        </w:rPr>
        <w:t>birthweight, household income, mother’s education, father’s education, mother’s BMI, and father’s BMI as fixed effects</w:t>
      </w:r>
      <w:r w:rsidR="0037580C">
        <w:rPr>
          <w:rFonts w:ascii="Times New Roman" w:hAnsi="Times New Roman" w:cs="Times New Roman"/>
          <w:sz w:val="24"/>
          <w:szCs w:val="24"/>
          <w:lang w:eastAsia="zh-CN"/>
        </w:rPr>
        <w:t xml:space="preserve"> were adjusted for. We did the analysis for all the CMR factors and only present those with significant moderation in this figure.</w:t>
      </w:r>
    </w:p>
    <w:p w14:paraId="6AE7FAB2" w14:textId="77777777" w:rsidR="009D2639" w:rsidRDefault="0037580C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*indicates </w:t>
      </w:r>
      <w:r w:rsidR="0066486C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significant trend for changes in 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>BMI and WC</w:t>
      </w:r>
      <w:r w:rsidR="004A7A89"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with changes in 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>CRF</w:t>
      </w: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 in the specific quintiles of </w:t>
      </w:r>
      <w:r w:rsidR="004A7A89" w:rsidRPr="004A7A89">
        <w:rPr>
          <w:rFonts w:ascii="Times New Roman" w:hAnsi="Times New Roman" w:cs="Times New Roman"/>
          <w:sz w:val="24"/>
          <w:szCs w:val="24"/>
          <w:lang w:eastAsia="zh-CN"/>
        </w:rPr>
        <w:t>CRF</w:t>
      </w: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 at baseline.</w:t>
      </w:r>
    </w:p>
    <w:p w14:paraId="60896577" w14:textId="77777777" w:rsidR="009D2639" w:rsidRDefault="009D2639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06682A" w14:textId="77777777" w:rsidR="009D2639" w:rsidRDefault="009D2639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18B3D3AE" wp14:editId="45CC6F2F">
            <wp:extent cx="5734050" cy="4298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6D63F" w14:textId="77777777" w:rsidR="009D2639" w:rsidRDefault="009D2639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E5F133" w14:textId="77777777" w:rsidR="009D2639" w:rsidRDefault="00A52A2C" w:rsidP="00B1122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Figure S</w:t>
      </w:r>
      <w:r w:rsidR="00305E89">
        <w:rPr>
          <w:rFonts w:ascii="Times New Roman" w:hAnsi="Times New Roman" w:cs="Times New Roman"/>
          <w:b/>
          <w:sz w:val="24"/>
          <w:szCs w:val="24"/>
          <w:lang w:eastAsia="zh-CN"/>
        </w:rPr>
        <w:t>5</w:t>
      </w:r>
      <w:r w:rsidR="009D2639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The association between </w:t>
      </w:r>
      <w:r w:rsidR="009D2639">
        <w:rPr>
          <w:rFonts w:ascii="Times New Roman" w:hAnsi="Times New Roman" w:cs="Times New Roman"/>
          <w:b/>
          <w:sz w:val="24"/>
          <w:szCs w:val="24"/>
          <w:lang w:eastAsia="zh-CN"/>
        </w:rPr>
        <w:t>change in CRF</w:t>
      </w:r>
      <w:r w:rsidR="009D2639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and changes in</w:t>
      </w:r>
      <w:r w:rsidR="009D263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fasting glucose</w:t>
      </w:r>
      <w:r w:rsidR="009D2639" w:rsidRPr="009310A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modified by </w:t>
      </w:r>
      <w:r w:rsidR="0066486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the </w:t>
      </w:r>
      <w:r w:rsidR="009D2639">
        <w:rPr>
          <w:rFonts w:ascii="Times New Roman" w:hAnsi="Times New Roman" w:cs="Times New Roman"/>
          <w:b/>
          <w:sz w:val="24"/>
          <w:szCs w:val="24"/>
          <w:lang w:eastAsia="zh-CN"/>
        </w:rPr>
        <w:t>change in PBF</w:t>
      </w:r>
    </w:p>
    <w:p w14:paraId="166301DA" w14:textId="77777777" w:rsidR="009D2639" w:rsidRDefault="0009484E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GLM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D2639" w:rsidRPr="00C812AD">
        <w:rPr>
          <w:rFonts w:ascii="Times New Roman" w:hAnsi="Times New Roman" w:cs="Times New Roman"/>
          <w:sz w:val="24"/>
          <w:szCs w:val="24"/>
          <w:lang w:eastAsia="zh-CN"/>
        </w:rPr>
        <w:t xml:space="preserve">was 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>us</w:t>
      </w:r>
      <w:r w:rsidR="009D2639" w:rsidRPr="00C812AD">
        <w:rPr>
          <w:rFonts w:ascii="Times New Roman" w:hAnsi="Times New Roman" w:cs="Times New Roman"/>
          <w:sz w:val="24"/>
          <w:szCs w:val="24"/>
          <w:lang w:eastAsia="zh-CN"/>
        </w:rPr>
        <w:t xml:space="preserve">ed to 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 xml:space="preserve">test whether the association between change in CRF and change in fasting glucose was modified by </w:t>
      </w:r>
      <w:r w:rsidR="0066486C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>change in PBF. C</w:t>
      </w:r>
      <w:r w:rsidR="009D2639" w:rsidRPr="00E7594E">
        <w:rPr>
          <w:rFonts w:ascii="Times New Roman" w:hAnsi="Times New Roman" w:cs="Times New Roman"/>
          <w:sz w:val="24"/>
          <w:szCs w:val="24"/>
          <w:lang w:eastAsia="zh-CN"/>
        </w:rPr>
        <w:t>hildren within classes in school as clustering effects and characteristics of the individuals including age, sex, grade,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 xml:space="preserve"> intervention, corresponding cardiometabolic risk factor</w:t>
      </w:r>
      <w:r w:rsidR="009D2639" w:rsidRPr="00E7594E">
        <w:rPr>
          <w:rFonts w:ascii="Times New Roman" w:hAnsi="Times New Roman" w:cs="Times New Roman"/>
          <w:sz w:val="24"/>
          <w:szCs w:val="24"/>
          <w:lang w:eastAsia="zh-CN"/>
        </w:rPr>
        <w:t>, physical activity, total energy intake at baseline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9D2639" w:rsidRPr="00E7594E">
        <w:rPr>
          <w:rFonts w:ascii="Times New Roman" w:hAnsi="Times New Roman" w:cs="Times New Roman"/>
          <w:sz w:val="24"/>
          <w:szCs w:val="24"/>
          <w:lang w:eastAsia="zh-CN"/>
        </w:rPr>
        <w:t>birthweight, household income, mother’s education, father’s education, mother’s BMI, and father’s BMI as fixed effects</w:t>
      </w:r>
      <w:r w:rsidR="009D2639">
        <w:rPr>
          <w:rFonts w:ascii="Times New Roman" w:hAnsi="Times New Roman" w:cs="Times New Roman"/>
          <w:sz w:val="24"/>
          <w:szCs w:val="24"/>
          <w:lang w:eastAsia="zh-CN"/>
        </w:rPr>
        <w:t xml:space="preserve"> were adjusted for. We did the analysis for all the CMR factors and only present those with significant moderation in this figure.</w:t>
      </w:r>
    </w:p>
    <w:p w14:paraId="6F4AD73E" w14:textId="77777777" w:rsidR="009D2639" w:rsidRDefault="009D2639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*indicates </w:t>
      </w:r>
      <w:r w:rsidR="0066486C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significant trend for changes in </w:t>
      </w:r>
      <w:r>
        <w:rPr>
          <w:rFonts w:ascii="Times New Roman" w:hAnsi="Times New Roman" w:cs="Times New Roman"/>
          <w:sz w:val="24"/>
          <w:szCs w:val="24"/>
          <w:lang w:eastAsia="zh-CN"/>
        </w:rPr>
        <w:t>fasting glucose</w:t>
      </w: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 with </w:t>
      </w:r>
      <w:r w:rsidR="0066486C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change in </w:t>
      </w:r>
      <w:r>
        <w:rPr>
          <w:rFonts w:ascii="Times New Roman" w:hAnsi="Times New Roman" w:cs="Times New Roman"/>
          <w:sz w:val="24"/>
          <w:szCs w:val="24"/>
          <w:lang w:eastAsia="zh-CN"/>
        </w:rPr>
        <w:t>CRF</w:t>
      </w:r>
      <w:r w:rsidRPr="004A7A89">
        <w:rPr>
          <w:rFonts w:ascii="Times New Roman" w:hAnsi="Times New Roman" w:cs="Times New Roman"/>
          <w:sz w:val="24"/>
          <w:szCs w:val="24"/>
          <w:lang w:eastAsia="zh-CN"/>
        </w:rPr>
        <w:t xml:space="preserve"> in the specific quintiles of </w:t>
      </w:r>
      <w:r>
        <w:rPr>
          <w:rFonts w:ascii="Times New Roman" w:hAnsi="Times New Roman" w:cs="Times New Roman"/>
          <w:sz w:val="24"/>
          <w:szCs w:val="24"/>
          <w:lang w:eastAsia="zh-CN"/>
        </w:rPr>
        <w:t>change in PBF</w:t>
      </w:r>
      <w:r w:rsidRPr="004A7A89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5305791" w14:textId="77777777" w:rsidR="00B32D01" w:rsidRPr="004A7A89" w:rsidRDefault="00B32D01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89">
        <w:rPr>
          <w:rFonts w:ascii="Times New Roman" w:hAnsi="Times New Roman" w:cs="Times New Roman"/>
          <w:sz w:val="24"/>
          <w:szCs w:val="24"/>
        </w:rPr>
        <w:br w:type="page"/>
      </w:r>
    </w:p>
    <w:p w14:paraId="4A9C1AD6" w14:textId="77777777" w:rsidR="00514F25" w:rsidRPr="004A7A89" w:rsidRDefault="00A52A2C" w:rsidP="00B112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514F25" w:rsidRPr="004A7A8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53D9B" w:rsidRPr="004A7A89">
        <w:rPr>
          <w:rFonts w:ascii="Times New Roman" w:hAnsi="Times New Roman" w:cs="Times New Roman"/>
          <w:b/>
          <w:sz w:val="24"/>
          <w:szCs w:val="24"/>
        </w:rPr>
        <w:t xml:space="preserve">P values for interaction between intervention and BMI, percent body fat, and cardiorespiratory </w:t>
      </w:r>
      <w:r w:rsidR="00E66784" w:rsidRPr="004A7A89">
        <w:rPr>
          <w:rFonts w:ascii="Times New Roman" w:hAnsi="Times New Roman" w:cs="Times New Roman"/>
          <w:b/>
          <w:sz w:val="24"/>
          <w:szCs w:val="24"/>
        </w:rPr>
        <w:t xml:space="preserve">fitness </w:t>
      </w:r>
      <w:r w:rsidR="00E53D9B" w:rsidRPr="004A7A89">
        <w:rPr>
          <w:rFonts w:ascii="Times New Roman" w:hAnsi="Times New Roman" w:cs="Times New Roman"/>
          <w:b/>
          <w:sz w:val="24"/>
          <w:szCs w:val="24"/>
        </w:rPr>
        <w:t>for changes in cardiometabolic risk factors</w:t>
      </w:r>
      <w:r w:rsidR="00D8291F" w:rsidRPr="004A7A89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2428"/>
        <w:gridCol w:w="2412"/>
        <w:gridCol w:w="2333"/>
      </w:tblGrid>
      <w:tr w:rsidR="00E53D9B" w:rsidRPr="00E53D9B" w14:paraId="6450C007" w14:textId="77777777" w:rsidTr="00E53D9B">
        <w:trPr>
          <w:trHeight w:val="300"/>
          <w:jc w:val="center"/>
        </w:trPr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E505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Changes in CMR factors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25B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 interaction for intervention and BMI</w:t>
            </w:r>
            <w:r w:rsidR="00D8291F" w:rsidRPr="00D82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D138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 interaction for intervention and PBF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039F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 interaction for intervention and CRF</w:t>
            </w:r>
          </w:p>
        </w:tc>
      </w:tr>
      <w:tr w:rsidR="00E53D9B" w:rsidRPr="00E53D9B" w14:paraId="06D11E49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C182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BMI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6076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8463D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0.0474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74EA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0.6829</w:t>
            </w:r>
          </w:p>
        </w:tc>
      </w:tr>
      <w:tr w:rsidR="00E53D9B" w:rsidRPr="00E53D9B" w14:paraId="2695E6A1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91DD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9FB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0.2794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F979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0.3259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0ADF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0.5370</w:t>
            </w:r>
          </w:p>
        </w:tc>
      </w:tr>
      <w:tr w:rsidR="00E53D9B" w:rsidRPr="00E53D9B" w14:paraId="14A4079C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6B4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PBF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825F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0.3220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1D4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4F692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0.1900</w:t>
            </w:r>
          </w:p>
        </w:tc>
      </w:tr>
      <w:tr w:rsidR="00E53D9B" w:rsidRPr="00E53D9B" w14:paraId="7AD09A34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AF38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SBP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DAB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0.0061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E495F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0.1799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8AA5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0.5781</w:t>
            </w:r>
          </w:p>
        </w:tc>
      </w:tr>
      <w:tr w:rsidR="00E53D9B" w:rsidRPr="00E53D9B" w14:paraId="1F9B9200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BAE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DBP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B74A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0.0003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7DA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0.0946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6AF9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0.1956</w:t>
            </w:r>
          </w:p>
        </w:tc>
      </w:tr>
      <w:tr w:rsidR="00E53D9B" w:rsidRPr="00E53D9B" w14:paraId="16776B14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BEAD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MAP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BC0E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0.0002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501EA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0.0890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424D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0.2397</w:t>
            </w:r>
          </w:p>
        </w:tc>
      </w:tr>
      <w:tr w:rsidR="00E53D9B" w:rsidRPr="00E53D9B" w14:paraId="5163A4CA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8F57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FBD5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0.6183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004B3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0.3409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3D9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0.2496</w:t>
            </w:r>
          </w:p>
        </w:tc>
      </w:tr>
      <w:tr w:rsidR="00E53D9B" w:rsidRPr="00E53D9B" w14:paraId="640B831F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AD4D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HDL-C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4D99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0.6432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BAC56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0.1334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639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0.0021</w:t>
            </w:r>
          </w:p>
        </w:tc>
      </w:tr>
      <w:tr w:rsidR="00E53D9B" w:rsidRPr="00E53D9B" w14:paraId="281CA00F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273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LDL-C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617A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0.3356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685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0.0025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16857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0.0003</w:t>
            </w:r>
          </w:p>
        </w:tc>
      </w:tr>
      <w:tr w:rsidR="00E53D9B" w:rsidRPr="00E53D9B" w14:paraId="78D915A7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19BE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Log TG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740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0.4038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0615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0.6392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248D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0.3830</w:t>
            </w:r>
          </w:p>
        </w:tc>
      </w:tr>
      <w:tr w:rsidR="00E53D9B" w:rsidRPr="00E53D9B" w14:paraId="5C0406BB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09F1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Fasting glucose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96F6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0.0575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0588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0.9454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FE72A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0.7188</w:t>
            </w:r>
          </w:p>
        </w:tc>
      </w:tr>
      <w:tr w:rsidR="00E53D9B" w:rsidRPr="00E53D9B" w14:paraId="79008CD7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10EC" w14:textId="77777777" w:rsidR="00E53D9B" w:rsidRPr="00E53D9B" w:rsidRDefault="00CA72B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</w:t>
            </w:r>
            <w:r w:rsidR="00E53D9B"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nsulin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F12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0.0076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EABF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0.8382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58FD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0.0340</w:t>
            </w:r>
          </w:p>
        </w:tc>
      </w:tr>
      <w:tr w:rsidR="00E53D9B" w:rsidRPr="00E53D9B" w14:paraId="3F5B2A66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1762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HOMA-IR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C712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0.0100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C76A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0.8772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3175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0.0300</w:t>
            </w:r>
          </w:p>
        </w:tc>
      </w:tr>
      <w:tr w:rsidR="00E53D9B" w:rsidRPr="00E53D9B" w14:paraId="56FE40A6" w14:textId="77777777" w:rsidTr="00E53D9B">
        <w:trPr>
          <w:trHeight w:val="315"/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5D2E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CMR</w:t>
            </w:r>
            <w:r w:rsidR="00CA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 </w:t>
            </w: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1643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0.0080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3AF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0.6986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D73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0.2346</w:t>
            </w:r>
          </w:p>
        </w:tc>
      </w:tr>
      <w:tr w:rsidR="00E53D9B" w:rsidRPr="00E53D9B" w14:paraId="10E5F1B3" w14:textId="77777777" w:rsidTr="00CA72B3">
        <w:trPr>
          <w:trHeight w:val="330"/>
          <w:jc w:val="center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15F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CMR</w:t>
            </w:r>
            <w:r w:rsidR="00CA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 </w:t>
            </w: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D9F22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0.1257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EBA7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3216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0.0773</w:t>
            </w:r>
          </w:p>
        </w:tc>
      </w:tr>
    </w:tbl>
    <w:p w14:paraId="60760740" w14:textId="77777777" w:rsidR="00CA72B3" w:rsidRDefault="00CA72B3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2B0112AE" w14:textId="77777777" w:rsidR="004A7A89" w:rsidRPr="00CA72B3" w:rsidRDefault="00CA72B3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BMI, body mass index;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CMR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cardiometabolic risk;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CRF, cardiorespiratory fitness;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DBP, dia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HDL-C, high-density lipoprotein cholesterol; HOMA-IR</w:t>
      </w:r>
      <w:r>
        <w:rPr>
          <w:rFonts w:ascii="Times New Roman" w:hAnsi="Times New Roman" w:cs="Times New Roman"/>
          <w:sz w:val="24"/>
          <w:szCs w:val="24"/>
          <w:lang w:eastAsia="zh-CN"/>
        </w:rPr>
        <w:t>, h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omeostatic model assessment of insulin resistance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LDL-C, low-density lipoprotein cholesterol; MAP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mean arterial pressure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SBP, s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TC,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otal cholesterol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TG,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riglyceride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63367912" w14:textId="77777777" w:rsidR="00E53D9B" w:rsidRDefault="00D8291F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*</w:t>
      </w:r>
      <w:r w:rsidR="0009484E">
        <w:rPr>
          <w:rFonts w:ascii="Times New Roman" w:hAnsi="Times New Roman" w:cs="Times New Roman"/>
          <w:sz w:val="24"/>
          <w:szCs w:val="24"/>
          <w:lang w:eastAsia="zh-CN"/>
        </w:rPr>
        <w:t>GLM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w</w:t>
      </w:r>
      <w:r w:rsidR="0009484E">
        <w:rPr>
          <w:rFonts w:ascii="Times New Roman" w:hAnsi="Times New Roman" w:cs="Times New Roman"/>
          <w:sz w:val="24"/>
          <w:szCs w:val="24"/>
          <w:lang w:eastAsia="zh-CN"/>
        </w:rPr>
        <w:t>as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used to test the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interaction between intervention and </w:t>
      </w:r>
      <w:r w:rsidRPr="00E53D9B">
        <w:rPr>
          <w:rFonts w:ascii="Times New Roman" w:hAnsi="Times New Roman" w:cs="Times New Roman"/>
          <w:sz w:val="24"/>
          <w:szCs w:val="24"/>
        </w:rPr>
        <w:t xml:space="preserve">percent body fat, and cardiorespiratory </w:t>
      </w:r>
      <w:r>
        <w:rPr>
          <w:rFonts w:ascii="Times New Roman" w:hAnsi="Times New Roman" w:cs="Times New Roman"/>
          <w:sz w:val="24"/>
          <w:szCs w:val="24"/>
        </w:rPr>
        <w:t xml:space="preserve">fitness </w:t>
      </w:r>
      <w:r w:rsidRPr="00E53D9B">
        <w:rPr>
          <w:rFonts w:ascii="Times New Roman" w:hAnsi="Times New Roman" w:cs="Times New Roman"/>
          <w:sz w:val="24"/>
          <w:szCs w:val="24"/>
        </w:rPr>
        <w:t>for changes in cardiometabolic risk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1F">
        <w:rPr>
          <w:rFonts w:ascii="Times New Roman" w:hAnsi="Times New Roman" w:cs="Times New Roman"/>
          <w:sz w:val="24"/>
          <w:szCs w:val="24"/>
        </w:rPr>
        <w:t>adjusted for children within classes in school as clustering effects and characteristics of the individuals including age, sex, grade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91F">
        <w:rPr>
          <w:rFonts w:ascii="Times New Roman" w:hAnsi="Times New Roman" w:cs="Times New Roman"/>
          <w:sz w:val="24"/>
          <w:szCs w:val="24"/>
        </w:rPr>
        <w:t xml:space="preserve">corresponding </w:t>
      </w:r>
      <w:r>
        <w:rPr>
          <w:rFonts w:ascii="Times New Roman" w:hAnsi="Times New Roman" w:cs="Times New Roman"/>
          <w:sz w:val="24"/>
          <w:szCs w:val="24"/>
        </w:rPr>
        <w:t>CMR factor at baseline</w:t>
      </w:r>
      <w:r w:rsidRPr="00D8291F">
        <w:rPr>
          <w:rFonts w:ascii="Times New Roman" w:hAnsi="Times New Roman" w:cs="Times New Roman"/>
          <w:sz w:val="24"/>
          <w:szCs w:val="24"/>
        </w:rPr>
        <w:t>, physical activity, total energy intake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91F">
        <w:rPr>
          <w:rFonts w:ascii="Times New Roman" w:hAnsi="Times New Roman" w:cs="Times New Roman"/>
          <w:sz w:val="24"/>
          <w:szCs w:val="24"/>
        </w:rPr>
        <w:t>birthweight, household income, mother’s education, father’s education, mother’s BMI, and father’s BMI as fixed effects.</w:t>
      </w:r>
    </w:p>
    <w:p w14:paraId="3BCF9BE7" w14:textId="77777777" w:rsidR="00E53D9B" w:rsidRDefault="00D8291F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†</w:t>
      </w:r>
      <w:r w:rsidR="00E66784">
        <w:rPr>
          <w:rFonts w:ascii="Times New Roman" w:hAnsi="Times New Roman" w:cs="Times New Roman"/>
          <w:sz w:val="24"/>
          <w:szCs w:val="24"/>
        </w:rPr>
        <w:t xml:space="preserve">We used </w:t>
      </w:r>
      <w:r w:rsidRPr="006F4C7C">
        <w:rPr>
          <w:rFonts w:ascii="Times New Roman" w:hAnsi="Times New Roman" w:cs="Times New Roman" w:hint="eastAsia"/>
          <w:sz w:val="24"/>
          <w:szCs w:val="24"/>
        </w:rPr>
        <w:t>Benjamin-Hochberg</w:t>
      </w:r>
      <w:r>
        <w:rPr>
          <w:rFonts w:ascii="Times New Roman" w:hAnsi="Times New Roman" w:cs="Times New Roman" w:hint="eastAsia"/>
          <w:sz w:val="24"/>
          <w:szCs w:val="24"/>
        </w:rPr>
        <w:t xml:space="preserve"> procedure </w:t>
      </w:r>
      <w:r>
        <w:rPr>
          <w:rFonts w:ascii="Times New Roman" w:hAnsi="Times New Roman" w:cs="Times New Roman"/>
          <w:sz w:val="24"/>
          <w:szCs w:val="24"/>
        </w:rPr>
        <w:t xml:space="preserve">was used </w:t>
      </w:r>
      <w:r>
        <w:rPr>
          <w:rFonts w:ascii="Times New Roman" w:hAnsi="Times New Roman" w:cs="Times New Roman" w:hint="eastAsia"/>
          <w:sz w:val="24"/>
          <w:szCs w:val="24"/>
        </w:rPr>
        <w:t>to control the false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7C">
        <w:rPr>
          <w:rFonts w:ascii="Times New Roman" w:hAnsi="Times New Roman" w:cs="Times New Roman" w:hint="eastAsia"/>
          <w:sz w:val="24"/>
          <w:szCs w:val="24"/>
        </w:rPr>
        <w:t>discovery rate at level 5%</w:t>
      </w:r>
      <w:r>
        <w:rPr>
          <w:rFonts w:ascii="Times New Roman" w:hAnsi="Times New Roman" w:cs="Times New Roman"/>
          <w:sz w:val="24"/>
          <w:szCs w:val="24"/>
        </w:rPr>
        <w:t xml:space="preserve"> for multiple comparisons </w:t>
      </w:r>
      <w:r w:rsidR="00E66784">
        <w:rPr>
          <w:rFonts w:ascii="Times New Roman" w:hAnsi="Times New Roman" w:cs="Times New Roman"/>
          <w:sz w:val="24"/>
          <w:szCs w:val="24"/>
        </w:rPr>
        <w:t>with the P</w:t>
      </w:r>
      <w:r w:rsidR="0066486C">
        <w:rPr>
          <w:rFonts w:ascii="Times New Roman" w:hAnsi="Times New Roman" w:cs="Times New Roman"/>
          <w:sz w:val="24"/>
          <w:szCs w:val="24"/>
        </w:rPr>
        <w:t>-</w:t>
      </w:r>
      <w:r w:rsidR="00E66784">
        <w:rPr>
          <w:rFonts w:ascii="Times New Roman" w:hAnsi="Times New Roman" w:cs="Times New Roman"/>
          <w:sz w:val="24"/>
          <w:szCs w:val="24"/>
        </w:rPr>
        <w:t xml:space="preserve">value cut-off point of significance was </w:t>
      </w:r>
      <w:r w:rsidR="00E66784" w:rsidRPr="00E66784">
        <w:rPr>
          <w:rFonts w:ascii="Times New Roman" w:hAnsi="Times New Roman" w:cs="Times New Roman"/>
          <w:sz w:val="24"/>
          <w:szCs w:val="24"/>
        </w:rPr>
        <w:t>0.02</w:t>
      </w:r>
      <w:r w:rsidR="00E66784">
        <w:rPr>
          <w:rFonts w:ascii="Times New Roman" w:hAnsi="Times New Roman" w:cs="Times New Roman"/>
          <w:sz w:val="24"/>
          <w:szCs w:val="24"/>
        </w:rPr>
        <w:t xml:space="preserve">, </w:t>
      </w:r>
      <w:r w:rsidR="00E66784" w:rsidRPr="00E66784">
        <w:rPr>
          <w:rFonts w:ascii="Times New Roman" w:hAnsi="Times New Roman" w:cs="Times New Roman"/>
          <w:sz w:val="24"/>
          <w:szCs w:val="24"/>
        </w:rPr>
        <w:t>0.003</w:t>
      </w:r>
      <w:r w:rsidR="00E66784">
        <w:rPr>
          <w:rFonts w:ascii="Times New Roman" w:hAnsi="Times New Roman" w:cs="Times New Roman"/>
          <w:sz w:val="24"/>
          <w:szCs w:val="24"/>
        </w:rPr>
        <w:t xml:space="preserve">, and </w:t>
      </w:r>
      <w:r w:rsidR="00E66784" w:rsidRPr="00E66784">
        <w:rPr>
          <w:rFonts w:ascii="Times New Roman" w:hAnsi="Times New Roman" w:cs="Times New Roman"/>
          <w:sz w:val="24"/>
          <w:szCs w:val="24"/>
        </w:rPr>
        <w:t>0.01</w:t>
      </w:r>
      <w:r w:rsidR="00E66784">
        <w:rPr>
          <w:rFonts w:ascii="Times New Roman" w:hAnsi="Times New Roman" w:cs="Times New Roman"/>
          <w:sz w:val="24"/>
          <w:szCs w:val="24"/>
        </w:rPr>
        <w:t xml:space="preserve"> for intervention and BMI, intervention and PBF, and intervention and CRF, respectively.</w:t>
      </w:r>
      <w:r w:rsidR="00E53D9B">
        <w:rPr>
          <w:rFonts w:ascii="Times New Roman" w:hAnsi="Times New Roman" w:cs="Times New Roman"/>
          <w:sz w:val="24"/>
          <w:szCs w:val="24"/>
        </w:rPr>
        <w:br w:type="page"/>
      </w:r>
    </w:p>
    <w:p w14:paraId="269CCA21" w14:textId="77777777" w:rsidR="00E53D9B" w:rsidRPr="004A7A89" w:rsidRDefault="00A52A2C" w:rsidP="00B112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E53D9B" w:rsidRPr="004A7A89">
        <w:rPr>
          <w:rFonts w:ascii="Times New Roman" w:hAnsi="Times New Roman" w:cs="Times New Roman"/>
          <w:b/>
          <w:sz w:val="24"/>
          <w:szCs w:val="24"/>
        </w:rPr>
        <w:t>2. P values for interaction between sex and BMI, percent body fat, and cardiorespiratory for changes in cardiometabolic risk factors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674"/>
        <w:gridCol w:w="2614"/>
        <w:gridCol w:w="2596"/>
        <w:gridCol w:w="2330"/>
      </w:tblGrid>
      <w:tr w:rsidR="00E53D9B" w:rsidRPr="00E53D9B" w14:paraId="524C3165" w14:textId="77777777" w:rsidTr="00CA72B3">
        <w:trPr>
          <w:trHeight w:val="300"/>
        </w:trPr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32C54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Changes in CMR factors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87246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 interaction for intervention and BMI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C684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 interaction for intervention and PBF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7CAF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 interaction for intervention and CRF</w:t>
            </w:r>
          </w:p>
        </w:tc>
      </w:tr>
      <w:tr w:rsidR="00E53D9B" w:rsidRPr="00E53D9B" w14:paraId="18D19BB0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D824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BMI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BEDD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D955" w14:textId="77777777" w:rsidR="00E53D9B" w:rsidRPr="00E53D9B" w:rsidRDefault="00E66784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&lt;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82C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0.0532</w:t>
            </w:r>
          </w:p>
        </w:tc>
      </w:tr>
      <w:tr w:rsidR="00E53D9B" w:rsidRPr="00E53D9B" w14:paraId="0CC13CCA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E5EA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WC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94A6" w14:textId="77777777" w:rsidR="00E53D9B" w:rsidRPr="00E53D9B" w:rsidRDefault="00E66784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&lt;</w:t>
            </w:r>
            <w:r w:rsidR="00E53D9B"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6592" w14:textId="77777777" w:rsidR="00E53D9B" w:rsidRPr="00E53D9B" w:rsidRDefault="00E66784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&lt;</w:t>
            </w: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4D89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0.1064</w:t>
            </w:r>
          </w:p>
        </w:tc>
      </w:tr>
      <w:tr w:rsidR="00E53D9B" w:rsidRPr="00E53D9B" w14:paraId="3C39CC8F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D7D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PBF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3CE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0.0012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3006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171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0.0007</w:t>
            </w:r>
          </w:p>
        </w:tc>
      </w:tr>
      <w:tr w:rsidR="00E53D9B" w:rsidRPr="00E53D9B" w14:paraId="3DB11B95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4B37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SBP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387A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0.2612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5C57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0.4368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3C09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0.7829</w:t>
            </w:r>
          </w:p>
        </w:tc>
      </w:tr>
      <w:tr w:rsidR="00E53D9B" w:rsidRPr="00E53D9B" w14:paraId="7504D9BD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F5C6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DBP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942F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0.5356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18E17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0.2277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D8F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0.3979</w:t>
            </w:r>
          </w:p>
        </w:tc>
      </w:tr>
      <w:tr w:rsidR="00E53D9B" w:rsidRPr="00E53D9B" w14:paraId="03B5CC48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2F94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MAP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2DC8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0.4571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5CE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0.4506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4C3B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0.4827</w:t>
            </w:r>
          </w:p>
        </w:tc>
      </w:tr>
      <w:tr w:rsidR="00E53D9B" w:rsidRPr="00E53D9B" w14:paraId="6A08949B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967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TC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F2F5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0.6058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67A8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0.8651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9A33F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0.5287</w:t>
            </w:r>
          </w:p>
        </w:tc>
      </w:tr>
      <w:tr w:rsidR="00E53D9B" w:rsidRPr="00E53D9B" w14:paraId="783759FD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EDBA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HDL-C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D63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0.2705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7138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0.3343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85EBE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0.6555</w:t>
            </w:r>
          </w:p>
        </w:tc>
      </w:tr>
      <w:tr w:rsidR="00E53D9B" w:rsidRPr="00E53D9B" w14:paraId="18FA8273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3D3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LDL-C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3097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0.9251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EC32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0.4913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FDC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0.9333</w:t>
            </w:r>
          </w:p>
        </w:tc>
      </w:tr>
      <w:tr w:rsidR="00E53D9B" w:rsidRPr="00E53D9B" w14:paraId="76819E35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252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TG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C5B65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0.3041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2DED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0.4150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D96DE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0.2886</w:t>
            </w:r>
          </w:p>
        </w:tc>
      </w:tr>
      <w:tr w:rsidR="00E53D9B" w:rsidRPr="00E53D9B" w14:paraId="60B7F3C7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F561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Fasting glucose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3794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0.1483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0694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0.1710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1F2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0.0051</w:t>
            </w:r>
          </w:p>
        </w:tc>
      </w:tr>
      <w:tr w:rsidR="00E53D9B" w:rsidRPr="00E53D9B" w14:paraId="6289060B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FFB61" w14:textId="77777777" w:rsidR="00E53D9B" w:rsidRPr="00E53D9B" w:rsidRDefault="00CA72B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</w:t>
            </w:r>
            <w:r w:rsidR="00E53D9B"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nsulin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62C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0.4798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A0C8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0.4306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00191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0.5499</w:t>
            </w:r>
          </w:p>
        </w:tc>
      </w:tr>
      <w:tr w:rsidR="00E53D9B" w:rsidRPr="00E53D9B" w14:paraId="574CF017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C344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HOMA-IR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4D76E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0.6292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954A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0.4297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6AC6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0.3718</w:t>
            </w:r>
          </w:p>
        </w:tc>
      </w:tr>
      <w:tr w:rsidR="00E53D9B" w:rsidRPr="00E53D9B" w14:paraId="300C3BF3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8B1B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CMR</w:t>
            </w:r>
            <w:r w:rsidR="00CA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</w:t>
            </w: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C621A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0.2572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4A60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0.1112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10EE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0.3822</w:t>
            </w:r>
          </w:p>
        </w:tc>
      </w:tr>
      <w:tr w:rsidR="00E53D9B" w:rsidRPr="00E53D9B" w14:paraId="56319BB2" w14:textId="77777777" w:rsidTr="00CA72B3">
        <w:trPr>
          <w:trHeight w:val="315"/>
        </w:trPr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A9AC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CMR</w:t>
            </w:r>
            <w:r w:rsidR="00CA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</w:t>
            </w: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E27DE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0.6342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C3734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0.8668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EB1A3" w14:textId="77777777" w:rsidR="00E53D9B" w:rsidRPr="00E53D9B" w:rsidRDefault="00E53D9B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53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0.4287</w:t>
            </w:r>
          </w:p>
        </w:tc>
      </w:tr>
    </w:tbl>
    <w:p w14:paraId="482EE191" w14:textId="77777777" w:rsidR="004A7A89" w:rsidRPr="00CA72B3" w:rsidRDefault="00CA72B3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BMI, body mass index;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CMR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cardiometabolic risk;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CRF, cardiorespiratory fitness;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DBP, dia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HDL-C, high-density lipoprotein cholesterol; HOMA-IR</w:t>
      </w:r>
      <w:r>
        <w:rPr>
          <w:rFonts w:ascii="Times New Roman" w:hAnsi="Times New Roman" w:cs="Times New Roman"/>
          <w:sz w:val="24"/>
          <w:szCs w:val="24"/>
          <w:lang w:eastAsia="zh-CN"/>
        </w:rPr>
        <w:t>, h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omeostatic model assessment of insulin resistance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LDL-C, low-density lipoprotein cholesterol; MAP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mean arterial pressure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SBP, s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TC,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otal cholesterol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TG,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riglyceride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499052B7" w14:textId="77777777" w:rsidR="00D8291F" w:rsidRDefault="00D8291F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*</w:t>
      </w:r>
      <w:r w:rsidR="0009484E">
        <w:rPr>
          <w:rFonts w:ascii="Times New Roman" w:hAnsi="Times New Roman" w:cs="Times New Roman"/>
          <w:sz w:val="24"/>
          <w:szCs w:val="24"/>
          <w:lang w:eastAsia="zh-CN"/>
        </w:rPr>
        <w:t>GLM was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used to test the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interaction between intervention and </w:t>
      </w:r>
      <w:r w:rsidRPr="00E53D9B">
        <w:rPr>
          <w:rFonts w:ascii="Times New Roman" w:hAnsi="Times New Roman" w:cs="Times New Roman"/>
          <w:sz w:val="24"/>
          <w:szCs w:val="24"/>
        </w:rPr>
        <w:t xml:space="preserve">percent body fat, and cardiorespiratory </w:t>
      </w:r>
      <w:r>
        <w:rPr>
          <w:rFonts w:ascii="Times New Roman" w:hAnsi="Times New Roman" w:cs="Times New Roman"/>
          <w:sz w:val="24"/>
          <w:szCs w:val="24"/>
        </w:rPr>
        <w:t xml:space="preserve">fitness </w:t>
      </w:r>
      <w:r w:rsidRPr="00E53D9B">
        <w:rPr>
          <w:rFonts w:ascii="Times New Roman" w:hAnsi="Times New Roman" w:cs="Times New Roman"/>
          <w:sz w:val="24"/>
          <w:szCs w:val="24"/>
        </w:rPr>
        <w:t>for changes in cardiometabolic risk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1F">
        <w:rPr>
          <w:rFonts w:ascii="Times New Roman" w:hAnsi="Times New Roman" w:cs="Times New Roman"/>
          <w:sz w:val="24"/>
          <w:szCs w:val="24"/>
        </w:rPr>
        <w:t>adjusted for children within classes in school as clustering effects and characteristics of the individuals including age, sex, grade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91F">
        <w:rPr>
          <w:rFonts w:ascii="Times New Roman" w:hAnsi="Times New Roman" w:cs="Times New Roman"/>
          <w:sz w:val="24"/>
          <w:szCs w:val="24"/>
        </w:rPr>
        <w:t xml:space="preserve">corresponding </w:t>
      </w:r>
      <w:r>
        <w:rPr>
          <w:rFonts w:ascii="Times New Roman" w:hAnsi="Times New Roman" w:cs="Times New Roman"/>
          <w:sz w:val="24"/>
          <w:szCs w:val="24"/>
        </w:rPr>
        <w:t>CMR factor at baseline</w:t>
      </w:r>
      <w:r w:rsidRPr="00D8291F">
        <w:rPr>
          <w:rFonts w:ascii="Times New Roman" w:hAnsi="Times New Roman" w:cs="Times New Roman"/>
          <w:sz w:val="24"/>
          <w:szCs w:val="24"/>
        </w:rPr>
        <w:t>, physical activity, total energy intake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291F">
        <w:rPr>
          <w:rFonts w:ascii="Times New Roman" w:hAnsi="Times New Roman" w:cs="Times New Roman"/>
          <w:sz w:val="24"/>
          <w:szCs w:val="24"/>
        </w:rPr>
        <w:t>birthweight, household income, mother’s education, father’s education, mother’s BMI, and father’s BMI as fixed effects.</w:t>
      </w:r>
    </w:p>
    <w:p w14:paraId="40C2048E" w14:textId="77777777" w:rsidR="00E66784" w:rsidRDefault="00D8291F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We used </w:t>
      </w:r>
      <w:r w:rsidRPr="006F4C7C">
        <w:rPr>
          <w:rFonts w:ascii="Times New Roman" w:hAnsi="Times New Roman" w:cs="Times New Roman" w:hint="eastAsia"/>
          <w:sz w:val="24"/>
          <w:szCs w:val="24"/>
        </w:rPr>
        <w:t>Benjamin-Hochberg</w:t>
      </w:r>
      <w:r>
        <w:rPr>
          <w:rFonts w:ascii="Times New Roman" w:hAnsi="Times New Roman" w:cs="Times New Roman" w:hint="eastAsia"/>
          <w:sz w:val="24"/>
          <w:szCs w:val="24"/>
        </w:rPr>
        <w:t xml:space="preserve"> procedure </w:t>
      </w:r>
      <w:r>
        <w:rPr>
          <w:rFonts w:ascii="Times New Roman" w:hAnsi="Times New Roman" w:cs="Times New Roman"/>
          <w:sz w:val="24"/>
          <w:szCs w:val="24"/>
        </w:rPr>
        <w:t xml:space="preserve">was used </w:t>
      </w:r>
      <w:r>
        <w:rPr>
          <w:rFonts w:ascii="Times New Roman" w:hAnsi="Times New Roman" w:cs="Times New Roman" w:hint="eastAsia"/>
          <w:sz w:val="24"/>
          <w:szCs w:val="24"/>
        </w:rPr>
        <w:t>to control the false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7C">
        <w:rPr>
          <w:rFonts w:ascii="Times New Roman" w:hAnsi="Times New Roman" w:cs="Times New Roman" w:hint="eastAsia"/>
          <w:sz w:val="24"/>
          <w:szCs w:val="24"/>
        </w:rPr>
        <w:t>discovery rate at level 5%</w:t>
      </w:r>
      <w:r>
        <w:rPr>
          <w:rFonts w:ascii="Times New Roman" w:hAnsi="Times New Roman" w:cs="Times New Roman"/>
          <w:sz w:val="24"/>
          <w:szCs w:val="24"/>
        </w:rPr>
        <w:t xml:space="preserve"> for multiple comparisons with </w:t>
      </w:r>
      <w:r w:rsidR="00E66784">
        <w:rPr>
          <w:rFonts w:ascii="Times New Roman" w:hAnsi="Times New Roman" w:cs="Times New Roman"/>
          <w:sz w:val="24"/>
          <w:szCs w:val="24"/>
        </w:rPr>
        <w:t>the P</w:t>
      </w:r>
      <w:r w:rsidR="0066486C">
        <w:rPr>
          <w:rFonts w:ascii="Times New Roman" w:hAnsi="Times New Roman" w:cs="Times New Roman"/>
          <w:sz w:val="24"/>
          <w:szCs w:val="24"/>
        </w:rPr>
        <w:t>-</w:t>
      </w:r>
      <w:r w:rsidR="00E66784">
        <w:rPr>
          <w:rFonts w:ascii="Times New Roman" w:hAnsi="Times New Roman" w:cs="Times New Roman"/>
          <w:sz w:val="24"/>
          <w:szCs w:val="24"/>
        </w:rPr>
        <w:t xml:space="preserve">value cut-off point of significance was </w:t>
      </w:r>
      <w:r w:rsidR="00E66784" w:rsidRPr="00E66784">
        <w:rPr>
          <w:rFonts w:ascii="Times New Roman" w:hAnsi="Times New Roman" w:cs="Times New Roman"/>
          <w:sz w:val="24"/>
          <w:szCs w:val="24"/>
        </w:rPr>
        <w:t>0.01</w:t>
      </w:r>
      <w:r w:rsidR="00E667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784" w:rsidRPr="00E66784">
        <w:rPr>
          <w:rFonts w:ascii="Times New Roman" w:hAnsi="Times New Roman" w:cs="Times New Roman"/>
          <w:sz w:val="24"/>
          <w:szCs w:val="24"/>
        </w:rPr>
        <w:t>0.006</w:t>
      </w:r>
      <w:r w:rsidR="00E66784">
        <w:rPr>
          <w:rFonts w:ascii="Times New Roman" w:hAnsi="Times New Roman" w:cs="Times New Roman"/>
          <w:sz w:val="24"/>
          <w:szCs w:val="24"/>
        </w:rPr>
        <w:t xml:space="preserve">7, and </w:t>
      </w:r>
      <w:r w:rsidR="00E66784" w:rsidRPr="00E66784">
        <w:rPr>
          <w:rFonts w:ascii="Times New Roman" w:hAnsi="Times New Roman" w:cs="Times New Roman"/>
          <w:sz w:val="24"/>
          <w:szCs w:val="24"/>
        </w:rPr>
        <w:t>0.006</w:t>
      </w:r>
      <w:r w:rsidR="00E66784">
        <w:rPr>
          <w:rFonts w:ascii="Times New Roman" w:hAnsi="Times New Roman" w:cs="Times New Roman"/>
          <w:sz w:val="24"/>
          <w:szCs w:val="24"/>
        </w:rPr>
        <w:t xml:space="preserve">7 for </w:t>
      </w:r>
      <w:r>
        <w:rPr>
          <w:rFonts w:ascii="Times New Roman" w:hAnsi="Times New Roman" w:cs="Times New Roman"/>
          <w:sz w:val="24"/>
          <w:szCs w:val="24"/>
        </w:rPr>
        <w:t>sex</w:t>
      </w:r>
      <w:r w:rsidR="00E66784">
        <w:rPr>
          <w:rFonts w:ascii="Times New Roman" w:hAnsi="Times New Roman" w:cs="Times New Roman"/>
          <w:sz w:val="24"/>
          <w:szCs w:val="24"/>
        </w:rPr>
        <w:t xml:space="preserve"> and BMI, </w:t>
      </w:r>
      <w:r>
        <w:rPr>
          <w:rFonts w:ascii="Times New Roman" w:hAnsi="Times New Roman" w:cs="Times New Roman"/>
          <w:sz w:val="24"/>
          <w:szCs w:val="24"/>
        </w:rPr>
        <w:t>sex</w:t>
      </w:r>
      <w:r w:rsidR="00E66784">
        <w:rPr>
          <w:rFonts w:ascii="Times New Roman" w:hAnsi="Times New Roman" w:cs="Times New Roman"/>
          <w:sz w:val="24"/>
          <w:szCs w:val="24"/>
        </w:rPr>
        <w:t xml:space="preserve"> and PBF, and </w:t>
      </w:r>
      <w:r>
        <w:rPr>
          <w:rFonts w:ascii="Times New Roman" w:hAnsi="Times New Roman" w:cs="Times New Roman"/>
          <w:sz w:val="24"/>
          <w:szCs w:val="24"/>
        </w:rPr>
        <w:t>sex</w:t>
      </w:r>
      <w:r w:rsidR="00E66784">
        <w:rPr>
          <w:rFonts w:ascii="Times New Roman" w:hAnsi="Times New Roman" w:cs="Times New Roman"/>
          <w:sz w:val="24"/>
          <w:szCs w:val="24"/>
        </w:rPr>
        <w:t xml:space="preserve"> and CRF, respectively.</w:t>
      </w:r>
    </w:p>
    <w:p w14:paraId="6E359FC3" w14:textId="77777777" w:rsidR="008B3723" w:rsidRDefault="008B3723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3EF66D" w14:textId="77777777" w:rsidR="00E53D9B" w:rsidRPr="004A7A89" w:rsidRDefault="00A52A2C" w:rsidP="00B112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8B3723" w:rsidRPr="004A7A8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B371D" w:rsidRPr="004A7A89">
        <w:rPr>
          <w:rFonts w:ascii="Times New Roman" w:hAnsi="Times New Roman" w:cs="Times New Roman"/>
          <w:b/>
          <w:sz w:val="24"/>
          <w:szCs w:val="24"/>
        </w:rPr>
        <w:t>Differences between children who included and those who were lost to follow-up in the analysis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1682"/>
        <w:gridCol w:w="1682"/>
        <w:gridCol w:w="1682"/>
        <w:gridCol w:w="1068"/>
      </w:tblGrid>
      <w:tr w:rsidR="009B371D" w:rsidRPr="009B371D" w14:paraId="7A2B3A9D" w14:textId="77777777" w:rsidTr="009B37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6D5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8AB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40C2" w14:textId="77777777" w:rsid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Included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in </w:t>
            </w:r>
          </w:p>
          <w:p w14:paraId="02EF27C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the analysis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98FD" w14:textId="77777777" w:rsid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to </w:t>
            </w:r>
          </w:p>
          <w:p w14:paraId="15FDEA2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follow-up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C5BD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</w:t>
            </w:r>
            <w:r w:rsidR="0066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value</w:t>
            </w:r>
            <w:r w:rsidR="004A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9B371D" w:rsidRPr="009B371D" w14:paraId="580258DC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4832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790F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1.40</w:t>
            </w:r>
            <w:r w:rsidR="004A7A89" w:rsidRPr="004A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E10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762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866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</w:t>
            </w:r>
          </w:p>
        </w:tc>
      </w:tr>
      <w:tr w:rsidR="009B371D" w:rsidRPr="009B371D" w14:paraId="5C3E575F" w14:textId="77777777" w:rsidTr="009B371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C20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BMI (kg/m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BFCD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17.08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535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17.09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C1F6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17.02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3EC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0.42</w:t>
            </w:r>
          </w:p>
        </w:tc>
      </w:tr>
      <w:tr w:rsidR="009B371D" w:rsidRPr="009B371D" w14:paraId="4D949A55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B3B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WC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973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57.74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C7B0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57.76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08D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57.68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3AF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0.75</w:t>
            </w:r>
          </w:p>
        </w:tc>
      </w:tr>
      <w:tr w:rsidR="009B371D" w:rsidRPr="009B371D" w14:paraId="7680AD82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7EF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% body fat 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11D5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23.94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F78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24.01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ECD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23.73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96F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0.0355</w:t>
            </w:r>
          </w:p>
        </w:tc>
      </w:tr>
      <w:tr w:rsidR="009B371D" w:rsidRPr="009B371D" w14:paraId="6D0ACA11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4E2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SBP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(mm 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5C9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98.86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2E4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99.36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EA9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97.28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23B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26E815E2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DCF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DBP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(mm 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EEF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62.31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3D4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62.83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665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60.68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157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577CBE91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C3ED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MAP (mm 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943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74.48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5D2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74.99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39D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72.86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FFDE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13DBDC93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A23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Total cholesterol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9E4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4.11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ED4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4.15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A51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4.00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377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59BD7C4F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AF0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HDL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295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1.49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C6B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1.48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14BF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1.55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308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23DFAAD2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CC6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LDL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306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2.23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280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255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2.13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FB7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356D3143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02B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TG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25A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0.82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C12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0.82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B93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0.80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D70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0.0502</w:t>
            </w:r>
          </w:p>
        </w:tc>
      </w:tr>
      <w:tr w:rsidR="009B371D" w:rsidRPr="009B371D" w14:paraId="6B93E2E7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ABA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Fasting glucose (mmol/L)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4CF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041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4.55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729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4.67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15D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0C1C367C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B6B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Log 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B16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1.64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244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1.66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185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1D0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789E03CD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F05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Log HOMA</w:t>
            </w:r>
            <w:r w:rsidR="00CA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036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EA9C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0.10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76C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-0.02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A16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7E071347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F9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CMRS</w:t>
            </w:r>
            <w:r w:rsidR="00CA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ED5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663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166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-0.23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B959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45A45468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8CC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CMRS</w:t>
            </w:r>
            <w:r w:rsidR="00CA7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274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-0.04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0BF6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F93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-0.44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4CD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65FBF2BB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E92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Physical activity (MET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/week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A958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1346.35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C75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1356.28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55C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1309.00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931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0.0220</w:t>
            </w:r>
          </w:p>
        </w:tc>
      </w:tr>
      <w:tr w:rsidR="009B371D" w:rsidRPr="009B371D" w14:paraId="111CEE05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E93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Energy (kcal/day)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CC4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655.25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E16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630.01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631.19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71A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738.65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40A5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&lt;0.0001</w:t>
            </w:r>
          </w:p>
        </w:tc>
      </w:tr>
      <w:tr w:rsidR="009B371D" w:rsidRPr="009B371D" w14:paraId="66573E08" w14:textId="77777777" w:rsidTr="009B37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DD9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50 M*8 shuttle run (second)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481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128.65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90D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128.55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3826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129.61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B45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0.19</w:t>
            </w:r>
          </w:p>
        </w:tc>
      </w:tr>
      <w:tr w:rsidR="009B371D" w:rsidRPr="009B371D" w14:paraId="7E48DEC5" w14:textId="77777777" w:rsidTr="009B371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A87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 M*8 shuttle run (Z-score)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158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BC2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2C2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</w:t>
            </w:r>
            <w:r w:rsidR="009C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±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EEA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0.33</w:t>
            </w:r>
          </w:p>
        </w:tc>
      </w:tr>
      <w:tr w:rsidR="009B371D" w:rsidRPr="009B371D" w14:paraId="5548A41E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199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75A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D81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DD2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EDED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0.28</w:t>
            </w:r>
          </w:p>
        </w:tc>
      </w:tr>
      <w:tr w:rsidR="009B371D" w:rsidRPr="009B371D" w14:paraId="7EA935E5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F8F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824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1536(19.9)</w:t>
            </w:r>
            <w:r w:rsidR="004A7A89" w:rsidRPr="004A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DAB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1151(19.6)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90D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385(20.8)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1CF4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1BDD1ECB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9C5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Two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4D2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1713(22.2)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12A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1307(22.3)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CAAB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406(22.0)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1A0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0DB4E2D2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22D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Three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B9A4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1691(21.9)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1E7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1288(21.9)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9DC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403(21.8)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CFF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4AC111F3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57D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Four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02B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1767(22.9)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B77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1341(22.8)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C193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426(23.1)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297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71C371B1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6EF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Five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F015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1010(13.1)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84A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782(13.3)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AB2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228(12.3)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BE6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68EC0488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871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Birth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631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D04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2D3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B4D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0.25</w:t>
            </w:r>
          </w:p>
        </w:tc>
      </w:tr>
      <w:tr w:rsidR="009B371D" w:rsidRPr="009B371D" w14:paraId="48A092CF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C07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&lt;2500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F7D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206(2.7)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CB3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147(2.5)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4EE7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D390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2AD4DD52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F8E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2500-3999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5AE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4536(58.8)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988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3559(60.6)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03D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977(52.9)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CFF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1080DCDC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5B2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≥4000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6C4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474(6.1)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53C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369(6.3)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238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105(5.7)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C02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6E2FDA59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8FF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628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2501(32.4)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C6C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1794(30.6)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DCA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707(38.3)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694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6BD70492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6C3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Mother's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326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AA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B8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344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0.87</w:t>
            </w:r>
          </w:p>
        </w:tc>
      </w:tr>
      <w:tr w:rsidR="009B371D" w:rsidRPr="009B371D" w14:paraId="61ACF13A" w14:textId="77777777" w:rsidTr="009B371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362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&lt;24 kg/m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12D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4398(57.0)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97E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3439(58.6)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51A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959(51.9)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B62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4C874CA5" w14:textId="77777777" w:rsidTr="009B371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3B3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24-27.9 kg/m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EFA6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893(11.6)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2A5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692(11.8)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4AA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201(10.9)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D1B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4A1FA25E" w14:textId="77777777" w:rsidTr="009B371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36D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≥28 kg/m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112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124(1.6)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9AA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100(1.7)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DD9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24(1.3)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DDA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64E06F14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C14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4F9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2302(29.8)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1F23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1638(27.9)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7E0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664(35.9)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6A7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132E231E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400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Father's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771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23F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861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F5E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0.32</w:t>
            </w:r>
          </w:p>
        </w:tc>
      </w:tr>
      <w:tr w:rsidR="009B371D" w:rsidRPr="009B371D" w14:paraId="1F37230E" w14:textId="77777777" w:rsidTr="009B371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EFF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&lt;24 kg/m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CE2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3048(39.5)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0FC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2372(40.4)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1C1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676(36.6)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4525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54FC84DB" w14:textId="77777777" w:rsidTr="009B371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8EF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24-27.9 kg/m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E95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1899(24.6)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4085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1478(25.2)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EC4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421(22.8)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674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1039C255" w14:textId="77777777" w:rsidTr="009B371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B2E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≥28 kg/m</w:t>
            </w: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83C1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468(6.1)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68DA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381(6.5)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3D0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87(4.7)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0AD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47F45889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03C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EAE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2302(29.8)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F64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1638(27.9)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81C1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664(35.9)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721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67F605D6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4F7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Mother's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78C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3D1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906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67F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0.0226</w:t>
            </w:r>
          </w:p>
        </w:tc>
      </w:tr>
      <w:tr w:rsidR="009B371D" w:rsidRPr="009B371D" w14:paraId="2057C4AA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D40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&lt;7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295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488(6.3)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F16A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353(6.0)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461F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135(7.3)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89D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59E68636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732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7-12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E249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3366(43.6)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852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2643(45.0)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DEA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723(39.1)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0144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5E925694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BC1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≥13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72BC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1473(19.1)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22F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1165(19.9)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6E58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308(16.7)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EF2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17DC1576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65A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65A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2390(31.0)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ABC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1708(29.1)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C66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682(36.9)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912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67E0675C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067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Father's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D33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845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34D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C73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</w:t>
            </w:r>
          </w:p>
        </w:tc>
      </w:tr>
      <w:tr w:rsidR="009B371D" w:rsidRPr="009B371D" w14:paraId="1C3353E6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15F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&lt;7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04B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297(3.8)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D13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212(3.6)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1FC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8F6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</w:t>
            </w:r>
          </w:p>
        </w:tc>
      </w:tr>
      <w:tr w:rsidR="009B371D" w:rsidRPr="009B371D" w14:paraId="7F0629AB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68F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7-12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670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3369(43.7)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6FB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2667(45.4)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F3E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702(38.0)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CE0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</w:t>
            </w:r>
          </w:p>
        </w:tc>
      </w:tr>
      <w:tr w:rsidR="009B371D" w:rsidRPr="009B371D" w14:paraId="22BF5F64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8A7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≥13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E9E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1668(21.6)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0C8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1291(22.0)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4C36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377(20.4)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898E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0.91</w:t>
            </w:r>
          </w:p>
        </w:tc>
      </w:tr>
      <w:tr w:rsidR="009B371D" w:rsidRPr="009B371D" w14:paraId="5D093C63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480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55E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2383(30.9)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95A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1699(28.9)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D30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684(37.0)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C04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3C76BA38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89D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Household income per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E75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312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2C8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495E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0.0009</w:t>
            </w:r>
          </w:p>
        </w:tc>
      </w:tr>
      <w:tr w:rsidR="009B371D" w:rsidRPr="009B371D" w14:paraId="47648490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DC3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&lt;750 RMB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837E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611(7.9)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4D2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456(7.8)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752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155(8.4)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ABF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11C5AAD9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73F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751-1500 RMB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4650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1661(21.5)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DA7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1288(21.9)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B2E9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373(20.2)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5B5B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70C0917F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F2D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1501-2500 RMB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074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1447(18.8)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0AD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1121(19.1)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082DE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326(17.6)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514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57830169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9A8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≥2501 RMB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68AA7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1556(20.2)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F43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1263(21.5)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FF9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293(15.9)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7DD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6DCF2F59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F95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D439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2442(31.6)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D897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1741(29.7)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E7BC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701(37.9)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94CC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3C5BF9CC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5B73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Intervention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16D5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AAD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D70D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BD6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0.0071</w:t>
            </w:r>
          </w:p>
        </w:tc>
      </w:tr>
      <w:tr w:rsidR="009B371D" w:rsidRPr="009B371D" w14:paraId="413D5083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CC7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DF40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3773(48.9)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A68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2920(49.8)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F0F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853(46.2)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0E5A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9B371D" w:rsidRPr="009B371D" w14:paraId="0E6B0BA4" w14:textId="77777777" w:rsidTr="009B371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685CF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83654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3944(51.1)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93671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2949(50.2)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A65B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995(53.8)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0C92" w14:textId="77777777" w:rsidR="009B371D" w:rsidRPr="009B371D" w:rsidRDefault="009B371D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B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3BAA5ACF" w14:textId="77777777" w:rsidR="004A7A89" w:rsidRDefault="004A7A89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bookmarkStart w:id="0" w:name="_Hlk120242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BMI, body mass index;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CMR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cardiometabolic risk;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CRF, cardiorespiratory fitness;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DBP, dia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; </w:t>
      </w:r>
      <w:r w:rsidR="00CA72B3"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HDL-C, high-density lipoprotein cholesterol;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HOMA-IR</w:t>
      </w:r>
      <w:r>
        <w:rPr>
          <w:rFonts w:ascii="Times New Roman" w:hAnsi="Times New Roman" w:cs="Times New Roman"/>
          <w:sz w:val="24"/>
          <w:szCs w:val="24"/>
          <w:lang w:eastAsia="zh-CN"/>
        </w:rPr>
        <w:t>, h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omeostatic model assessment of insulin resistance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LDL-C, low-density lipoprotein cholesterol; MAP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mean arterial pressure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SBP, s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TC,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otal cholesterol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TG,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riglyceride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116A94F0" w14:textId="77777777" w:rsidR="004A7A89" w:rsidRDefault="004A7A89" w:rsidP="00B1122A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*T-test was used to test the difference of continuous variables between boys and girls and Chi-square for categorical variables.</w:t>
      </w:r>
    </w:p>
    <w:p w14:paraId="40E07794" w14:textId="77777777" w:rsidR="004A7A89" w:rsidRDefault="004A7A89" w:rsidP="00B1122A">
      <w:pPr>
        <w:spacing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D543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†</w:t>
      </w:r>
      <w:r w:rsidRPr="00D543F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All such </w:t>
      </w:r>
      <w:r w:rsidRPr="00D543F6">
        <w:rPr>
          <w:rFonts w:ascii="Times New Roman" w:hAnsi="Times New Roman" w:cs="Times New Roman"/>
          <w:sz w:val="24"/>
          <w:szCs w:val="24"/>
          <w:lang w:eastAsia="zh-CN"/>
        </w:rPr>
        <w:t>data were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mean ± standard deviation.</w:t>
      </w:r>
    </w:p>
    <w:p w14:paraId="7E585209" w14:textId="77777777" w:rsidR="004642AE" w:rsidRDefault="004A7A89" w:rsidP="00B1122A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543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AU"/>
        </w:rPr>
        <w:t>‡</w:t>
      </w:r>
      <w:r w:rsidRPr="00D543F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All such data were frequency (percentage).</w:t>
      </w:r>
      <w:bookmarkEnd w:id="0"/>
    </w:p>
    <w:p w14:paraId="1D502B57" w14:textId="77777777" w:rsidR="004642AE" w:rsidRDefault="004642AE" w:rsidP="00B1122A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sectPr w:rsidR="004642AE" w:rsidSect="004642A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79B7D0D" w14:textId="77777777" w:rsidR="004642AE" w:rsidRPr="00080809" w:rsidRDefault="004642AE" w:rsidP="00B1122A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S4</w:t>
      </w:r>
      <w:r w:rsidRPr="00DB6778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_Hlk12024865"/>
      <w:r w:rsidRPr="00DB677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Changes in cardiometabolic risk factors associated with baseline and changes in </w:t>
      </w:r>
      <w:bookmarkEnd w:id="1"/>
      <w:r w:rsidRPr="00DB6778">
        <w:rPr>
          <w:rFonts w:ascii="Times New Roman" w:hAnsi="Times New Roman" w:cs="Times New Roman"/>
          <w:b/>
          <w:sz w:val="24"/>
          <w:szCs w:val="24"/>
          <w:lang w:eastAsia="zh-CN"/>
        </w:rPr>
        <w:t>waist circumference</w:t>
      </w:r>
    </w:p>
    <w:tbl>
      <w:tblPr>
        <w:tblW w:w="14439" w:type="dxa"/>
        <w:tblLook w:val="04A0" w:firstRow="1" w:lastRow="0" w:firstColumn="1" w:lastColumn="0" w:noHBand="0" w:noVBand="1"/>
      </w:tblPr>
      <w:tblGrid>
        <w:gridCol w:w="2220"/>
        <w:gridCol w:w="1161"/>
        <w:gridCol w:w="2415"/>
        <w:gridCol w:w="2386"/>
        <w:gridCol w:w="266"/>
        <w:gridCol w:w="1161"/>
        <w:gridCol w:w="2415"/>
        <w:gridCol w:w="2415"/>
      </w:tblGrid>
      <w:tr w:rsidR="004642AE" w:rsidRPr="00080809" w14:paraId="7AD89F47" w14:textId="77777777" w:rsidTr="003D6B98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92A6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C5A41" w14:textId="77777777" w:rsidR="004642AE" w:rsidRPr="00080809" w:rsidRDefault="004642AE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WC Z-score at baseline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F493B" w14:textId="77777777" w:rsidR="004642AE" w:rsidRPr="00080809" w:rsidRDefault="004642AE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91933" w14:textId="77777777" w:rsidR="004642AE" w:rsidRPr="00080809" w:rsidRDefault="004642AE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WC Z-score</w:t>
            </w:r>
          </w:p>
        </w:tc>
      </w:tr>
      <w:tr w:rsidR="004642AE" w:rsidRPr="00080809" w14:paraId="1B7BC617" w14:textId="77777777" w:rsidTr="003D6B98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635A41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8A6C5E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Participants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C3C8C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Age- and sex-adjusted 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B9E01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Multivariable-adjusted β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9495B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0FFC5B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Participants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0EFCB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Age- and sex-adjusted 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C3C8D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Multivariable-adjusted β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†</w:t>
            </w:r>
          </w:p>
        </w:tc>
      </w:tr>
      <w:tr w:rsidR="004642AE" w:rsidRPr="00080809" w14:paraId="3292F583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B242A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BMI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47DD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5758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C8C4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0.4265(0.3976,0.4554)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52F6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0.4211(0.3923,0.4499)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19908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8B6E0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5737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C899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0.5584(0.5337,0.5830)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73401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0.6441(0.6225,0.6656)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2CA1EF7C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172D6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PBF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F6A30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5604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9833C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0.2689(0.2445,0.2933)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C7FCC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0.2612(0.2362,0.2862)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7745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F7AD2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5582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77B3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0.3902(0.3529,0.4274)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DE45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0.4538(0.4180,0.4897)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1453FFE5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D2988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SBP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F3D2C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5735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A70A3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0.2838(0.2584,0.3092)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0B23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0.2810(0.2535,0.3084)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0319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B790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5710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DF53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0.2017(0.1509,0.2525)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1A05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0.2366(0.1872,0.2860)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68F05B80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CB201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DBP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5CAF2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5742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7860C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0.1883(0.1632,0.2135)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E55ED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0.1784(0.1512,0.2056)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173A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D36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5717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0444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0.1280(0.0767,0.1793)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631F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0.1418(0.0907,0.1930)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30DF2582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32307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MAP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3A219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5733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A220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0.2470(0.2217,0.2723)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8802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0.2389(0.2116,0.2663)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7B2A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5A3D8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5708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680A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0.1670(0.1159,0.2182)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27EA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0.1920(0.1417,0.2422)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2FBA6194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EBC79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TC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15C66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5440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2AB5D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-0.0219(-0.0406,-0.0033)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07CC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-0.0252(-0.0454,-0.0049)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8DE12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C44E2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5348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84F8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0.0801(0.0412,0.1190)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E30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0.0698(0.0305,0.1090)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5A5AD826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E4309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HDL-C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E62B3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5432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29DF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-0.2330(-0.2601,-0.2059)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C165F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-0.2124(-0.2417,-0.1831)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037F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CF7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5340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E824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-0.2327(-0.2895,-0.1759)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73BC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-0.2325(-0.2881,-0.1768)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4338B0A7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31660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LDL-C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4248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5442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1A318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-0.0030(-0.0248,0.0188)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8884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-0.0058(-0.0293,0.0177)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3FDA8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D75E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5350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19FA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0.1748(0.1295,0.2201)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43B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0.1661(0.1208,0.2113)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4216F8BA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DC318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TG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2540D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5445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F329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0.2194(0.1971,0.2418)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4A9B6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0.2102(0.1859,0.2345)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A9AC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CFD61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5353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16088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0.3117(0.2653,0.3581)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129A1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0.3172(0.2716,0.3628)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4F8F05DB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0DF5A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fasting glucose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522C2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5443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36CFA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-0.0158(-0.0351,0.0034)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A05F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-0.0127(-0.0336,0.0083)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CFF0D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8BD0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5351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D683A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0.0792(0.0388,0.1196)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65B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0.0736(0.0328,0.1143)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765CBBF1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07D5F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insulin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6850D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4952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E78A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0.4347(0.3899,0.4795)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16C3A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0.4160(0.3683,0.4637)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D7C5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6D38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4869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D03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0.2751(0.1922,0.3580)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A3C5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0.3332(0.2523,0.4140)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57505C8F" w14:textId="77777777" w:rsidTr="003D6B98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A304A9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HOMA-IR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A7D4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4947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1411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0.4031(0.3605,0.4457)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AD75D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0.3871(0.3415,0.4326)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4D39E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1D27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4864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64952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0.2764(0.1964,0.3563)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94B3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0.3251(0.2469,0.4032)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  <w:tr w:rsidR="004642AE" w:rsidRPr="00080809" w14:paraId="0BC5CC3E" w14:textId="77777777" w:rsidTr="003D6B98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FBC95E" w14:textId="77777777" w:rsidR="004642AE" w:rsidRPr="00080809" w:rsidRDefault="004642AE" w:rsidP="00B1122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Change in CMRS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8F8D0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DF8FC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1.2593(1.1780,1.3406)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5C8F2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1.2090(1.1238,1.2942)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AA6E2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10411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4948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5E374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1.5771(1.4443,1.7099)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3CCD5" w14:textId="77777777" w:rsidR="004642AE" w:rsidRPr="00080809" w:rsidRDefault="004642AE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1.6491(1.5281,1.7701)</w:t>
            </w:r>
            <w:r w:rsidRPr="00080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‡</w:t>
            </w:r>
          </w:p>
        </w:tc>
      </w:tr>
    </w:tbl>
    <w:p w14:paraId="3E39173A" w14:textId="77777777" w:rsidR="004642AE" w:rsidRDefault="004642AE" w:rsidP="00B1122A">
      <w:pPr>
        <w:spacing w:line="480" w:lineRule="auto"/>
        <w:rPr>
          <w:rFonts w:ascii="Times New Roman" w:hAnsi="Times New Roman" w:cs="Times New Roman"/>
          <w:sz w:val="18"/>
          <w:szCs w:val="18"/>
        </w:rPr>
        <w:sectPr w:rsidR="004642AE" w:rsidSect="003F312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F3CE875" w14:textId="77777777" w:rsidR="004642AE" w:rsidRDefault="004642AE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bookmarkStart w:id="2" w:name="_Hlk120249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 xml:space="preserve">BMI, body mass index;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CMR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cardiometabolic risk;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CRF, cardiorespiratory fitness;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DBP, dia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HDL-C, high-density lipoprotein cholesterol; HOMA-IR</w:t>
      </w:r>
      <w:r>
        <w:rPr>
          <w:rFonts w:ascii="Times New Roman" w:hAnsi="Times New Roman" w:cs="Times New Roman"/>
          <w:sz w:val="24"/>
          <w:szCs w:val="24"/>
          <w:lang w:eastAsia="zh-CN"/>
        </w:rPr>
        <w:t>, h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omeostatic model assessment of insulin resistance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LDL-C, low-density lipoprotein cholesterol; MAP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mean arterial pressure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SBP, s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TC,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otal cholesterol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TG,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riglyceride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4EAEA8EB" w14:textId="77777777" w:rsidR="004642AE" w:rsidRDefault="004642AE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bookmarkEnd w:id="2"/>
    <w:p w14:paraId="1D93261A" w14:textId="77777777" w:rsidR="004642AE" w:rsidRDefault="004642AE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C45A1">
        <w:rPr>
          <w:rFonts w:ascii="Times New Roman" w:hAnsi="Times New Roman" w:cs="Times New Roman"/>
          <w:sz w:val="24"/>
          <w:szCs w:val="24"/>
          <w:lang w:eastAsia="zh-CN"/>
        </w:rPr>
        <w:t>*</w:t>
      </w: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Pr="00EA4E46">
        <w:rPr>
          <w:rFonts w:ascii="Times New Roman" w:hAnsi="Times New Roman" w:cs="Times New Roman"/>
          <w:sz w:val="24"/>
          <w:szCs w:val="24"/>
          <w:lang w:eastAsia="zh-CN"/>
        </w:rPr>
        <w:t>hanges in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CMR factors and cardiorespiratory fitness were </w:t>
      </w:r>
      <w:r w:rsidRPr="00EA4E46">
        <w:rPr>
          <w:rFonts w:ascii="Times New Roman" w:hAnsi="Times New Roman" w:cs="Times New Roman"/>
          <w:sz w:val="24"/>
          <w:szCs w:val="24"/>
          <w:lang w:eastAsia="zh-CN"/>
        </w:rPr>
        <w:t>calculated by subtracting the results at baseline from those at follow-up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3129680C" w14:textId="77777777" w:rsidR="004642AE" w:rsidRDefault="004642AE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895B78" w14:textId="77777777" w:rsidR="004642AE" w:rsidRDefault="004642AE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0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†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 xml:space="preserve">GLM was used to estimate multivariable-adjusted </w:t>
      </w:r>
      <w:r w:rsidRPr="00AA1E43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β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 xml:space="preserve"> and 95% CIs of cardiometabolic risk factors associated with </w:t>
      </w:r>
      <w:r>
        <w:rPr>
          <w:rFonts w:ascii="Times New Roman" w:hAnsi="Times New Roman" w:cs="Times New Roman"/>
          <w:sz w:val="24"/>
          <w:szCs w:val="24"/>
          <w:lang w:eastAsia="zh-CN"/>
        </w:rPr>
        <w:t>waist circumference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>. M</w:t>
      </w:r>
      <w:r>
        <w:rPr>
          <w:rFonts w:ascii="Times New Roman" w:hAnsi="Times New Roman" w:cs="Times New Roman"/>
          <w:sz w:val="24"/>
          <w:szCs w:val="24"/>
        </w:rPr>
        <w:t>ultivariable-adjusted analysis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was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adjusted for children within classes in school as clustering effects and characteristics of individuals including age, sex, </w:t>
      </w:r>
      <w:r>
        <w:rPr>
          <w:rFonts w:ascii="Times New Roman" w:hAnsi="Times New Roman" w:cs="Times New Roman"/>
          <w:sz w:val="24"/>
          <w:szCs w:val="24"/>
          <w:lang w:eastAsia="zh-CN"/>
        </w:rPr>
        <w:t>corresponding CMR factor at baseline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puberty,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grade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intervention,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BMI,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physical activity, energy intake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birthweight, household income, mother’s education, father’s education, mother’s BMI, and father’s BMI as fixed effects.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C86CC87" w14:textId="77777777" w:rsidR="004642AE" w:rsidRDefault="004642AE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A615140" w14:textId="77777777" w:rsidR="004642AE" w:rsidRPr="002C5DBC" w:rsidRDefault="004642AE" w:rsidP="00B1122A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6CC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‡</w:t>
      </w:r>
      <w:r w:rsidRPr="00EC45A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Indicates significant associations. </w:t>
      </w:r>
      <w:r w:rsidRPr="00EC45A1">
        <w:rPr>
          <w:rFonts w:ascii="Times New Roman" w:hAnsi="Times New Roman" w:cs="Times New Roman" w:hint="eastAsia"/>
          <w:sz w:val="24"/>
          <w:szCs w:val="24"/>
        </w:rPr>
        <w:t xml:space="preserve">Benjamin-Hochberg procedure </w:t>
      </w:r>
      <w:r w:rsidRPr="00EC45A1">
        <w:rPr>
          <w:rFonts w:ascii="Times New Roman" w:hAnsi="Times New Roman" w:cs="Times New Roman"/>
          <w:sz w:val="24"/>
          <w:szCs w:val="24"/>
        </w:rPr>
        <w:t xml:space="preserve">was used </w:t>
      </w:r>
      <w:r w:rsidRPr="00EC45A1">
        <w:rPr>
          <w:rFonts w:ascii="Times New Roman" w:hAnsi="Times New Roman" w:cs="Times New Roman" w:hint="eastAsia"/>
          <w:sz w:val="24"/>
          <w:szCs w:val="24"/>
        </w:rPr>
        <w:t>to control the false</w:t>
      </w:r>
      <w:r w:rsidRPr="00EC45A1">
        <w:rPr>
          <w:rFonts w:ascii="Times New Roman" w:hAnsi="Times New Roman" w:cs="Times New Roman"/>
          <w:sz w:val="24"/>
          <w:szCs w:val="24"/>
        </w:rPr>
        <w:t xml:space="preserve"> </w:t>
      </w:r>
      <w:r w:rsidRPr="00EC45A1">
        <w:rPr>
          <w:rFonts w:ascii="Times New Roman" w:hAnsi="Times New Roman" w:cs="Times New Roman" w:hint="eastAsia"/>
          <w:sz w:val="24"/>
          <w:szCs w:val="24"/>
        </w:rPr>
        <w:t>discovery rate at level 5%</w:t>
      </w:r>
      <w:r w:rsidRPr="00EC45A1">
        <w:rPr>
          <w:rFonts w:ascii="Times New Roman" w:hAnsi="Times New Roman" w:cs="Times New Roman"/>
          <w:sz w:val="24"/>
          <w:szCs w:val="24"/>
        </w:rPr>
        <w:t xml:space="preserve"> for multiple comparisons with the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45A1">
        <w:rPr>
          <w:rFonts w:ascii="Times New Roman" w:hAnsi="Times New Roman" w:cs="Times New Roman"/>
          <w:sz w:val="24"/>
          <w:szCs w:val="24"/>
        </w:rPr>
        <w:t>value cut-off point of significance was 0.0</w:t>
      </w:r>
      <w:r>
        <w:rPr>
          <w:rFonts w:ascii="Times New Roman" w:hAnsi="Times New Roman" w:cs="Times New Roman"/>
          <w:sz w:val="24"/>
          <w:szCs w:val="24"/>
        </w:rPr>
        <w:t>385</w:t>
      </w:r>
      <w:r w:rsidRPr="00EC45A1">
        <w:rPr>
          <w:rFonts w:ascii="Times New Roman" w:hAnsi="Times New Roman" w:cs="Times New Roman"/>
          <w:sz w:val="24"/>
          <w:szCs w:val="24"/>
        </w:rPr>
        <w:t>, 0.0</w:t>
      </w:r>
      <w:r>
        <w:rPr>
          <w:rFonts w:ascii="Times New Roman" w:hAnsi="Times New Roman" w:cs="Times New Roman"/>
          <w:sz w:val="24"/>
          <w:szCs w:val="24"/>
        </w:rPr>
        <w:t>385, 0.05, and 0.05</w:t>
      </w:r>
      <w:r w:rsidRPr="00EC45A1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age- and sex-adjusted analysis (</w:t>
      </w:r>
      <w:r w:rsidRPr="00EC45A1">
        <w:rPr>
          <w:rFonts w:ascii="Times New Roman" w:hAnsi="Times New Roman" w:cs="Times New Roman"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WC), multivariable-adjusted analysis (baseline</w:t>
      </w:r>
      <w:r w:rsidRPr="00EC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WC)</w:t>
      </w:r>
      <w:r w:rsidRPr="00EC45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age- and sex-adjusted analysis (</w:t>
      </w:r>
      <w:r w:rsidRPr="00EC45A1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in WC), and multivariable-adjusted analysis (</w:t>
      </w:r>
      <w:r w:rsidRPr="00EC45A1">
        <w:rPr>
          <w:rFonts w:ascii="Times New Roman" w:hAnsi="Times New Roman" w:cs="Times New Roman"/>
          <w:sz w:val="24"/>
          <w:szCs w:val="24"/>
        </w:rPr>
        <w:t xml:space="preserve">change in </w:t>
      </w:r>
      <w:r>
        <w:rPr>
          <w:rFonts w:ascii="Times New Roman" w:hAnsi="Times New Roman" w:cs="Times New Roman"/>
          <w:sz w:val="24"/>
          <w:szCs w:val="24"/>
        </w:rPr>
        <w:t>WC)</w:t>
      </w:r>
      <w:r w:rsidRPr="00EC45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A1">
        <w:rPr>
          <w:rFonts w:ascii="Times New Roman" w:hAnsi="Times New Roman" w:cs="Times New Roman"/>
          <w:sz w:val="24"/>
          <w:szCs w:val="24"/>
        </w:rPr>
        <w:t>respectively.</w:t>
      </w:r>
    </w:p>
    <w:p w14:paraId="4276E7E8" w14:textId="77777777" w:rsidR="009B371D" w:rsidRDefault="009B371D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AB7915" w14:textId="77777777" w:rsidR="009B371D" w:rsidRDefault="009B371D" w:rsidP="00B1122A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  <w:sectPr w:rsidR="009B37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51179C" w14:textId="77777777" w:rsidR="00D71965" w:rsidRPr="001E376B" w:rsidRDefault="00A52A2C" w:rsidP="00B112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4642AE">
        <w:rPr>
          <w:rFonts w:ascii="Times New Roman" w:hAnsi="Times New Roman" w:cs="Times New Roman"/>
          <w:b/>
          <w:sz w:val="24"/>
          <w:szCs w:val="24"/>
        </w:rPr>
        <w:t>5</w:t>
      </w:r>
      <w:r w:rsidR="009B371D" w:rsidRPr="00DB6778">
        <w:rPr>
          <w:rFonts w:ascii="Times New Roman" w:hAnsi="Times New Roman" w:cs="Times New Roman"/>
          <w:b/>
          <w:sz w:val="24"/>
          <w:szCs w:val="24"/>
        </w:rPr>
        <w:t>.</w:t>
      </w:r>
      <w:r w:rsidR="00DB6778" w:rsidRPr="00DB6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778" w:rsidRPr="00DB6778">
        <w:rPr>
          <w:rFonts w:ascii="Times New Roman" w:hAnsi="Times New Roman" w:cs="Times New Roman"/>
          <w:b/>
          <w:sz w:val="24"/>
          <w:szCs w:val="24"/>
          <w:lang w:eastAsia="zh-CN"/>
        </w:rPr>
        <w:t>Changes in cardiometabolic risk factors associated with baseline and changes in cardiorespiratory fitness in</w:t>
      </w:r>
      <w:r w:rsidR="001E376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the control group</w:t>
      </w:r>
    </w:p>
    <w:tbl>
      <w:tblPr>
        <w:tblW w:w="14736" w:type="dxa"/>
        <w:tblLook w:val="04A0" w:firstRow="1" w:lastRow="0" w:firstColumn="1" w:lastColumn="0" w:noHBand="0" w:noVBand="1"/>
      </w:tblPr>
      <w:tblGrid>
        <w:gridCol w:w="2288"/>
        <w:gridCol w:w="1161"/>
        <w:gridCol w:w="2465"/>
        <w:gridCol w:w="2465"/>
        <w:gridCol w:w="266"/>
        <w:gridCol w:w="1161"/>
        <w:gridCol w:w="2465"/>
        <w:gridCol w:w="2465"/>
      </w:tblGrid>
      <w:tr w:rsidR="002E02C3" w:rsidRPr="002E02C3" w14:paraId="1FBEFB39" w14:textId="77777777" w:rsidTr="001E376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949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915D1" w14:textId="77777777" w:rsidR="002E02C3" w:rsidRPr="002E02C3" w:rsidRDefault="002E02C3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Baseline CRF (Z-score)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6B10C" w14:textId="77777777" w:rsidR="002E02C3" w:rsidRPr="002E02C3" w:rsidRDefault="002E02C3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2BCB9" w14:textId="77777777" w:rsidR="002E02C3" w:rsidRPr="002E02C3" w:rsidRDefault="002E02C3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CRF (Z-score)</w:t>
            </w:r>
            <w:r w:rsidR="001E3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</w:tr>
      <w:tr w:rsidR="002E02C3" w:rsidRPr="002E02C3" w14:paraId="469F1665" w14:textId="77777777" w:rsidTr="001E37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8707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FF00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Participants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92D1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Age- and sex-adjusted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49E2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Multivariable-adjusted</w:t>
            </w:r>
            <w:r w:rsidR="001E376B" w:rsidRPr="00AA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5331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5ADC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Participants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9975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Age- and sex-adjusted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0E1B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Multivariable-adjusted</w:t>
            </w:r>
            <w:r w:rsidR="001E376B" w:rsidRPr="00AA1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†</w:t>
            </w:r>
          </w:p>
        </w:tc>
      </w:tr>
      <w:tr w:rsidR="001E376B" w:rsidRPr="002E02C3" w14:paraId="382F9248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B0B6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0C7F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2880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4BB0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-0.0640 (-0.0864,-0.0415)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DE0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-0.0605 (-0.0828,-0.0383)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A997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66A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2334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82B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-0.0358 (-0.0554,-0.0161)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5D0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-0.0515 (-0.0712,-0.0317)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1E376B" w:rsidRPr="002E02C3" w14:paraId="70CDFA97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BA05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3B8D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2870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724F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-0.0662 (-0.0865,-0.0458)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2D4A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-0.0543 (-0.0740,-0.0345)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D7B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BD1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2326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9A0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-0.0057 (-0.0235,0.0120)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2345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-0.0211 (-0.0385,-0.0037)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1E376B" w:rsidRPr="002E02C3" w14:paraId="0BCC1576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353A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PBF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D6E4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2805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DA67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-0.0483 (-0.0772,-0.0194)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7EDE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-0.0351 (-0.0636,-0.0066)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FC75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FC1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2265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F41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-0.0052 (-0.0299,0.0196)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17B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-0.0223 (-0.0478,0.0033)</w:t>
            </w:r>
          </w:p>
        </w:tc>
      </w:tr>
      <w:tr w:rsidR="001E376B" w:rsidRPr="002E02C3" w14:paraId="29CBA9F9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0100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SBP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E2C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2878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30C7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-0.0623 (-0.1016,-0.0231)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FE9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0.0325 (-0.0081,0.0731)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9EF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B88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2334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1FD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-0.0161 (-0.0531,0.0210)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E13D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-0.0056 (-0.0440,0.0328)</w:t>
            </w:r>
          </w:p>
        </w:tc>
      </w:tr>
      <w:tr w:rsidR="001E376B" w:rsidRPr="002E02C3" w14:paraId="60198D20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475E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DBP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B42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2878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F29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-0.0425 (-0.0816,-0.0033)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335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0.0200 (-0.0207,0.0608)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ADB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B4F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2334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BC3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-0.0026 (-0.0399,0.0347)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B5E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0.0027 (-0.0362,0.0415)</w:t>
            </w:r>
          </w:p>
        </w:tc>
      </w:tr>
      <w:tr w:rsidR="001E376B" w:rsidRPr="002E02C3" w14:paraId="00C35A76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7EA8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MAP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181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2876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1ABB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-0.0507 (-0.0902,-0.0112)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4FC9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0.0292 (-0.0117,0.0700)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414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6611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2332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84AB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-0.0074 (-0.0451,0.0302)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E6F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-0.0006 (-0.0396,0.0383)</w:t>
            </w:r>
          </w:p>
        </w:tc>
      </w:tr>
      <w:tr w:rsidR="001E376B" w:rsidRPr="002E02C3" w14:paraId="7B8401B9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2091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4190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2728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7DD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-0.0218 (-0.0500,0.0064)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52F1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-0.0328 (-0.0631,-0.0026)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6A7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258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2199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EA52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-0.0194 (-0.0446,0.0059)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AAD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-0.0352 (-0.0620,-0.0085)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1E376B" w:rsidRPr="002E02C3" w14:paraId="16E3353E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430D9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HDL-C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C5B2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2726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1BB1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0.0785 (0.0388,0.1182)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259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-0.0013 (-0.0429,0.0404)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6E41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8D0A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2198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392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0.0592 (0.0233,0.0952)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6763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0.0597 (0.0222,0.0971)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1E376B" w:rsidRPr="002E02C3" w14:paraId="4E381977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7E43C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LDL-C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BAC6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2730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17CE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-0.0903 (-0.1214,-0.0593)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83A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-0.0971 (-0.1300,-0.0642)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7753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76BE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2200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895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-0.0508 (-0.0809,-0.0207)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86AD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-0.0849 (-0.1162,-0.0535)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1E376B" w:rsidRPr="002E02C3" w14:paraId="3E6ACF99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5D62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log 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4790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2733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478A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-0.0730 (-0.1071,-0.0389)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5A0D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0.0060 (-0.0295,0.0415)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6AD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BC4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2203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40D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-0.0480 (-0.0775,-0.0184)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CB9A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-0.0497 (-0.0803,-0.0191)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1E376B" w:rsidRPr="002E02C3" w14:paraId="0D35AD78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B069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fasting 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7DF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2731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E9F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0.0219 (-0.0076,0.0514)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7408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0.0105 (-0.0211,0.0422)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47EA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71D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2201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AD5D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-0.0431 (-0.0708,-0.0154)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79E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-0.0487 (-0.0781,-0.0193)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1E376B" w:rsidRPr="002E02C3" w14:paraId="77DA4146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C8A7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log 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E81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2466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E98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-0.0303 (-0.0922,0.0317)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9FA7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0.0657 (0.0023,0.1291)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8F3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82A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1984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CF6F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0.0212 (-0.0374,0.0799)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826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0.0412 (-0.0194,0.1018)</w:t>
            </w:r>
          </w:p>
        </w:tc>
      </w:tr>
      <w:tr w:rsidR="001E376B" w:rsidRPr="002E02C3" w14:paraId="70198B63" w14:textId="77777777" w:rsidTr="001E37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0704A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HOMA-IR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509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2464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E9DD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-0.0289 (-0.0882,0.0305)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A592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0.0640 (0.0030,0.1251)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5C3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B02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1982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EDAA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0.0101 (-0.0458,0.0661)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F08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0.0286 (-0.0293,0.0866)</w:t>
            </w:r>
          </w:p>
        </w:tc>
      </w:tr>
      <w:tr w:rsidR="001E376B" w:rsidRPr="002E02C3" w14:paraId="76952F0D" w14:textId="77777777" w:rsidTr="001E376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054A1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CMRS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7B78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2475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7D2B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-0.2619 (-0.3631,-0.1607)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A895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-0.0405 (-0.1397,0.0586)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2F16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38B0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2009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9757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-0.1531 (-0.2385,-0.0677)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D369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-0.1729 (-0.2584,-0.0874)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</w:tbl>
    <w:p w14:paraId="543AF5E4" w14:textId="77777777" w:rsidR="002E02C3" w:rsidRDefault="002E02C3" w:rsidP="00B112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2E02C3" w:rsidSect="009B371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4F80284" w14:textId="77777777" w:rsidR="00CA72B3" w:rsidRDefault="00CA72B3" w:rsidP="00B1122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 xml:space="preserve">BMI, body mass index;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CMR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cardiometabolic risk;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CRF, cardiorespiratory fitness;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DBP, dia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HDL-C, high-density lipoprotein cholesterol; HOMA-IR</w:t>
      </w:r>
      <w:r>
        <w:rPr>
          <w:rFonts w:ascii="Times New Roman" w:hAnsi="Times New Roman" w:cs="Times New Roman"/>
          <w:sz w:val="24"/>
          <w:szCs w:val="24"/>
          <w:lang w:eastAsia="zh-CN"/>
        </w:rPr>
        <w:t>, h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omeostatic model assessment of insulin resistance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LDL-C, low-density lipoprotein cholesterol; MAP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mean arterial pressure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SBP, s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TC,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otal cholesterol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TG,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riglyceride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69858839" w14:textId="77777777" w:rsidR="001E376B" w:rsidRDefault="001E376B" w:rsidP="00B1122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42C7DFBA" w14:textId="77777777" w:rsidR="001E376B" w:rsidRDefault="001E376B" w:rsidP="00B112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C45A1">
        <w:rPr>
          <w:rFonts w:ascii="Times New Roman" w:hAnsi="Times New Roman" w:cs="Times New Roman"/>
          <w:sz w:val="24"/>
          <w:szCs w:val="24"/>
          <w:lang w:eastAsia="zh-CN"/>
        </w:rPr>
        <w:t>*</w:t>
      </w: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Pr="00EA4E46">
        <w:rPr>
          <w:rFonts w:ascii="Times New Roman" w:hAnsi="Times New Roman" w:cs="Times New Roman"/>
          <w:sz w:val="24"/>
          <w:szCs w:val="24"/>
          <w:lang w:eastAsia="zh-CN"/>
        </w:rPr>
        <w:t>hanges in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CMR factors and cardiorespiratory fitness were </w:t>
      </w:r>
      <w:r w:rsidRPr="00EA4E46">
        <w:rPr>
          <w:rFonts w:ascii="Times New Roman" w:hAnsi="Times New Roman" w:cs="Times New Roman"/>
          <w:sz w:val="24"/>
          <w:szCs w:val="24"/>
          <w:lang w:eastAsia="zh-CN"/>
        </w:rPr>
        <w:t>calculated by subtracting the results at baseline from those at follow-up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8DEC76D" w14:textId="77777777" w:rsidR="001E376B" w:rsidRDefault="001E376B" w:rsidP="00B1122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659566CE" w14:textId="77777777" w:rsidR="001E376B" w:rsidRDefault="001E376B" w:rsidP="00B112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46D0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†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 xml:space="preserve">GLM was used to estimate multivariable-adjusted </w:t>
      </w:r>
      <w:r w:rsidRPr="00AA1E43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β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 xml:space="preserve"> and 95% CIs of cardiometabolic risk factors associated with cardiorespiratory fitness. M</w:t>
      </w:r>
      <w:r>
        <w:rPr>
          <w:rFonts w:ascii="Times New Roman" w:hAnsi="Times New Roman" w:cs="Times New Roman"/>
          <w:sz w:val="24"/>
          <w:szCs w:val="24"/>
        </w:rPr>
        <w:t>ultivariable-adjusted analysis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was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adjusted for children within classes in school as clustering effects and characteristics of individuals including age, sex, </w:t>
      </w:r>
      <w:r>
        <w:rPr>
          <w:rFonts w:ascii="Times New Roman" w:hAnsi="Times New Roman" w:cs="Times New Roman"/>
          <w:sz w:val="24"/>
          <w:szCs w:val="24"/>
          <w:lang w:eastAsia="zh-CN"/>
        </w:rPr>
        <w:t>corresponding CMR factor at baseline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puberty,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grade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intervention,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BMI,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physical activity, energy intake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birthweight, household income, mother’s education, father’s education, mother’s BMI, and father’s BMI as fixed effects.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2F95CE3E" w14:textId="77777777" w:rsidR="001E376B" w:rsidRDefault="001E376B" w:rsidP="00B112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FF76" w14:textId="77777777" w:rsidR="00DB6778" w:rsidRDefault="001E376B" w:rsidP="00B112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CC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‡</w:t>
      </w:r>
      <w:r w:rsidRPr="00EC45A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Indicates significant associations. </w:t>
      </w:r>
      <w:r w:rsidRPr="00EC45A1">
        <w:rPr>
          <w:rFonts w:ascii="Times New Roman" w:hAnsi="Times New Roman" w:cs="Times New Roman" w:hint="eastAsia"/>
          <w:sz w:val="24"/>
          <w:szCs w:val="24"/>
        </w:rPr>
        <w:t xml:space="preserve">Benjamin-Hochberg procedure </w:t>
      </w:r>
      <w:r w:rsidRPr="00EC45A1">
        <w:rPr>
          <w:rFonts w:ascii="Times New Roman" w:hAnsi="Times New Roman" w:cs="Times New Roman"/>
          <w:sz w:val="24"/>
          <w:szCs w:val="24"/>
        </w:rPr>
        <w:t xml:space="preserve">was used </w:t>
      </w:r>
      <w:r w:rsidRPr="00EC45A1">
        <w:rPr>
          <w:rFonts w:ascii="Times New Roman" w:hAnsi="Times New Roman" w:cs="Times New Roman" w:hint="eastAsia"/>
          <w:sz w:val="24"/>
          <w:szCs w:val="24"/>
        </w:rPr>
        <w:t>to control the false</w:t>
      </w:r>
      <w:r w:rsidRPr="00EC45A1">
        <w:rPr>
          <w:rFonts w:ascii="Times New Roman" w:hAnsi="Times New Roman" w:cs="Times New Roman"/>
          <w:sz w:val="24"/>
          <w:szCs w:val="24"/>
        </w:rPr>
        <w:t xml:space="preserve"> </w:t>
      </w:r>
      <w:r w:rsidRPr="00EC45A1">
        <w:rPr>
          <w:rFonts w:ascii="Times New Roman" w:hAnsi="Times New Roman" w:cs="Times New Roman" w:hint="eastAsia"/>
          <w:sz w:val="24"/>
          <w:szCs w:val="24"/>
        </w:rPr>
        <w:t>discovery rate at level 5%</w:t>
      </w:r>
      <w:r w:rsidRPr="00EC45A1">
        <w:rPr>
          <w:rFonts w:ascii="Times New Roman" w:hAnsi="Times New Roman" w:cs="Times New Roman"/>
          <w:sz w:val="24"/>
          <w:szCs w:val="24"/>
        </w:rPr>
        <w:t xml:space="preserve"> for multiple comparisons with the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45A1">
        <w:rPr>
          <w:rFonts w:ascii="Times New Roman" w:hAnsi="Times New Roman" w:cs="Times New Roman"/>
          <w:sz w:val="24"/>
          <w:szCs w:val="24"/>
        </w:rPr>
        <w:t>value cut-off point of significance was 0.0</w:t>
      </w:r>
      <w:r>
        <w:rPr>
          <w:rFonts w:ascii="Times New Roman" w:hAnsi="Times New Roman" w:cs="Times New Roman"/>
          <w:sz w:val="24"/>
          <w:szCs w:val="24"/>
        </w:rPr>
        <w:t>357</w:t>
      </w:r>
      <w:r w:rsidRPr="00EC45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0.0179, </w:t>
      </w:r>
      <w:r w:rsidRPr="00EC45A1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214, and 0.0286</w:t>
      </w:r>
      <w:r w:rsidRPr="00EC45A1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age- and sex-adjusted analysis (</w:t>
      </w:r>
      <w:r w:rsidRPr="00EC45A1">
        <w:rPr>
          <w:rFonts w:ascii="Times New Roman" w:hAnsi="Times New Roman" w:cs="Times New Roman"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CRF), multivariable-adjusted analysis (baseline</w:t>
      </w:r>
      <w:r w:rsidRPr="00EC45A1">
        <w:rPr>
          <w:rFonts w:ascii="Times New Roman" w:hAnsi="Times New Roman" w:cs="Times New Roman"/>
          <w:sz w:val="24"/>
          <w:szCs w:val="24"/>
        </w:rPr>
        <w:t xml:space="preserve"> CRF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45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age- and sex-adjusted analysis (</w:t>
      </w:r>
      <w:r w:rsidRPr="00EC45A1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in CRF), and multivariable-adjusted analysis (</w:t>
      </w:r>
      <w:r w:rsidRPr="00EC45A1">
        <w:rPr>
          <w:rFonts w:ascii="Times New Roman" w:hAnsi="Times New Roman" w:cs="Times New Roman"/>
          <w:sz w:val="24"/>
          <w:szCs w:val="24"/>
        </w:rPr>
        <w:t>change in CRF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45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A1">
        <w:rPr>
          <w:rFonts w:ascii="Times New Roman" w:hAnsi="Times New Roman" w:cs="Times New Roman"/>
          <w:sz w:val="24"/>
          <w:szCs w:val="24"/>
        </w:rPr>
        <w:t>respectively.</w:t>
      </w:r>
      <w:r w:rsidR="00DB6778">
        <w:rPr>
          <w:rFonts w:ascii="Times New Roman" w:hAnsi="Times New Roman" w:cs="Times New Roman"/>
          <w:sz w:val="24"/>
          <w:szCs w:val="24"/>
        </w:rPr>
        <w:br w:type="page"/>
      </w:r>
    </w:p>
    <w:p w14:paraId="63F60AA9" w14:textId="77777777" w:rsidR="00DB6778" w:rsidRDefault="00DB6778" w:rsidP="00B1122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DB6778" w:rsidSect="00DB677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103E975" w14:textId="77777777" w:rsidR="009B371D" w:rsidRPr="00DB6778" w:rsidRDefault="00A52A2C" w:rsidP="00B112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4642AE">
        <w:rPr>
          <w:rFonts w:ascii="Times New Roman" w:hAnsi="Times New Roman" w:cs="Times New Roman"/>
          <w:b/>
          <w:sz w:val="24"/>
          <w:szCs w:val="24"/>
        </w:rPr>
        <w:t>6</w:t>
      </w:r>
      <w:r w:rsidR="003F3123" w:rsidRPr="00DB67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778" w:rsidRPr="00DB677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Changes in cardiometabolic risk factors associated with baseline and changes in BMI in </w:t>
      </w:r>
      <w:r w:rsidR="0066486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the </w:t>
      </w:r>
      <w:r w:rsidR="00DB6778" w:rsidRPr="00DB6778">
        <w:rPr>
          <w:rFonts w:ascii="Times New Roman" w:hAnsi="Times New Roman" w:cs="Times New Roman"/>
          <w:b/>
          <w:sz w:val="24"/>
          <w:szCs w:val="24"/>
          <w:lang w:eastAsia="zh-CN"/>
        </w:rPr>
        <w:t>control group</w:t>
      </w:r>
    </w:p>
    <w:tbl>
      <w:tblPr>
        <w:tblW w:w="14103" w:type="dxa"/>
        <w:tblLook w:val="04A0" w:firstRow="1" w:lastRow="0" w:firstColumn="1" w:lastColumn="0" w:noHBand="0" w:noVBand="1"/>
      </w:tblPr>
      <w:tblGrid>
        <w:gridCol w:w="2288"/>
        <w:gridCol w:w="1161"/>
        <w:gridCol w:w="2415"/>
        <w:gridCol w:w="2301"/>
        <w:gridCol w:w="266"/>
        <w:gridCol w:w="1161"/>
        <w:gridCol w:w="2255"/>
        <w:gridCol w:w="2256"/>
      </w:tblGrid>
      <w:tr w:rsidR="002E02C3" w:rsidRPr="002E02C3" w14:paraId="5CB0188C" w14:textId="77777777" w:rsidTr="00B112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153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54B6" w14:textId="77777777" w:rsidR="002E02C3" w:rsidRPr="002E02C3" w:rsidRDefault="002E02C3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Baseline BMI (Z-score)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0CEB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815FC" w14:textId="77777777" w:rsidR="002E02C3" w:rsidRPr="002E02C3" w:rsidRDefault="002E02C3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BMI (Z-score)</w:t>
            </w:r>
            <w:r w:rsidR="001E3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</w:tr>
      <w:tr w:rsidR="002E02C3" w:rsidRPr="002E02C3" w14:paraId="5C2516CD" w14:textId="77777777" w:rsidTr="00B1122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A8EF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ABCD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Participants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A952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Age- and sex-adjusted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392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Multivariable-adjusted</w:t>
            </w:r>
            <w:r w:rsidR="001E376B" w:rsidRPr="00846D0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66EE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981E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Participants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BA5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Age- and sex-adjusted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38D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Multivariable-adjusted</w:t>
            </w:r>
            <w:r w:rsidR="001E376B" w:rsidRPr="00846D0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†</w:t>
            </w:r>
          </w:p>
        </w:tc>
      </w:tr>
      <w:tr w:rsidR="00B1122A" w:rsidRPr="002E02C3" w14:paraId="62B91B59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8B03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WC</w:t>
            </w:r>
            <w:r w:rsidR="001E3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A7A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2870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211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0.1924(0.1519,0.2329)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038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0.1811(0.1409,0.2214)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B35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564F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B5A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0.4853(0.4570,0.5136)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159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0.5942(0.5671,0.6213)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333190D9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B141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PBF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089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2805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C9F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0.2107(0.1733,0.2480)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DFE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0.2001(0.1615,0.2387)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777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5BBD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F60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0.8326(0.7894,0.8757)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1687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0.8453(0.8034,0.8871)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2898EC02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E92B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SBP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9E6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2878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C64B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0.2699(0.2318,0.3080)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0295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0.2677(0.2259,0.3095)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507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7E2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DD6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0.2247(0.1574,0.2920)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A13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0.2611(0.1952,0.3271)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63E47451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2D15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DBP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841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2878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95AD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0.1886(0.1515,0.2256)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E1C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0.1763(0.1357,0.2169)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1F3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14D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34C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0.1139(0.0467,0.1811)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8FE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0.1347(0.0681,0.2014)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53769DED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F2F8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MAP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6C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2876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767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0.2384(0.2006,0.2763)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887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0.2293(0.1880,0.2706)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0AB5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592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253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0.1648(0.0971,0.2325)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3B5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0.1962(0.1296,0.2628)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7D109722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5750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73E8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2728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52C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-0.0183(-0.0450,0.0084)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A46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-0.0207(-0.0504,0.0089)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6120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DA39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A32E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0.0847(0.0348,0.1346)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E6C6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0.0832(0.0328,0.1336)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333532AD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2E1A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HDL-C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5F2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2726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AC17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-0.1985(-0.2359,-0.1610)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186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-0.1851(-0.2265,-0.1437)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02C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49E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26EE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-0.1977(-0.2675,-0.1280)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4B3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-0.1898(-0.2589,-0.1207)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381D41DE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5E03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LDL-C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FE0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2730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D771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0.0024(-0.0272,0.0321)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828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-0.0163(-0.0486,0.0160)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692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D24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218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0.1205(0.0655,0.1755)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C85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0.1111(0.0565,0.1657)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1867464D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4A51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log 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02B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2733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5DB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0.2162(0.1838,0.2485)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E09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0.2082(0.1724,0.2441)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DF2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0027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19A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0.2969(0.2369,0.3568)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D86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0.2994(0.2406,0.3582)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48EB29C1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0C6D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fasting 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3D1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2731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752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-0.0408(-0.0686,-0.0129)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170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-0.0349(-0.0658,-0.0041)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75A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CA3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EF0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0.0151(-0.0374,0.0676)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F4B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0.0128(-0.0402,0.0657)</w:t>
            </w:r>
          </w:p>
        </w:tc>
      </w:tr>
      <w:tr w:rsidR="00B1122A" w:rsidRPr="002E02C3" w14:paraId="6426121A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DA9D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log 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064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2466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B61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0.3484(0.2831,0.4138)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8AD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0.3473(0.2771,0.4175)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1A9A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54B5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6DB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0.2843(0.1784,0.3902)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8F90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0.3310(0.2264,0.4356)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2623BA52" w14:textId="77777777" w:rsidTr="00B112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14EC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HOMA-IR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1DC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2464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2E3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0.3186(0.2567,0.3805)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90D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0.3192(0.2524,0.3860)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AEC3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57DC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4BA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0.2708(0.1690,0.3725)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106E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0.3118(0.2111,0.4125)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B1122A" w:rsidRPr="002E02C3" w14:paraId="04579325" w14:textId="77777777" w:rsidTr="00B1122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F97C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CMRS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FA6A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864C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1.0579(0.9422,1.1736)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FDF0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1.0003(0.8780,1.1227)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894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B524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0D77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1.0472(0.8702,1.2241)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7EB3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1.2293(1.0623,1.3963)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</w:tbl>
    <w:p w14:paraId="2EB4B714" w14:textId="77777777" w:rsidR="00DB6778" w:rsidRDefault="00DB6778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E03C6D" w14:textId="77777777" w:rsidR="00DB6778" w:rsidRDefault="00DB6778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B6778" w:rsidSect="003F312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7B0A58" w14:textId="77777777" w:rsidR="00CA72B3" w:rsidRDefault="00CA72B3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 xml:space="preserve">BMI, body mass index;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CMR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cardiometabolic risk;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CRF, cardiorespiratory fitness;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DBP, dia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HDL-C, high-density lipoprotein cholesterol; HOMA-IR</w:t>
      </w:r>
      <w:r>
        <w:rPr>
          <w:rFonts w:ascii="Times New Roman" w:hAnsi="Times New Roman" w:cs="Times New Roman"/>
          <w:sz w:val="24"/>
          <w:szCs w:val="24"/>
          <w:lang w:eastAsia="zh-CN"/>
        </w:rPr>
        <w:t>, h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omeostatic model assessment of insulin resistance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LDL-C, low-density lipoprotein cholesterol; MAP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mean arterial pressure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SBP, s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TC,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otal cholesterol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TG,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riglyceride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1948CFA0" w14:textId="77777777" w:rsidR="001E376B" w:rsidRDefault="001E376B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1951F80E" w14:textId="77777777" w:rsidR="001E376B" w:rsidRDefault="001E376B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C45A1">
        <w:rPr>
          <w:rFonts w:ascii="Times New Roman" w:hAnsi="Times New Roman" w:cs="Times New Roman"/>
          <w:sz w:val="24"/>
          <w:szCs w:val="24"/>
          <w:lang w:eastAsia="zh-CN"/>
        </w:rPr>
        <w:t>*</w:t>
      </w: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Pr="00EA4E46">
        <w:rPr>
          <w:rFonts w:ascii="Times New Roman" w:hAnsi="Times New Roman" w:cs="Times New Roman"/>
          <w:sz w:val="24"/>
          <w:szCs w:val="24"/>
          <w:lang w:eastAsia="zh-CN"/>
        </w:rPr>
        <w:t>hanges in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CMR factors were </w:t>
      </w:r>
      <w:r w:rsidRPr="00EA4E46">
        <w:rPr>
          <w:rFonts w:ascii="Times New Roman" w:hAnsi="Times New Roman" w:cs="Times New Roman"/>
          <w:sz w:val="24"/>
          <w:szCs w:val="24"/>
          <w:lang w:eastAsia="zh-CN"/>
        </w:rPr>
        <w:t>calculated by subtracting the results at baseline from those at follow-up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78A5FD23" w14:textId="77777777" w:rsidR="001E376B" w:rsidRPr="00206CC3" w:rsidRDefault="001E376B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12ED0F92" w14:textId="77777777" w:rsidR="001E376B" w:rsidRDefault="001E376B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0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†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 xml:space="preserve">GLM was used to estimate multivariable-adjusted </w:t>
      </w:r>
      <w:r w:rsidRPr="00AA1E43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β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 xml:space="preserve"> and 95% CIs of cardiometabolic risk factors associated with </w:t>
      </w:r>
      <w:r>
        <w:rPr>
          <w:rFonts w:ascii="Times New Roman" w:hAnsi="Times New Roman" w:cs="Times New Roman"/>
          <w:sz w:val="24"/>
          <w:szCs w:val="24"/>
          <w:lang w:eastAsia="zh-CN"/>
        </w:rPr>
        <w:t>percent body fat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>. M</w:t>
      </w:r>
      <w:r>
        <w:rPr>
          <w:rFonts w:ascii="Times New Roman" w:hAnsi="Times New Roman" w:cs="Times New Roman"/>
          <w:sz w:val="24"/>
          <w:szCs w:val="24"/>
        </w:rPr>
        <w:t>ultivariable-adjusted analysis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was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adjusted for children within classes in school as clustering effects and characteristics of individuals including age, sex, </w:t>
      </w:r>
      <w:r>
        <w:rPr>
          <w:rFonts w:ascii="Times New Roman" w:hAnsi="Times New Roman" w:cs="Times New Roman"/>
          <w:sz w:val="24"/>
          <w:szCs w:val="24"/>
          <w:lang w:eastAsia="zh-CN"/>
        </w:rPr>
        <w:t>corresponding CMR factor at baseline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puberty,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grade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intervention,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BMI,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physical activity, energy intake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birthweight, household income, mother’s education, father’s education, mother’s BMI, and father’s BMI as fixed effects.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2B7AFE3A" w14:textId="77777777" w:rsidR="001E376B" w:rsidRDefault="001E376B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877B4AA" w14:textId="77777777" w:rsidR="00DB6778" w:rsidRDefault="001E376B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B6778" w:rsidSect="00DB677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206CC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‡</w:t>
      </w:r>
      <w:r w:rsidRPr="00EC45A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Indicates significant associations. </w:t>
      </w:r>
      <w:r w:rsidRPr="00EC45A1">
        <w:rPr>
          <w:rFonts w:ascii="Times New Roman" w:hAnsi="Times New Roman" w:cs="Times New Roman" w:hint="eastAsia"/>
          <w:sz w:val="24"/>
          <w:szCs w:val="24"/>
        </w:rPr>
        <w:t xml:space="preserve">Benjamin-Hochberg procedure </w:t>
      </w:r>
      <w:r w:rsidRPr="00EC45A1">
        <w:rPr>
          <w:rFonts w:ascii="Times New Roman" w:hAnsi="Times New Roman" w:cs="Times New Roman"/>
          <w:sz w:val="24"/>
          <w:szCs w:val="24"/>
        </w:rPr>
        <w:t xml:space="preserve">was used </w:t>
      </w:r>
      <w:r w:rsidRPr="00EC45A1">
        <w:rPr>
          <w:rFonts w:ascii="Times New Roman" w:hAnsi="Times New Roman" w:cs="Times New Roman" w:hint="eastAsia"/>
          <w:sz w:val="24"/>
          <w:szCs w:val="24"/>
        </w:rPr>
        <w:t>to control the false</w:t>
      </w:r>
      <w:r w:rsidRPr="00EC45A1">
        <w:rPr>
          <w:rFonts w:ascii="Times New Roman" w:hAnsi="Times New Roman" w:cs="Times New Roman"/>
          <w:sz w:val="24"/>
          <w:szCs w:val="24"/>
        </w:rPr>
        <w:t xml:space="preserve"> </w:t>
      </w:r>
      <w:r w:rsidRPr="00EC45A1">
        <w:rPr>
          <w:rFonts w:ascii="Times New Roman" w:hAnsi="Times New Roman" w:cs="Times New Roman" w:hint="eastAsia"/>
          <w:sz w:val="24"/>
          <w:szCs w:val="24"/>
        </w:rPr>
        <w:t>discovery rate at level 5%</w:t>
      </w:r>
      <w:r w:rsidRPr="00EC45A1">
        <w:rPr>
          <w:rFonts w:ascii="Times New Roman" w:hAnsi="Times New Roman" w:cs="Times New Roman"/>
          <w:sz w:val="24"/>
          <w:szCs w:val="24"/>
        </w:rPr>
        <w:t xml:space="preserve"> for multiple comparisons with the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45A1">
        <w:rPr>
          <w:rFonts w:ascii="Times New Roman" w:hAnsi="Times New Roman" w:cs="Times New Roman"/>
          <w:sz w:val="24"/>
          <w:szCs w:val="24"/>
        </w:rPr>
        <w:t>value cut-off point of significance was 0.0</w:t>
      </w:r>
      <w:r>
        <w:rPr>
          <w:rFonts w:ascii="Times New Roman" w:hAnsi="Times New Roman" w:cs="Times New Roman"/>
          <w:sz w:val="24"/>
          <w:szCs w:val="24"/>
        </w:rPr>
        <w:t>346</w:t>
      </w:r>
      <w:r w:rsidRPr="00EC45A1">
        <w:rPr>
          <w:rFonts w:ascii="Times New Roman" w:hAnsi="Times New Roman" w:cs="Times New Roman"/>
          <w:sz w:val="24"/>
          <w:szCs w:val="24"/>
        </w:rPr>
        <w:t>, 0.0</w:t>
      </w:r>
      <w:r>
        <w:rPr>
          <w:rFonts w:ascii="Times New Roman" w:hAnsi="Times New Roman" w:cs="Times New Roman"/>
          <w:sz w:val="24"/>
          <w:szCs w:val="24"/>
        </w:rPr>
        <w:t>423, 0.0385, and 0.0423</w:t>
      </w:r>
      <w:r w:rsidRPr="00EC45A1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age- and sex-adjusted analysis (</w:t>
      </w:r>
      <w:r w:rsidRPr="00EC45A1">
        <w:rPr>
          <w:rFonts w:ascii="Times New Roman" w:hAnsi="Times New Roman" w:cs="Times New Roman"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PBF), multivariable-adjusted analysis (baseline</w:t>
      </w:r>
      <w:r w:rsidRPr="00EC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PBF)</w:t>
      </w:r>
      <w:r w:rsidRPr="00EC45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age- and sex-adjusted analysis (</w:t>
      </w:r>
      <w:r w:rsidRPr="00EC45A1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in PBF), and multivariable-adjusted analysis (</w:t>
      </w:r>
      <w:r w:rsidRPr="00EC45A1">
        <w:rPr>
          <w:rFonts w:ascii="Times New Roman" w:hAnsi="Times New Roman" w:cs="Times New Roman"/>
          <w:sz w:val="24"/>
          <w:szCs w:val="24"/>
        </w:rPr>
        <w:t xml:space="preserve">change in </w:t>
      </w:r>
      <w:r>
        <w:rPr>
          <w:rFonts w:ascii="Times New Roman" w:hAnsi="Times New Roman" w:cs="Times New Roman"/>
          <w:sz w:val="24"/>
          <w:szCs w:val="24"/>
        </w:rPr>
        <w:t>PBF)</w:t>
      </w:r>
      <w:r w:rsidRPr="00EC45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A1">
        <w:rPr>
          <w:rFonts w:ascii="Times New Roman" w:hAnsi="Times New Roman" w:cs="Times New Roman"/>
          <w:sz w:val="24"/>
          <w:szCs w:val="24"/>
        </w:rPr>
        <w:t>respectively.</w:t>
      </w:r>
    </w:p>
    <w:p w14:paraId="135A9D13" w14:textId="77777777" w:rsidR="002C5DBC" w:rsidRPr="00DB6778" w:rsidRDefault="00A52A2C" w:rsidP="00B1122A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4642AE">
        <w:rPr>
          <w:rFonts w:ascii="Times New Roman" w:hAnsi="Times New Roman" w:cs="Times New Roman"/>
          <w:b/>
          <w:sz w:val="24"/>
          <w:szCs w:val="24"/>
        </w:rPr>
        <w:t>7</w:t>
      </w:r>
      <w:r w:rsidR="00DB6778" w:rsidRPr="00DB67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778" w:rsidRPr="00DB6778">
        <w:rPr>
          <w:rFonts w:ascii="Times New Roman" w:hAnsi="Times New Roman" w:cs="Times New Roman"/>
          <w:b/>
          <w:sz w:val="24"/>
          <w:szCs w:val="24"/>
          <w:lang w:eastAsia="zh-CN"/>
        </w:rPr>
        <w:t>Changes in cardiometabolic risk factors associated with baseline and changes in PBF in the control group</w:t>
      </w:r>
    </w:p>
    <w:tbl>
      <w:tblPr>
        <w:tblW w:w="14216" w:type="dxa"/>
        <w:tblLook w:val="04A0" w:firstRow="1" w:lastRow="0" w:firstColumn="1" w:lastColumn="0" w:noHBand="0" w:noVBand="1"/>
      </w:tblPr>
      <w:tblGrid>
        <w:gridCol w:w="2288"/>
        <w:gridCol w:w="1161"/>
        <w:gridCol w:w="2415"/>
        <w:gridCol w:w="2415"/>
        <w:gridCol w:w="266"/>
        <w:gridCol w:w="1161"/>
        <w:gridCol w:w="2255"/>
        <w:gridCol w:w="2255"/>
      </w:tblGrid>
      <w:tr w:rsidR="002E02C3" w:rsidRPr="002E02C3" w14:paraId="6CC78482" w14:textId="77777777" w:rsidTr="002E02C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8A80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33BB4" w14:textId="77777777" w:rsidR="002E02C3" w:rsidRPr="002E02C3" w:rsidRDefault="002E02C3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Baseline PBF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(Z-score)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71D0" w14:textId="77777777" w:rsidR="002E02C3" w:rsidRPr="002E02C3" w:rsidRDefault="002E02C3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8F122" w14:textId="77777777" w:rsidR="002E02C3" w:rsidRPr="002E02C3" w:rsidRDefault="002E02C3" w:rsidP="00B1122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PBF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(Z-score)</w:t>
            </w:r>
          </w:p>
        </w:tc>
      </w:tr>
      <w:tr w:rsidR="002E02C3" w:rsidRPr="002E02C3" w14:paraId="40ECEA47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3634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4F5A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Participants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11DD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Age- and sex-adjusted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201C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Multivariable-adjusted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B8FE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D665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Participants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CF3D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Age- and sex-adjusted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4960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Multivariable-adjusted</w:t>
            </w:r>
          </w:p>
        </w:tc>
      </w:tr>
      <w:tr w:rsidR="002E02C3" w:rsidRPr="002E02C3" w14:paraId="7B742E5C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E48E2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EE26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2856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19BD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0.0193(-0.0074,0.0459)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5111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0.0088(-0.0183,0.0359)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DE58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BC9E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9CE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0.3790(0.3581,0.3998)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18A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0.4255(0.4044,0.4467)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12998B96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3825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WC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B6A3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2845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A57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0.0879(0.0640,0.1117)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6B1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0.0777(0.0536,0.1018)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398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AFE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67B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0.1905(0.1654,0.2157)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C5A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0.2587(0.2330,0.2844)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114FE699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CACE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SBP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197E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2853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D09B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0.1887(0.1525,0.2249)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0C3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0.1822(0.1427,0.2216)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75C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F3B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AC4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0.0761(0.0223,0.1300)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38D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0.1458(0.0907,0.2008)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39D57851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E3D7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DBP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80B4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2853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FDA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0.1252(0.0893,0.1610)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105E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0.1124(0.0735,0.1513)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29B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A01B0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A87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0.0707(0.0172,0.1241)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837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0.1139(0.0591,0.1687)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13F5A9CF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5955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MAP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F033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2851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5D2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0.1605(0.1243,0.1968)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962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0.1497(0.1104,0.1890)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5E9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57D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9C0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0.0816(0.0277,0.1356)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5150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0.1388(0.0837,0.1940)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2A5F8C84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01701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F730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2706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C26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0.0175(-0.0084,0.0434)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15E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0.0185(-0.0098,0.0467)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2441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37A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2703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0.0608(0.0221,0.0994)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951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0.0812(0.0411,0.1213)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65731AC2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E72D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HDL-C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F94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2704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CC3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-0.1667(-0.2028,-0.1306)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8AF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-0.1528(-0.1922,-0.1134)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DA8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559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AA8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-0.0220(-0.0759,0.0319)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854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-0.0713(-0.1267,-0.0159)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1AB5541E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D66B2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LDL-C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A4F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2708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22C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0.0153(-0.0137,0.0442)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8EDD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-0.0069(-0.0380,0.0242)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C1E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17E7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D34C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0.0192(-0.0231,0.0615)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ECB2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0.0361(-0.0071,0.0793)</w:t>
            </w:r>
          </w:p>
        </w:tc>
      </w:tr>
      <w:tr w:rsidR="002E02C3" w:rsidRPr="002E02C3" w14:paraId="6C32ADA5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8C36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log 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D7C0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2711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973A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0.1913(0.1601,0.2226)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4EC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0.1834(0.1493,0.2175)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4C4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3DE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6EE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0.1135(0.0670,0.1599)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A7A4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0.1885(0.1413,0.2356)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27639FAB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C77C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fasting 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937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2709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2BA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-0.0483(-0.0751,-0.0215)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15D0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-0.0462(-0.0756,-0.0168)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B2B6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C5E3F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8375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-0.0475(-0.0876,-0.0075)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F844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-0.0609(-0.1025,-0.0193)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601CCCF4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13C5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log 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57C13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2448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B8E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0.2378(0.1792,0.2964)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31AC7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0.2410(0.1784,0.3036)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529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F592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4BAE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0.2154(0.1340,0.2968)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31A1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0.3214(0.2375,0.4052)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38DF3CBF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EF9C5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HOMA-IR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489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2446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3BA8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0.2195(0.1636,0.2753)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76F36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0.2224(0.1625,0.2823)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3DD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198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D475B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0.1906(0.1122,0.2689)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7680C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0.2892(0.2083,0.3700)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  <w:tr w:rsidR="002E02C3" w:rsidRPr="002E02C3" w14:paraId="676B41CE" w14:textId="77777777" w:rsidTr="002E02C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2A418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Change in CMRS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1BA14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C74C5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0.6168(0.5200,0.7135)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488BCD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0.5660(0.4642,0.6677)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7EFF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DD549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C2358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0.2544(0.1227,0.3860)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4A7EE" w14:textId="77777777" w:rsidR="002E02C3" w:rsidRPr="002E02C3" w:rsidRDefault="002E02C3" w:rsidP="00B1122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0.5184(0.3850,0.6518)</w:t>
            </w:r>
            <w:r w:rsidRPr="002E0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zh-CN"/>
              </w:rPr>
              <w:t>‡</w:t>
            </w:r>
          </w:p>
        </w:tc>
      </w:tr>
    </w:tbl>
    <w:p w14:paraId="18C86EB4" w14:textId="77777777" w:rsidR="009C351A" w:rsidRDefault="009C351A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4BB453" w14:textId="77777777" w:rsidR="00DB6778" w:rsidRDefault="00DB6778" w:rsidP="00B1122A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B6778" w:rsidSect="003F312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F51B230" w14:textId="77777777" w:rsidR="00CA72B3" w:rsidRDefault="00CA72B3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 xml:space="preserve">BMI, body mass index;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CMR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cardiometabolic risk;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CRF, cardiorespiratory fitness;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DBP, dia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;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HDL-C, high-density lipoprotein cholesterol; HOMA-IR</w:t>
      </w:r>
      <w:r>
        <w:rPr>
          <w:rFonts w:ascii="Times New Roman" w:hAnsi="Times New Roman" w:cs="Times New Roman"/>
          <w:sz w:val="24"/>
          <w:szCs w:val="24"/>
          <w:lang w:eastAsia="zh-CN"/>
        </w:rPr>
        <w:t>, h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omeostatic model assessment of insulin resistance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LDL-C, low-density lipoprotein cholesterol; MAP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>mean arterial pressure</w:t>
      </w:r>
      <w:r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Pr="00846D0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SBP, s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ystolic blood 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TC,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otal cholesterol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; TG, t</w:t>
      </w:r>
      <w:r w:rsidRPr="000D5C5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riglyceride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14:paraId="5C2DB3B4" w14:textId="77777777" w:rsidR="00CE6639" w:rsidRDefault="00CE6639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C45A1">
        <w:rPr>
          <w:rFonts w:ascii="Times New Roman" w:hAnsi="Times New Roman" w:cs="Times New Roman"/>
          <w:sz w:val="24"/>
          <w:szCs w:val="24"/>
          <w:lang w:eastAsia="zh-CN"/>
        </w:rPr>
        <w:t>*</w:t>
      </w:r>
      <w:r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Pr="00EA4E46">
        <w:rPr>
          <w:rFonts w:ascii="Times New Roman" w:hAnsi="Times New Roman" w:cs="Times New Roman"/>
          <w:sz w:val="24"/>
          <w:szCs w:val="24"/>
          <w:lang w:eastAsia="zh-CN"/>
        </w:rPr>
        <w:t>hanges in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CMR factors were </w:t>
      </w:r>
      <w:r w:rsidRPr="00EA4E46">
        <w:rPr>
          <w:rFonts w:ascii="Times New Roman" w:hAnsi="Times New Roman" w:cs="Times New Roman"/>
          <w:sz w:val="24"/>
          <w:szCs w:val="24"/>
          <w:lang w:eastAsia="zh-CN"/>
        </w:rPr>
        <w:t>calculated by subtracting the results at baseline from those at follow-up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6053D92E" w14:textId="77777777" w:rsidR="00CE6639" w:rsidRPr="00206CC3" w:rsidRDefault="00CE6639" w:rsidP="00B1122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0BBF9CEB" w14:textId="77777777" w:rsidR="00CE6639" w:rsidRDefault="00CE6639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D0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†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 xml:space="preserve">GLM was used to estimate multivariable-adjusted </w:t>
      </w:r>
      <w:r w:rsidRPr="00AA1E43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β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 xml:space="preserve"> and 95% CIs of cardiometabolic risk factors associated with </w:t>
      </w:r>
      <w:r>
        <w:rPr>
          <w:rFonts w:ascii="Times New Roman" w:hAnsi="Times New Roman" w:cs="Times New Roman"/>
          <w:sz w:val="24"/>
          <w:szCs w:val="24"/>
          <w:lang w:eastAsia="zh-CN"/>
        </w:rPr>
        <w:t>percent body fat</w:t>
      </w:r>
      <w:r w:rsidRPr="00EC45A1">
        <w:rPr>
          <w:rFonts w:ascii="Times New Roman" w:hAnsi="Times New Roman" w:cs="Times New Roman"/>
          <w:sz w:val="24"/>
          <w:szCs w:val="24"/>
          <w:lang w:eastAsia="zh-CN"/>
        </w:rPr>
        <w:t>. M</w:t>
      </w:r>
      <w:r>
        <w:rPr>
          <w:rFonts w:ascii="Times New Roman" w:hAnsi="Times New Roman" w:cs="Times New Roman"/>
          <w:sz w:val="24"/>
          <w:szCs w:val="24"/>
        </w:rPr>
        <w:t>ultivariable-adjusted analysis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was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adjusted for children within classes in school as clustering effects and characteristics of individuals including age, sex, </w:t>
      </w:r>
      <w:r>
        <w:rPr>
          <w:rFonts w:ascii="Times New Roman" w:hAnsi="Times New Roman" w:cs="Times New Roman"/>
          <w:sz w:val="24"/>
          <w:szCs w:val="24"/>
          <w:lang w:eastAsia="zh-CN"/>
        </w:rPr>
        <w:t>corresponding CMR factor at baseline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puberty,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grade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intervention,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BMI,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>physical activity, energy intake</w:t>
      </w:r>
      <w:r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7594E">
        <w:rPr>
          <w:rFonts w:ascii="Times New Roman" w:hAnsi="Times New Roman" w:cs="Times New Roman"/>
          <w:sz w:val="24"/>
          <w:szCs w:val="24"/>
          <w:lang w:eastAsia="zh-CN"/>
        </w:rPr>
        <w:t xml:space="preserve"> birthweight, household income, mother’s education, father’s education, mother’s BMI, and father’s BMI as fixed effects.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0F3A9BA" w14:textId="77777777" w:rsidR="00CE6639" w:rsidRDefault="00CE6639" w:rsidP="00B112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EC333EA" w14:textId="77777777" w:rsidR="009C351A" w:rsidRPr="002C5DBC" w:rsidRDefault="00CE6639" w:rsidP="00B1122A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06CC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‡</w:t>
      </w:r>
      <w:r w:rsidRPr="00EC45A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Indicates significant associations. </w:t>
      </w:r>
      <w:r w:rsidRPr="00EC45A1">
        <w:rPr>
          <w:rFonts w:ascii="Times New Roman" w:hAnsi="Times New Roman" w:cs="Times New Roman" w:hint="eastAsia"/>
          <w:sz w:val="24"/>
          <w:szCs w:val="24"/>
        </w:rPr>
        <w:t xml:space="preserve">Benjamin-Hochberg procedure </w:t>
      </w:r>
      <w:r w:rsidRPr="00EC45A1">
        <w:rPr>
          <w:rFonts w:ascii="Times New Roman" w:hAnsi="Times New Roman" w:cs="Times New Roman"/>
          <w:sz w:val="24"/>
          <w:szCs w:val="24"/>
        </w:rPr>
        <w:t xml:space="preserve">was used </w:t>
      </w:r>
      <w:r w:rsidRPr="00EC45A1">
        <w:rPr>
          <w:rFonts w:ascii="Times New Roman" w:hAnsi="Times New Roman" w:cs="Times New Roman" w:hint="eastAsia"/>
          <w:sz w:val="24"/>
          <w:szCs w:val="24"/>
        </w:rPr>
        <w:t>to control the false</w:t>
      </w:r>
      <w:r w:rsidRPr="00EC45A1">
        <w:rPr>
          <w:rFonts w:ascii="Times New Roman" w:hAnsi="Times New Roman" w:cs="Times New Roman"/>
          <w:sz w:val="24"/>
          <w:szCs w:val="24"/>
        </w:rPr>
        <w:t xml:space="preserve"> </w:t>
      </w:r>
      <w:r w:rsidRPr="00EC45A1">
        <w:rPr>
          <w:rFonts w:ascii="Times New Roman" w:hAnsi="Times New Roman" w:cs="Times New Roman" w:hint="eastAsia"/>
          <w:sz w:val="24"/>
          <w:szCs w:val="24"/>
        </w:rPr>
        <w:t>discovery rate at level 5%</w:t>
      </w:r>
      <w:r w:rsidRPr="00EC45A1">
        <w:rPr>
          <w:rFonts w:ascii="Times New Roman" w:hAnsi="Times New Roman" w:cs="Times New Roman"/>
          <w:sz w:val="24"/>
          <w:szCs w:val="24"/>
        </w:rPr>
        <w:t xml:space="preserve"> for multiple comparisons with the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45A1">
        <w:rPr>
          <w:rFonts w:ascii="Times New Roman" w:hAnsi="Times New Roman" w:cs="Times New Roman"/>
          <w:sz w:val="24"/>
          <w:szCs w:val="24"/>
        </w:rPr>
        <w:t>value cut-off point of significance was 0.0</w:t>
      </w:r>
      <w:r>
        <w:rPr>
          <w:rFonts w:ascii="Times New Roman" w:hAnsi="Times New Roman" w:cs="Times New Roman"/>
          <w:sz w:val="24"/>
          <w:szCs w:val="24"/>
        </w:rPr>
        <w:t xml:space="preserve">423, </w:t>
      </w:r>
      <w:r w:rsidRPr="00EC45A1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EC45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0.0462, and 0.05</w:t>
      </w:r>
      <w:r w:rsidRPr="00EC45A1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age- and sex-adjusted analysis (</w:t>
      </w:r>
      <w:r w:rsidRPr="00EC45A1">
        <w:rPr>
          <w:rFonts w:ascii="Times New Roman" w:hAnsi="Times New Roman" w:cs="Times New Roman"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sz w:val="24"/>
          <w:szCs w:val="24"/>
        </w:rPr>
        <w:t>PBF), multivariable-adjusted analysis (baseline</w:t>
      </w:r>
      <w:r w:rsidRPr="00EC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PBF)</w:t>
      </w:r>
      <w:r w:rsidRPr="00EC45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age- and sex-adjusted analysis (</w:t>
      </w:r>
      <w:r w:rsidRPr="00EC45A1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in PBF), and multivariable-adjusted analysis (</w:t>
      </w:r>
      <w:r w:rsidRPr="00EC45A1">
        <w:rPr>
          <w:rFonts w:ascii="Times New Roman" w:hAnsi="Times New Roman" w:cs="Times New Roman"/>
          <w:sz w:val="24"/>
          <w:szCs w:val="24"/>
        </w:rPr>
        <w:t xml:space="preserve">change in </w:t>
      </w:r>
      <w:r>
        <w:rPr>
          <w:rFonts w:ascii="Times New Roman" w:hAnsi="Times New Roman" w:cs="Times New Roman"/>
          <w:sz w:val="24"/>
          <w:szCs w:val="24"/>
        </w:rPr>
        <w:t>PBF)</w:t>
      </w:r>
      <w:r w:rsidRPr="00EC45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A1">
        <w:rPr>
          <w:rFonts w:ascii="Times New Roman" w:hAnsi="Times New Roman" w:cs="Times New Roman"/>
          <w:sz w:val="24"/>
          <w:szCs w:val="24"/>
        </w:rPr>
        <w:t>respectively.</w:t>
      </w:r>
    </w:p>
    <w:sectPr w:rsidR="009C351A" w:rsidRPr="002C5DBC" w:rsidSect="009F68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642FC" w14:textId="77777777" w:rsidR="004F2537" w:rsidRDefault="004F2537" w:rsidP="00B32D01">
      <w:pPr>
        <w:spacing w:after="0" w:line="240" w:lineRule="auto"/>
      </w:pPr>
      <w:r>
        <w:separator/>
      </w:r>
    </w:p>
  </w:endnote>
  <w:endnote w:type="continuationSeparator" w:id="0">
    <w:p w14:paraId="1307984F" w14:textId="77777777" w:rsidR="004F2537" w:rsidRDefault="004F2537" w:rsidP="00B3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725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A55B2" w14:textId="77777777" w:rsidR="00D71965" w:rsidRDefault="00D71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22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4166136" w14:textId="77777777" w:rsidR="00D71965" w:rsidRDefault="00D71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15D7F" w14:textId="77777777" w:rsidR="004F2537" w:rsidRDefault="004F2537" w:rsidP="00B32D01">
      <w:pPr>
        <w:spacing w:after="0" w:line="240" w:lineRule="auto"/>
      </w:pPr>
      <w:r>
        <w:separator/>
      </w:r>
    </w:p>
  </w:footnote>
  <w:footnote w:type="continuationSeparator" w:id="0">
    <w:p w14:paraId="655D3726" w14:textId="77777777" w:rsidR="004F2537" w:rsidRDefault="004F2537" w:rsidP="00B3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tbA0sTQ3Njc0NTBV0lEKTi0uzszPAykwqgUAtuSuFiwAAAA="/>
  </w:docVars>
  <w:rsids>
    <w:rsidRoot w:val="00514F25"/>
    <w:rsid w:val="00047EBD"/>
    <w:rsid w:val="00080809"/>
    <w:rsid w:val="0009484E"/>
    <w:rsid w:val="00096008"/>
    <w:rsid w:val="000C006E"/>
    <w:rsid w:val="001E376B"/>
    <w:rsid w:val="002014DC"/>
    <w:rsid w:val="002C5DBC"/>
    <w:rsid w:val="002E02C3"/>
    <w:rsid w:val="00305E89"/>
    <w:rsid w:val="00322EF7"/>
    <w:rsid w:val="00356388"/>
    <w:rsid w:val="0037580C"/>
    <w:rsid w:val="003805FC"/>
    <w:rsid w:val="003E3283"/>
    <w:rsid w:val="003F3123"/>
    <w:rsid w:val="004642AE"/>
    <w:rsid w:val="004A7A89"/>
    <w:rsid w:val="004F2537"/>
    <w:rsid w:val="00514F25"/>
    <w:rsid w:val="005C344E"/>
    <w:rsid w:val="0066486C"/>
    <w:rsid w:val="006D0CD8"/>
    <w:rsid w:val="007338C2"/>
    <w:rsid w:val="0074781F"/>
    <w:rsid w:val="007615EA"/>
    <w:rsid w:val="007C104F"/>
    <w:rsid w:val="008B3723"/>
    <w:rsid w:val="009B371D"/>
    <w:rsid w:val="009C351A"/>
    <w:rsid w:val="009D2639"/>
    <w:rsid w:val="009E7797"/>
    <w:rsid w:val="009F6862"/>
    <w:rsid w:val="00A52A2C"/>
    <w:rsid w:val="00B1122A"/>
    <w:rsid w:val="00B32D01"/>
    <w:rsid w:val="00BD19E9"/>
    <w:rsid w:val="00C73210"/>
    <w:rsid w:val="00CA72B3"/>
    <w:rsid w:val="00CE6639"/>
    <w:rsid w:val="00CF3E0B"/>
    <w:rsid w:val="00D60B65"/>
    <w:rsid w:val="00D71965"/>
    <w:rsid w:val="00D71BCE"/>
    <w:rsid w:val="00D8291F"/>
    <w:rsid w:val="00DB6778"/>
    <w:rsid w:val="00E53D9B"/>
    <w:rsid w:val="00E66784"/>
    <w:rsid w:val="00EF641D"/>
    <w:rsid w:val="00F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0B04"/>
  <w15:chartTrackingRefBased/>
  <w15:docId w15:val="{BEF8FEDA-F6D5-4170-8933-EFDFFE11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01"/>
  </w:style>
  <w:style w:type="paragraph" w:styleId="Footer">
    <w:name w:val="footer"/>
    <w:basedOn w:val="Normal"/>
    <w:link w:val="FooterChar"/>
    <w:uiPriority w:val="99"/>
    <w:unhideWhenUsed/>
    <w:rsid w:val="00B32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01"/>
  </w:style>
  <w:style w:type="paragraph" w:styleId="BalloonText">
    <w:name w:val="Balloon Text"/>
    <w:basedOn w:val="Normal"/>
    <w:link w:val="BalloonTextChar"/>
    <w:uiPriority w:val="99"/>
    <w:semiHidden/>
    <w:unhideWhenUsed/>
    <w:rsid w:val="0008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Xianwen Shang</dc:creator>
  <cp:keywords/>
  <dc:description/>
  <cp:lastModifiedBy>Giorgia Aprile</cp:lastModifiedBy>
  <cp:revision>2</cp:revision>
  <dcterms:created xsi:type="dcterms:W3CDTF">2020-05-13T08:09:00Z</dcterms:created>
  <dcterms:modified xsi:type="dcterms:W3CDTF">2020-05-13T08:09:00Z</dcterms:modified>
</cp:coreProperties>
</file>