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600DD" w14:textId="5D8DA036" w:rsidR="00911AF9" w:rsidRPr="00911AF9" w:rsidRDefault="004D64FE" w:rsidP="00911AF9">
      <w:pPr>
        <w:spacing w:after="0" w:line="240" w:lineRule="auto"/>
        <w:jc w:val="center"/>
        <w:rPr>
          <w:rFonts w:ascii="Times New Roman" w:hAnsi="Times New Roman" w:cs="Times New Roman"/>
          <w:b/>
          <w:sz w:val="32"/>
          <w:szCs w:val="28"/>
        </w:rPr>
      </w:pPr>
      <w:r w:rsidRPr="00911AF9">
        <w:rPr>
          <w:rFonts w:ascii="Times New Roman" w:hAnsi="Times New Roman" w:cs="Times New Roman"/>
          <w:b/>
          <w:sz w:val="32"/>
          <w:szCs w:val="28"/>
        </w:rPr>
        <w:t>Supplementary material</w:t>
      </w:r>
      <w:r w:rsidR="00AC0679" w:rsidRPr="00911AF9">
        <w:rPr>
          <w:rFonts w:ascii="Times New Roman" w:hAnsi="Times New Roman" w:cs="Times New Roman"/>
          <w:b/>
          <w:sz w:val="32"/>
          <w:szCs w:val="28"/>
        </w:rPr>
        <w:t xml:space="preserve"> </w:t>
      </w:r>
      <w:r w:rsidR="005F762D">
        <w:rPr>
          <w:rFonts w:ascii="Times New Roman" w:hAnsi="Times New Roman" w:cs="Times New Roman"/>
          <w:b/>
          <w:sz w:val="32"/>
          <w:szCs w:val="28"/>
        </w:rPr>
        <w:t>S</w:t>
      </w:r>
      <w:r w:rsidR="00911AF9" w:rsidRPr="00911AF9">
        <w:rPr>
          <w:rFonts w:ascii="Times New Roman" w:hAnsi="Times New Roman" w:cs="Times New Roman"/>
          <w:b/>
          <w:sz w:val="32"/>
          <w:szCs w:val="28"/>
        </w:rPr>
        <w:t>1</w:t>
      </w:r>
    </w:p>
    <w:p w14:paraId="43AE791F" w14:textId="77777777" w:rsidR="00911AF9" w:rsidRDefault="00911AF9" w:rsidP="00031DE3">
      <w:pPr>
        <w:spacing w:after="0" w:line="240" w:lineRule="auto"/>
        <w:rPr>
          <w:rFonts w:ascii="Times New Roman" w:hAnsi="Times New Roman" w:cs="Times New Roman"/>
          <w:b/>
          <w:sz w:val="24"/>
        </w:rPr>
      </w:pPr>
      <w:bookmarkStart w:id="0" w:name="_GoBack"/>
      <w:bookmarkEnd w:id="0"/>
    </w:p>
    <w:p w14:paraId="67980026" w14:textId="72974C54" w:rsidR="004D64FE" w:rsidRDefault="004D64FE" w:rsidP="00031DE3">
      <w:pPr>
        <w:spacing w:after="0" w:line="240" w:lineRule="auto"/>
        <w:rPr>
          <w:rFonts w:ascii="Times New Roman" w:hAnsi="Times New Roman" w:cs="Times New Roman"/>
          <w:b/>
          <w:sz w:val="24"/>
        </w:rPr>
      </w:pPr>
      <w:r w:rsidRPr="001A7D4B">
        <w:rPr>
          <w:rFonts w:ascii="Times New Roman" w:hAnsi="Times New Roman" w:cs="Times New Roman"/>
          <w:b/>
          <w:sz w:val="24"/>
        </w:rPr>
        <w:t>Animal housing and management</w:t>
      </w:r>
    </w:p>
    <w:p w14:paraId="31582A8D" w14:textId="77777777" w:rsidR="00504713" w:rsidRDefault="00504713" w:rsidP="00031DE3">
      <w:pPr>
        <w:spacing w:after="0" w:line="240" w:lineRule="auto"/>
        <w:rPr>
          <w:rFonts w:ascii="Times New Roman" w:hAnsi="Times New Roman" w:cs="Times New Roman"/>
          <w:b/>
          <w:sz w:val="24"/>
        </w:rPr>
      </w:pPr>
    </w:p>
    <w:p w14:paraId="4D4AB1EE" w14:textId="0A4F99EB" w:rsidR="004D64FE" w:rsidRPr="004720D5" w:rsidRDefault="004D64FE" w:rsidP="00031DE3">
      <w:pPr>
        <w:spacing w:after="0" w:line="240" w:lineRule="auto"/>
        <w:jc w:val="both"/>
        <w:rPr>
          <w:rFonts w:ascii="Times New Roman" w:hAnsi="Times New Roman" w:cs="Times New Roman"/>
          <w:color w:val="FF0000"/>
          <w:sz w:val="24"/>
        </w:rPr>
      </w:pPr>
      <w:r w:rsidRPr="004720D5">
        <w:rPr>
          <w:rFonts w:ascii="Times New Roman" w:hAnsi="Times New Roman" w:cs="Times New Roman"/>
          <w:sz w:val="24"/>
        </w:rPr>
        <w:t>Gestating sows, managed in a 3-week batch farrowing system, were moved from a small-group straw yard system to a conventional part-slatted farrowing pen with crate at approximately 110 days of gestation</w:t>
      </w:r>
      <w:r>
        <w:rPr>
          <w:rFonts w:ascii="Times New Roman" w:hAnsi="Times New Roman" w:cs="Times New Roman"/>
          <w:sz w:val="24"/>
        </w:rPr>
        <w:t>, with gilts entering later</w:t>
      </w:r>
      <w:r w:rsidRPr="004720D5">
        <w:rPr>
          <w:rFonts w:ascii="Times New Roman" w:hAnsi="Times New Roman" w:cs="Times New Roman"/>
          <w:sz w:val="24"/>
        </w:rPr>
        <w:t xml:space="preserve"> at 113 days. Prior to entry</w:t>
      </w:r>
      <w:r>
        <w:rPr>
          <w:rFonts w:ascii="Times New Roman" w:hAnsi="Times New Roman" w:cs="Times New Roman"/>
          <w:sz w:val="24"/>
        </w:rPr>
        <w:t>,</w:t>
      </w:r>
      <w:r w:rsidRPr="004720D5">
        <w:rPr>
          <w:rFonts w:ascii="Times New Roman" w:hAnsi="Times New Roman" w:cs="Times New Roman"/>
          <w:sz w:val="24"/>
        </w:rPr>
        <w:t xml:space="preserve"> the farrowing pen was washed and disinfected (</w:t>
      </w:r>
      <w:r w:rsidR="00F966C0">
        <w:rPr>
          <w:rFonts w:ascii="Times New Roman" w:hAnsi="Times New Roman" w:cs="Times New Roman"/>
          <w:sz w:val="24"/>
        </w:rPr>
        <w:t xml:space="preserve">concentration = x </w:t>
      </w:r>
      <w:r w:rsidRPr="004720D5">
        <w:rPr>
          <w:rFonts w:ascii="Times New Roman" w:hAnsi="Times New Roman" w:cs="Times New Roman"/>
          <w:sz w:val="24"/>
        </w:rPr>
        <w:t xml:space="preserve">0.03 </w:t>
      </w:r>
      <w:proofErr w:type="spellStart"/>
      <w:r w:rsidRPr="004720D5">
        <w:rPr>
          <w:rFonts w:ascii="Times New Roman" w:hAnsi="Times New Roman" w:cs="Times New Roman"/>
          <w:sz w:val="24"/>
        </w:rPr>
        <w:t>PhenoPharm</w:t>
      </w:r>
      <w:proofErr w:type="spellEnd"/>
      <w:r w:rsidRPr="004720D5">
        <w:rPr>
          <w:rFonts w:ascii="Times New Roman" w:hAnsi="Times New Roman" w:cs="Times New Roman"/>
          <w:sz w:val="24"/>
        </w:rPr>
        <w:t>, East Riding Farm Services, UK) and allowed to dry for a minimum of 7 days. Sows which had not farrowed by 116 days of gestation were induced with</w:t>
      </w:r>
      <w:r w:rsidR="00F966C0">
        <w:rPr>
          <w:rFonts w:ascii="Times New Roman" w:hAnsi="Times New Roman" w:cs="Times New Roman"/>
          <w:sz w:val="24"/>
        </w:rPr>
        <w:t xml:space="preserve"> </w:t>
      </w:r>
      <w:r w:rsidRPr="004720D5">
        <w:rPr>
          <w:rFonts w:ascii="Times New Roman" w:hAnsi="Times New Roman" w:cs="Times New Roman"/>
          <w:sz w:val="24"/>
        </w:rPr>
        <w:t xml:space="preserve">intramuscular injection </w:t>
      </w:r>
      <w:r>
        <w:rPr>
          <w:rFonts w:ascii="Times New Roman" w:hAnsi="Times New Roman" w:cs="Times New Roman"/>
          <w:sz w:val="24"/>
        </w:rPr>
        <w:t xml:space="preserve">of </w:t>
      </w:r>
      <w:r w:rsidRPr="004720D5">
        <w:rPr>
          <w:rFonts w:ascii="Times New Roman" w:hAnsi="Times New Roman" w:cs="Times New Roman"/>
          <w:sz w:val="24"/>
        </w:rPr>
        <w:t xml:space="preserve">2ml of a prostaglandin analogue (Planate, </w:t>
      </w:r>
      <w:proofErr w:type="spellStart"/>
      <w:r w:rsidRPr="004720D5">
        <w:rPr>
          <w:rFonts w:ascii="Times New Roman" w:hAnsi="Times New Roman" w:cs="Times New Roman"/>
          <w:sz w:val="24"/>
        </w:rPr>
        <w:t>Intervet</w:t>
      </w:r>
      <w:proofErr w:type="spellEnd"/>
      <w:r w:rsidRPr="004720D5">
        <w:rPr>
          <w:rFonts w:ascii="Times New Roman" w:hAnsi="Times New Roman" w:cs="Times New Roman"/>
          <w:sz w:val="24"/>
        </w:rPr>
        <w:t xml:space="preserve"> UK, Walton, UK). Sow diets were based on barley and </w:t>
      </w:r>
      <w:proofErr w:type="spellStart"/>
      <w:r w:rsidRPr="004720D5">
        <w:rPr>
          <w:rFonts w:ascii="Times New Roman" w:hAnsi="Times New Roman" w:cs="Times New Roman"/>
          <w:sz w:val="24"/>
        </w:rPr>
        <w:t>soyabean</w:t>
      </w:r>
      <w:proofErr w:type="spellEnd"/>
      <w:r w:rsidRPr="004720D5">
        <w:rPr>
          <w:rFonts w:ascii="Times New Roman" w:hAnsi="Times New Roman" w:cs="Times New Roman"/>
          <w:sz w:val="24"/>
        </w:rPr>
        <w:t xml:space="preserve"> and fed as a dry, home milled meal. The diet for gestating sows and gilts (13.14 MJ DE /kg, 13.82% CP and 0.62% lysine) was fed at 1.8kg/head/day throughout gestation and then at 1kg/head/day split over two feeds once housed in farrowing crates. Once all the sows in the batch had farrowed, sows were fed a lactation diet (13.98% MJ DE/kg, 18.50% CP and 0.95% lysine) initially as a 1kg/head/day allowance, which was increased to appetite by 0.5 kg/head/day until a 10 kg/head/day limit was reached. Water was available through a nipple drinker, </w:t>
      </w:r>
      <w:r w:rsidRPr="004720D5">
        <w:rPr>
          <w:rFonts w:ascii="Times New Roman" w:hAnsi="Times New Roman" w:cs="Times New Roman"/>
          <w:i/>
          <w:sz w:val="24"/>
        </w:rPr>
        <w:t>ad libitum</w:t>
      </w:r>
      <w:r w:rsidRPr="004720D5">
        <w:rPr>
          <w:rFonts w:ascii="Times New Roman" w:hAnsi="Times New Roman" w:cs="Times New Roman"/>
          <w:sz w:val="24"/>
        </w:rPr>
        <w:t xml:space="preserve">. The farrowing house was maintained at 21°C, whilst an enclosed heated creep area was available to piglets; this contained wood shavings as bedding for the first week of life. Water was available to piglets </w:t>
      </w:r>
      <w:r w:rsidRPr="004720D5">
        <w:rPr>
          <w:rFonts w:ascii="Times New Roman" w:hAnsi="Times New Roman" w:cs="Times New Roman"/>
          <w:i/>
          <w:sz w:val="24"/>
        </w:rPr>
        <w:t>ad libitum</w:t>
      </w:r>
      <w:r w:rsidRPr="004720D5">
        <w:rPr>
          <w:rFonts w:ascii="Times New Roman" w:hAnsi="Times New Roman" w:cs="Times New Roman"/>
          <w:sz w:val="24"/>
        </w:rPr>
        <w:t xml:space="preserve"> through piglet nipple drinkers positioned at the rear of the sow. Piglets had their canine teeth clipped within 24 hours of life, and at 3 days of age were tail docked and received a 1ml intramuscular injection of iron </w:t>
      </w:r>
      <w:r w:rsidRPr="004720D5">
        <w:rPr>
          <w:rFonts w:ascii="Times New Roman" w:hAnsi="Times New Roman" w:cs="Times New Roman"/>
        </w:rPr>
        <w:t>(</w:t>
      </w:r>
      <w:r w:rsidRPr="004720D5">
        <w:rPr>
          <w:rFonts w:ascii="Times New Roman" w:hAnsi="Times New Roman" w:cs="Times New Roman"/>
          <w:sz w:val="24"/>
        </w:rPr>
        <w:t xml:space="preserve">200mg/ml </w:t>
      </w:r>
      <w:proofErr w:type="spellStart"/>
      <w:r w:rsidRPr="004720D5">
        <w:rPr>
          <w:rFonts w:ascii="Times New Roman" w:hAnsi="Times New Roman" w:cs="Times New Roman"/>
          <w:sz w:val="24"/>
        </w:rPr>
        <w:t>Ferroferon</w:t>
      </w:r>
      <w:proofErr w:type="spellEnd"/>
      <w:r w:rsidRPr="004720D5">
        <w:rPr>
          <w:rFonts w:ascii="Times New Roman" w:hAnsi="Times New Roman" w:cs="Times New Roman"/>
          <w:sz w:val="24"/>
        </w:rPr>
        <w:t>, Iron4you, Denmark</w:t>
      </w:r>
      <w:r w:rsidRPr="004720D5">
        <w:rPr>
          <w:rFonts w:ascii="Times New Roman" w:hAnsi="Times New Roman" w:cs="Times New Roman"/>
        </w:rPr>
        <w:t>)</w:t>
      </w:r>
      <w:r w:rsidRPr="004720D5">
        <w:rPr>
          <w:rFonts w:ascii="Times New Roman" w:hAnsi="Times New Roman" w:cs="Times New Roman"/>
          <w:sz w:val="24"/>
        </w:rPr>
        <w:t xml:space="preserve">. Piglets received the first of their 2-stage vaccination program against </w:t>
      </w:r>
      <w:r w:rsidRPr="004720D5">
        <w:rPr>
          <w:rFonts w:ascii="Times New Roman" w:hAnsi="Times New Roman" w:cs="Times New Roman"/>
          <w:i/>
          <w:sz w:val="24"/>
        </w:rPr>
        <w:t xml:space="preserve">Mycoplasma </w:t>
      </w:r>
      <w:proofErr w:type="spellStart"/>
      <w:r w:rsidRPr="004720D5">
        <w:rPr>
          <w:rFonts w:ascii="Times New Roman" w:hAnsi="Times New Roman" w:cs="Times New Roman"/>
          <w:i/>
          <w:sz w:val="24"/>
        </w:rPr>
        <w:t>hyopneumoniae</w:t>
      </w:r>
      <w:proofErr w:type="spellEnd"/>
      <w:r w:rsidRPr="004720D5">
        <w:rPr>
          <w:rFonts w:ascii="Times New Roman" w:hAnsi="Times New Roman" w:cs="Times New Roman"/>
          <w:sz w:val="24"/>
        </w:rPr>
        <w:t xml:space="preserve"> (1ml M+PAC, </w:t>
      </w:r>
      <w:proofErr w:type="spellStart"/>
      <w:r w:rsidRPr="004720D5">
        <w:rPr>
          <w:rFonts w:ascii="Times New Roman" w:hAnsi="Times New Roman" w:cs="Times New Roman"/>
          <w:sz w:val="24"/>
        </w:rPr>
        <w:t>Intervet</w:t>
      </w:r>
      <w:proofErr w:type="spellEnd"/>
      <w:r w:rsidRPr="004720D5">
        <w:rPr>
          <w:rFonts w:ascii="Times New Roman" w:hAnsi="Times New Roman" w:cs="Times New Roman"/>
          <w:sz w:val="24"/>
        </w:rPr>
        <w:t xml:space="preserve">, UK) at 7 days of age. </w:t>
      </w:r>
      <w:r w:rsidRPr="00F66502">
        <w:rPr>
          <w:rFonts w:ascii="Times New Roman" w:hAnsi="Times New Roman" w:cs="Times New Roman"/>
          <w:sz w:val="24"/>
        </w:rPr>
        <w:t>Creep feed (16.50% DE MJ/kg, 22.50% CP and 1.7% lysine; FlatDeck 1, A-One Feeds Supplements Ltd, Thirsk, UK) was made available to experimental piglets from 10 days of age at a rate of 25g/pen/day, increasing up to 150g/pen/day during the final week of lactation. The creep feed was scattered in the creep area which had a solid floor.</w:t>
      </w:r>
    </w:p>
    <w:p w14:paraId="4598E887" w14:textId="54BFB1E5" w:rsidR="004D64FE" w:rsidRPr="004720D5" w:rsidRDefault="004D64FE" w:rsidP="00031DE3">
      <w:pPr>
        <w:spacing w:after="0" w:line="240" w:lineRule="auto"/>
        <w:jc w:val="both"/>
        <w:rPr>
          <w:rFonts w:ascii="Times New Roman" w:hAnsi="Times New Roman" w:cs="Times New Roman"/>
          <w:sz w:val="24"/>
          <w:szCs w:val="24"/>
        </w:rPr>
      </w:pPr>
      <w:r w:rsidRPr="004720D5">
        <w:rPr>
          <w:rFonts w:ascii="Times New Roman" w:hAnsi="Times New Roman" w:cs="Times New Roman"/>
          <w:sz w:val="24"/>
          <w:szCs w:val="24"/>
        </w:rPr>
        <w:t xml:space="preserve">At weaning (28 days of age ±1 day), experimental piglets were housed in fully slatted, temperature controlled flat deck accommodation. Room temperature was initially set to 26°C and reduced by 0.2°C/day to a minimum of 22°C, which was sustained for the remaining trial period. Experimental pigs were housed in pens of 20 piglets according to birthweight class, thus segregating sibling pairs of </w:t>
      </w:r>
      <w:proofErr w:type="gramStart"/>
      <w:r w:rsidRPr="004720D5">
        <w:rPr>
          <w:rFonts w:ascii="Times New Roman" w:hAnsi="Times New Roman" w:cs="Times New Roman"/>
          <w:sz w:val="24"/>
          <w:szCs w:val="24"/>
        </w:rPr>
        <w:t>LBW</w:t>
      </w:r>
      <w:proofErr w:type="gramEnd"/>
      <w:r w:rsidRPr="004720D5">
        <w:rPr>
          <w:rFonts w:ascii="Times New Roman" w:hAnsi="Times New Roman" w:cs="Times New Roman"/>
          <w:sz w:val="24"/>
          <w:szCs w:val="24"/>
        </w:rPr>
        <w:t xml:space="preserve"> and </w:t>
      </w:r>
      <w:r w:rsidR="00CB658F">
        <w:rPr>
          <w:rFonts w:ascii="Times New Roman" w:hAnsi="Times New Roman" w:cs="Times New Roman"/>
          <w:sz w:val="24"/>
          <w:szCs w:val="24"/>
        </w:rPr>
        <w:t>N</w:t>
      </w:r>
      <w:r w:rsidRPr="004720D5">
        <w:rPr>
          <w:rFonts w:ascii="Times New Roman" w:hAnsi="Times New Roman" w:cs="Times New Roman"/>
          <w:sz w:val="24"/>
          <w:szCs w:val="24"/>
        </w:rPr>
        <w:t xml:space="preserve">BW piglets into </w:t>
      </w:r>
      <w:r>
        <w:rPr>
          <w:rFonts w:ascii="Times New Roman" w:hAnsi="Times New Roman" w:cs="Times New Roman"/>
          <w:sz w:val="24"/>
          <w:szCs w:val="24"/>
        </w:rPr>
        <w:t xml:space="preserve">pens of </w:t>
      </w:r>
      <w:r w:rsidRPr="004720D5">
        <w:rPr>
          <w:rFonts w:ascii="Times New Roman" w:hAnsi="Times New Roman" w:cs="Times New Roman"/>
          <w:sz w:val="24"/>
          <w:szCs w:val="24"/>
        </w:rPr>
        <w:t xml:space="preserve">either LBW or </w:t>
      </w:r>
      <w:r w:rsidR="00CB658F">
        <w:rPr>
          <w:rFonts w:ascii="Times New Roman" w:hAnsi="Times New Roman" w:cs="Times New Roman"/>
          <w:sz w:val="24"/>
          <w:szCs w:val="24"/>
        </w:rPr>
        <w:t>N</w:t>
      </w:r>
      <w:r w:rsidRPr="004720D5">
        <w:rPr>
          <w:rFonts w:ascii="Times New Roman" w:hAnsi="Times New Roman" w:cs="Times New Roman"/>
          <w:sz w:val="24"/>
          <w:szCs w:val="24"/>
        </w:rPr>
        <w:t xml:space="preserve">BW pigs only. </w:t>
      </w:r>
      <w:r>
        <w:rPr>
          <w:rFonts w:ascii="Times New Roman" w:hAnsi="Times New Roman" w:cs="Times New Roman"/>
          <w:sz w:val="24"/>
          <w:szCs w:val="24"/>
        </w:rPr>
        <w:t xml:space="preserve">Each pen was furnished with </w:t>
      </w:r>
      <w:r w:rsidRPr="00DE20CF">
        <w:rPr>
          <w:rFonts w:ascii="Times New Roman" w:hAnsi="Times New Roman" w:cs="Times New Roman"/>
          <w:sz w:val="24"/>
          <w:szCs w:val="24"/>
        </w:rPr>
        <w:t>two nipple drinkers a</w:t>
      </w:r>
      <w:r>
        <w:rPr>
          <w:rFonts w:ascii="Times New Roman" w:hAnsi="Times New Roman" w:cs="Times New Roman"/>
          <w:sz w:val="24"/>
          <w:szCs w:val="24"/>
        </w:rPr>
        <w:t>nd two multi-space feed troughs. Piglets received a three-stage weaner starter diet regime (</w:t>
      </w:r>
      <w:r w:rsidRPr="00F66502">
        <w:rPr>
          <w:rFonts w:ascii="Times New Roman" w:hAnsi="Times New Roman" w:cs="Times New Roman"/>
          <w:sz w:val="24"/>
          <w:szCs w:val="24"/>
        </w:rPr>
        <w:t>A-One Feeds Supplements Ltd, Thirsk, UK</w:t>
      </w:r>
      <w:r>
        <w:rPr>
          <w:rFonts w:ascii="Times New Roman" w:hAnsi="Times New Roman" w:cs="Times New Roman"/>
          <w:sz w:val="24"/>
          <w:szCs w:val="24"/>
        </w:rPr>
        <w:t xml:space="preserve">) for one week duration per diet to </w:t>
      </w:r>
      <w:r w:rsidRPr="00F66502">
        <w:rPr>
          <w:rFonts w:ascii="Times New Roman" w:hAnsi="Times New Roman" w:cs="Times New Roman"/>
          <w:sz w:val="24"/>
        </w:rPr>
        <w:t xml:space="preserve">prevent differences in rates of diet consumption between LBW and NBW pigs resulting in different dietary substrates being consumed at fixed faecal sampling ages, thus avoiding diet composition effects on the microbiota from confounding differences related to BiW or ADG classes. </w:t>
      </w:r>
      <w:r w:rsidRPr="004720D5">
        <w:rPr>
          <w:rFonts w:ascii="Times New Roman" w:hAnsi="Times New Roman" w:cs="Times New Roman"/>
          <w:sz w:val="24"/>
          <w:szCs w:val="24"/>
        </w:rPr>
        <w:t>At the point of weaning, pigs received their 2</w:t>
      </w:r>
      <w:r w:rsidRPr="004720D5">
        <w:rPr>
          <w:rFonts w:ascii="Times New Roman" w:hAnsi="Times New Roman" w:cs="Times New Roman"/>
          <w:sz w:val="24"/>
          <w:szCs w:val="24"/>
          <w:vertAlign w:val="superscript"/>
        </w:rPr>
        <w:t>nd</w:t>
      </w:r>
      <w:r w:rsidRPr="004720D5">
        <w:rPr>
          <w:rFonts w:ascii="Times New Roman" w:hAnsi="Times New Roman" w:cs="Times New Roman"/>
          <w:sz w:val="24"/>
          <w:szCs w:val="24"/>
        </w:rPr>
        <w:t xml:space="preserve"> stage vaccine against </w:t>
      </w:r>
      <w:r w:rsidRPr="004720D5">
        <w:rPr>
          <w:rFonts w:ascii="Times New Roman" w:hAnsi="Times New Roman" w:cs="Times New Roman"/>
          <w:i/>
          <w:sz w:val="24"/>
          <w:szCs w:val="24"/>
        </w:rPr>
        <w:t xml:space="preserve">Mycoplasma </w:t>
      </w:r>
      <w:proofErr w:type="spellStart"/>
      <w:r w:rsidRPr="004720D5">
        <w:rPr>
          <w:rFonts w:ascii="Times New Roman" w:hAnsi="Times New Roman" w:cs="Times New Roman"/>
          <w:i/>
          <w:sz w:val="24"/>
          <w:szCs w:val="24"/>
        </w:rPr>
        <w:t>hyopneumoniae</w:t>
      </w:r>
      <w:proofErr w:type="spellEnd"/>
      <w:r w:rsidRPr="004720D5">
        <w:rPr>
          <w:rFonts w:ascii="Times New Roman" w:hAnsi="Times New Roman" w:cs="Times New Roman"/>
          <w:sz w:val="24"/>
          <w:szCs w:val="24"/>
        </w:rPr>
        <w:t xml:space="preserve"> in addition to a porcine circovirus type 2 vaccine, as intramuscular injections (1ml M-PAC, MSD Animal Health, Milton Keynes, UK; 1ml </w:t>
      </w:r>
      <w:proofErr w:type="spellStart"/>
      <w:r w:rsidRPr="004720D5">
        <w:rPr>
          <w:rFonts w:ascii="Times New Roman" w:hAnsi="Times New Roman" w:cs="Times New Roman"/>
          <w:sz w:val="24"/>
          <w:szCs w:val="24"/>
        </w:rPr>
        <w:t>Ingelvac</w:t>
      </w:r>
      <w:proofErr w:type="spellEnd"/>
      <w:r w:rsidRPr="004720D5">
        <w:rPr>
          <w:rFonts w:ascii="Times New Roman" w:hAnsi="Times New Roman" w:cs="Times New Roman"/>
          <w:sz w:val="24"/>
          <w:szCs w:val="24"/>
        </w:rPr>
        <w:t xml:space="preserve"> </w:t>
      </w:r>
      <w:proofErr w:type="spellStart"/>
      <w:r w:rsidRPr="004720D5">
        <w:rPr>
          <w:rFonts w:ascii="Times New Roman" w:hAnsi="Times New Roman" w:cs="Times New Roman"/>
          <w:sz w:val="24"/>
          <w:szCs w:val="24"/>
        </w:rPr>
        <w:t>CircoFLEX</w:t>
      </w:r>
      <w:proofErr w:type="spellEnd"/>
      <w:r w:rsidRPr="004720D5">
        <w:rPr>
          <w:rFonts w:ascii="Times New Roman" w:hAnsi="Times New Roman" w:cs="Times New Roman"/>
          <w:sz w:val="24"/>
          <w:szCs w:val="24"/>
        </w:rPr>
        <w:t xml:space="preserve">; Boehringer Ingelheim, Duluth, USA). </w:t>
      </w:r>
    </w:p>
    <w:sectPr w:rsidR="004D64FE" w:rsidRPr="00472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FE"/>
    <w:rsid w:val="00031DE3"/>
    <w:rsid w:val="003C0CDA"/>
    <w:rsid w:val="004C33D5"/>
    <w:rsid w:val="004D64FE"/>
    <w:rsid w:val="00504713"/>
    <w:rsid w:val="005F762D"/>
    <w:rsid w:val="00911AF9"/>
    <w:rsid w:val="00AC0679"/>
    <w:rsid w:val="00B30245"/>
    <w:rsid w:val="00CB658F"/>
    <w:rsid w:val="00DC6959"/>
    <w:rsid w:val="00EC5613"/>
    <w:rsid w:val="00F9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6262"/>
  <w15:chartTrackingRefBased/>
  <w15:docId w15:val="{50B088D0-AF36-4CCB-99B9-DFF510D7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4FE"/>
    <w:rPr>
      <w:color w:val="0563C1" w:themeColor="hyperlink"/>
      <w:u w:val="single"/>
    </w:rPr>
  </w:style>
  <w:style w:type="paragraph" w:styleId="BalloonText">
    <w:name w:val="Balloon Text"/>
    <w:basedOn w:val="Normal"/>
    <w:link w:val="BalloonTextChar"/>
    <w:uiPriority w:val="99"/>
    <w:semiHidden/>
    <w:unhideWhenUsed/>
    <w:rsid w:val="004D6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3C1606C0BCA459066DDA2A5BB48A5" ma:contentTypeVersion="2" ma:contentTypeDescription="Create a new document." ma:contentTypeScope="" ma:versionID="881be36a11b3498dd91cb57207782792">
  <xsd:schema xmlns:xsd="http://www.w3.org/2001/XMLSchema" xmlns:xs="http://www.w3.org/2001/XMLSchema" xmlns:p="http://schemas.microsoft.com/office/2006/metadata/properties" xmlns:ns3="3986dc82-fc30-4913-8fe8-e7088ddabc85" targetNamespace="http://schemas.microsoft.com/office/2006/metadata/properties" ma:root="true" ma:fieldsID="6fd7bf1c18be30f2aacffbf05134a878" ns3:_="">
    <xsd:import namespace="3986dc82-fc30-4913-8fe8-e7088ddabc8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6dc82-fc30-4913-8fe8-e7088ddab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7F774-9B4E-4FB2-89BE-FFA251370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6dc82-fc30-4913-8fe8-e7088ddab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1DF29-73FA-4305-8ABF-19BF035699C2}">
  <ds:schemaRefs>
    <ds:schemaRef ds:uri="http://schemas.microsoft.com/sharepoint/v3/contenttype/forms"/>
  </ds:schemaRefs>
</ds:datastoreItem>
</file>

<file path=customXml/itemProps3.xml><?xml version="1.0" encoding="utf-8"?>
<ds:datastoreItem xmlns:ds="http://schemas.openxmlformats.org/officeDocument/2006/customXml" ds:itemID="{F20DB8E7-814D-4C3B-B76D-157C31E4AB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Gaukroger (PGR)</dc:creator>
  <cp:keywords/>
  <dc:description/>
  <cp:lastModifiedBy>Clare Gaukroger (PGR)</cp:lastModifiedBy>
  <cp:revision>2</cp:revision>
  <dcterms:created xsi:type="dcterms:W3CDTF">2020-04-07T13:26:00Z</dcterms:created>
  <dcterms:modified xsi:type="dcterms:W3CDTF">2020-04-07T13:26:00Z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0x0101005713C1606C0BCA459066DDA2A5BB48A5</vt:lpwstr>
  </property>
</Properties>
</file>