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Supplementary Table 1 The difference among regions of prostate cancer </w:t>
      </w:r>
      <w:r>
        <w:rPr>
          <w:rFonts w:hint="eastAsia" w:ascii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z w:val="21"/>
          <w:szCs w:val="21"/>
        </w:rPr>
        <w:t>atients covered by URRBMI and UEBMI in China between 2015 and 2017</w:t>
      </w:r>
    </w:p>
    <w:tbl>
      <w:tblPr>
        <w:tblStyle w:val="5"/>
        <w:tblW w:w="14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"/>
        <w:gridCol w:w="4752"/>
        <w:gridCol w:w="1236"/>
        <w:gridCol w:w="1268"/>
        <w:gridCol w:w="1268"/>
        <w:gridCol w:w="588"/>
        <w:gridCol w:w="240"/>
        <w:gridCol w:w="1472"/>
        <w:gridCol w:w="1323"/>
        <w:gridCol w:w="1323"/>
        <w:gridCol w:w="630"/>
      </w:tblGrid>
      <w:tr>
        <w:trPr>
          <w:trHeight w:val="338" w:hRule="atLeas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URRBMI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kern w:val="0"/>
                <w:sz w:val="18"/>
                <w:szCs w:val="18"/>
                <w:u w:val="none"/>
                <w:vertAlign w:val="superscript"/>
                <w:lang w:eastAsia="zh-CN" w:bidi="ar"/>
              </w:rPr>
              <w:t>a</w:t>
            </w:r>
          </w:p>
        </w:tc>
        <w:tc>
          <w:tcPr>
            <w:tcW w:w="240" w:type="dxa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  <w:t xml:space="preserve">    </w:t>
            </w:r>
          </w:p>
        </w:tc>
        <w:tc>
          <w:tcPr>
            <w:tcW w:w="4733" w:type="dxa"/>
            <w:gridSpan w:val="4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UEBMI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kern w:val="0"/>
                <w:sz w:val="18"/>
                <w:szCs w:val="18"/>
                <w:u w:val="none"/>
                <w:vertAlign w:val="superscript"/>
                <w:lang w:eastAsia="zh-CN" w:bidi="ar"/>
              </w:rPr>
              <w:t>b</w:t>
            </w:r>
          </w:p>
        </w:tc>
      </w:tr>
      <w:tr>
        <w:trPr>
          <w:trHeight w:val="354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(n = 632)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4733" w:type="dxa"/>
            <w:gridSpan w:val="4"/>
            <w:tcBorders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(n = 3304)</w:t>
            </w:r>
          </w:p>
        </w:tc>
      </w:tr>
      <w:tr>
        <w:trPr>
          <w:trHeight w:val="474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Eastern</w:t>
            </w:r>
          </w:p>
        </w:tc>
        <w:tc>
          <w:tcPr>
            <w:tcW w:w="1268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Central</w:t>
            </w:r>
          </w:p>
        </w:tc>
        <w:tc>
          <w:tcPr>
            <w:tcW w:w="1268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Western</w:t>
            </w:r>
          </w:p>
        </w:tc>
        <w:tc>
          <w:tcPr>
            <w:tcW w:w="0" w:type="auto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P value</w:t>
            </w:r>
          </w:p>
        </w:tc>
        <w:tc>
          <w:tcPr>
            <w:tcW w:w="240" w:type="dxa"/>
            <w:tcBorders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Eastern</w:t>
            </w:r>
          </w:p>
        </w:tc>
        <w:tc>
          <w:tcPr>
            <w:tcW w:w="0" w:type="auto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Central</w:t>
            </w:r>
          </w:p>
        </w:tc>
        <w:tc>
          <w:tcPr>
            <w:tcW w:w="0" w:type="auto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Western</w:t>
            </w:r>
          </w:p>
        </w:tc>
        <w:tc>
          <w:tcPr>
            <w:tcW w:w="0" w:type="auto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P value</w:t>
            </w:r>
          </w:p>
        </w:tc>
      </w:tr>
      <w:tr>
        <w:trPr>
          <w:trHeight w:val="462" w:hRule="atLeast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Health care utilization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</w:p>
        </w:tc>
      </w:tr>
      <w:tr>
        <w:trPr>
          <w:trHeight w:val="383" w:hRule="atLeast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No. of outpatient visits, median (IQR)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vertAlign w:val="superscript"/>
                <w:lang w:eastAsia="zh-CN" w:bidi="ar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0.208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</w:tr>
      <w:tr>
        <w:trPr>
          <w:trHeight w:val="383" w:hRule="atLeast"/>
          <w:jc w:val="center"/>
        </w:trPr>
        <w:tc>
          <w:tcPr>
            <w:tcW w:w="398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(1.0, 7.0)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(1.0, 6.0)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(1.0, 4.0)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(2.0, 11.0)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(1.0, 7.0)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(1.0, 5.0)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</w:tr>
      <w:tr>
        <w:trPr>
          <w:trHeight w:val="383" w:hRule="atLeast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No. of inpatient hospital admission, median (IQR)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</w:tr>
      <w:tr>
        <w:trPr>
          <w:trHeight w:val="383" w:hRule="atLeast"/>
          <w:jc w:val="center"/>
        </w:trPr>
        <w:tc>
          <w:tcPr>
            <w:tcW w:w="398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(1.0, 8.0)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(1.0, 3.0)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(1.0,1.0)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(1.0, 8.0)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(1.0, 5.0)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(1.0, 3.0)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</w:tr>
      <w:tr>
        <w:trPr>
          <w:trHeight w:val="433" w:hRule="atLeast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No. of outpatient visits, median (IQR)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&lt;0.05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</w:tr>
      <w:tr>
        <w:trPr>
          <w:trHeight w:val="383" w:hRule="atLeast"/>
          <w:jc w:val="center"/>
        </w:trPr>
        <w:tc>
          <w:tcPr>
            <w:tcW w:w="398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(9.5, 25.5)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(8.0, 33.0)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(5.0, 17.0)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(10.0, 34.0)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(11.0, 51.0)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(7.0, 24.2)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</w:tr>
      <w:tr>
        <w:trPr>
          <w:trHeight w:val="495" w:hRule="atLeast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Annual direct medical costs and demographics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/>
                <w:color w:val="1C1D1E"/>
                <w:sz w:val="18"/>
                <w:szCs w:val="18"/>
                <w:u w:val="none"/>
              </w:rPr>
            </w:pPr>
          </w:p>
        </w:tc>
      </w:tr>
      <w:tr>
        <w:trPr>
          <w:trHeight w:val="383" w:hRule="atLeast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Annual direct medical costs of outpatients, meidan (IQR), USD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vertAlign w:val="superscript"/>
                <w:lang w:eastAsia="zh-CN" w:bidi="ar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205.9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43.3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199.3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177.5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</w:tr>
      <w:tr>
        <w:trPr>
          <w:trHeight w:val="383" w:hRule="atLeast"/>
          <w:jc w:val="center"/>
        </w:trPr>
        <w:tc>
          <w:tcPr>
            <w:tcW w:w="398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(58.9,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583.8)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(17.8,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386.7)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(91.6,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627.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(168.1,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1605.8)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(81.1,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636.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(63.3,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399.6)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</w:tr>
      <w:tr>
        <w:trPr>
          <w:trHeight w:val="433" w:hRule="atLeast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Annual direct medical costs of inpatients, meidan (IQR), USD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3775.9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2349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1318.6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2544.3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</w:tr>
      <w:tr>
        <w:trPr>
          <w:trHeight w:val="433" w:hRule="atLeast"/>
          <w:jc w:val="center"/>
        </w:trPr>
        <w:tc>
          <w:tcPr>
            <w:tcW w:w="398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(1719.5,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6830.1)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(866.4,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5011.4)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(600.1,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2729.6)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(2055.1,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8615.5)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(1564.9,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8467.6)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(1337.5,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5479.4)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</w:tr>
      <w:tr>
        <w:trPr>
          <w:trHeight w:val="383" w:hRule="atLeast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Annual direct medical costs, meidan (IQR), USD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3734.7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2330.1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1318.6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3935.5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2409.1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</w:tr>
      <w:tr>
        <w:trPr>
          <w:trHeight w:val="433" w:hRule="atLeast"/>
          <w:jc w:val="center"/>
        </w:trPr>
        <w:tc>
          <w:tcPr>
            <w:tcW w:w="398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(1547.3,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6691.1)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(837.2,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4963.1)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(593.3,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2729.6)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(1510.7,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7995.9)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(1524.5,8316.6)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(1157.5,5341.5)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</w:tr>
      <w:tr>
        <w:trPr>
          <w:trHeight w:val="383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Annual medication costs, meidan (IQR), USD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2263.7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910.8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652.5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2474.1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2116.1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1258.8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</w:tr>
      <w:tr>
        <w:trPr>
          <w:trHeight w:val="433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(932.3,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4532.8)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(396.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2131.2)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(269.1,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1333.1)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(913.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4814.4)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(808.2,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4673.3)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(558.5,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2869.8)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</w:tr>
      <w:tr>
        <w:trPr>
          <w:trHeight w:val="383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Percentages of medication costs, meidan (IQR), 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</w:tr>
      <w:tr>
        <w:trPr>
          <w:trHeight w:val="383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(47.9,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84.7)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(28.5,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68.7)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(33.5,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67.2)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(44.6,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93.2)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(37.4,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76.2)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(39.7,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80.6)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</w:tr>
      <w:tr>
        <w:trPr>
          <w:trHeight w:val="383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Annual OOP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vertAlign w:val="superscript"/>
                <w:lang w:eastAsia="zh-CN" w:bidi="ar"/>
              </w:rPr>
              <w:t>e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 meidan (IQR), USD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1612.7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955.5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333.4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3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(674.5,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3049.7)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(385.1,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1998.7)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(75.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>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756.4)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(207.8,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1479.7)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(369.3,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1938.7)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(111.8,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763.3)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3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Percentages of OOP, meidan (IQR), %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49.4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.0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</w:t>
            </w:r>
          </w:p>
        </w:tc>
        <w:tc>
          <w:tcPr>
            <w:tcW w:w="0" w:type="auto"/>
            <w:vMerge w:val="restart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3" w:hRule="atLeast"/>
          <w:jc w:val="center"/>
        </w:trPr>
        <w:tc>
          <w:tcPr>
            <w:tcW w:w="39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51" w:type="dxa"/>
            <w:vMerge w:val="continue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(38.9,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60.1)</w:t>
            </w:r>
          </w:p>
        </w:tc>
        <w:tc>
          <w:tcPr>
            <w:tcW w:w="126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(32.6, 54.0)</w:t>
            </w:r>
          </w:p>
        </w:tc>
        <w:tc>
          <w:tcPr>
            <w:tcW w:w="1268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(10.1, 33.7)</w:t>
            </w:r>
          </w:p>
        </w:tc>
        <w:tc>
          <w:tcPr>
            <w:tcW w:w="0" w:type="auto"/>
            <w:vMerge w:val="continue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  <w:tc>
          <w:tcPr>
            <w:tcW w:w="1374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(10.0, 27.9)</w:t>
            </w:r>
          </w:p>
        </w:tc>
        <w:tc>
          <w:tcPr>
            <w:tcW w:w="0" w:type="auto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(18.3, 31.9)</w:t>
            </w:r>
            <w:r>
              <w:rPr>
                <w:rStyle w:val="6"/>
                <w:rFonts w:hint="default" w:ascii="Times New Roman" w:hAnsi="Times New Roman" w:eastAsia="宋体" w:cs="Times New Roman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1C1D1E"/>
                <w:kern w:val="0"/>
                <w:sz w:val="18"/>
                <w:szCs w:val="18"/>
                <w:u w:val="none"/>
                <w:lang w:val="en-US" w:eastAsia="zh-CN" w:bidi="ar"/>
              </w:rPr>
              <w:t>(10.0, 25.6)</w:t>
            </w:r>
          </w:p>
        </w:tc>
        <w:tc>
          <w:tcPr>
            <w:tcW w:w="0" w:type="auto"/>
            <w:vMerge w:val="continue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1C1D1E"/>
                <w:sz w:val="18"/>
                <w:szCs w:val="18"/>
                <w:u w:val="none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URRBMI, The Urban Rural Resident Basic Medical Insurance.</w:t>
      </w:r>
    </w:p>
    <w:p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 UEBMI,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The </w:t>
      </w:r>
      <w:r>
        <w:rPr>
          <w:rFonts w:hint="eastAsia" w:ascii="Times New Roman" w:hAnsi="Times New Roman" w:cs="Times New Roman"/>
          <w:color w:val="000000"/>
          <w:sz w:val="18"/>
          <w:szCs w:val="18"/>
          <w:shd w:val="clear" w:color="auto" w:fill="FFFFFF"/>
        </w:rPr>
        <w:t>Urban Employee Basic Medical Insurance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vertAlign w:val="superscript"/>
        </w:rPr>
        <w:t>c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IQR, </w:t>
      </w:r>
      <w:r>
        <w:rPr>
          <w:rFonts w:hint="eastAsia" w:ascii="Times New Roman" w:hAnsi="Times New Roman" w:cs="Times New Roman"/>
          <w:sz w:val="18"/>
          <w:szCs w:val="18"/>
        </w:rPr>
        <w:t>interquartile range</w:t>
      </w:r>
      <w:r>
        <w:rPr>
          <w:rFonts w:ascii="Times New Roman" w:hAnsi="Times New Roman" w:cs="Times New Roman"/>
          <w:sz w:val="18"/>
          <w:szCs w:val="18"/>
        </w:rPr>
        <w:t>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d </w:t>
      </w:r>
      <w:r>
        <w:rPr>
          <w:rFonts w:ascii="Times New Roman" w:hAnsi="Times New Roman" w:cs="Times New Roman"/>
          <w:sz w:val="18"/>
          <w:szCs w:val="18"/>
        </w:rPr>
        <w:t>USD, United States dollar.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e </w:t>
      </w:r>
      <w:r>
        <w:rPr>
          <w:rFonts w:hint="eastAsia"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OP, out-of-pocket.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D4006"/>
    <w:rsid w:val="3FFEC359"/>
    <w:rsid w:val="5DEFC812"/>
    <w:rsid w:val="6623D88E"/>
    <w:rsid w:val="7D5F650D"/>
    <w:rsid w:val="7D7D4006"/>
    <w:rsid w:val="AFDB3F44"/>
    <w:rsid w:val="AFDE8549"/>
    <w:rsid w:val="F3B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3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11"/>
    <w:basedOn w:val="3"/>
    <w:qFormat/>
    <w:uiPriority w:val="0"/>
    <w:rPr>
      <w:rFonts w:ascii="等线" w:hAnsi="等线" w:eastAsia="等线" w:cs="等线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2020-04-14T03:16:00Z</dcterms:created>
  <dc:creator>linbai</dc:creator>
  <cp:lastModifiedBy>linbai</cp:lastModifiedBy>
  <dcterms:modified xsi:type="dcterms:W3CDTF">2020-04-13T20:21:38Z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