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pStyle w:val="53"/>
        <w:spacing w:before="360" w:after="240" w:line="48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A facile preparation of ambient pressure dried hydrophilic silica aerogels and their application in aqueous dye removal</w:t>
      </w:r>
    </w:p>
    <w:p>
      <w:pPr>
        <w:spacing w:after="200" w:line="480" w:lineRule="auto"/>
      </w:pPr>
      <w:r>
        <w:t>Xianghua Yang</w:t>
      </w:r>
      <w:r>
        <w:rPr>
          <w:rFonts w:hint="eastAsia"/>
          <w:vertAlign w:val="superscript"/>
        </w:rPr>
        <w:t>a, *</w:t>
      </w:r>
      <w:r>
        <w:t>, Zhixu Wu</w:t>
      </w:r>
      <w:r>
        <w:rPr>
          <w:rFonts w:hint="eastAsia"/>
          <w:vertAlign w:val="superscript"/>
        </w:rPr>
        <w:t>a</w:t>
      </w:r>
      <w:r>
        <w:t>, Haifeng Chen</w:t>
      </w:r>
      <w:r>
        <w:rPr>
          <w:rFonts w:hint="eastAsia"/>
          <w:vertAlign w:val="superscript"/>
        </w:rPr>
        <w:t>a</w:t>
      </w:r>
      <w:r>
        <w:t>, Qixuan Du</w:t>
      </w:r>
      <w:r>
        <w:rPr>
          <w:rFonts w:hint="eastAsia"/>
          <w:vertAlign w:val="superscript"/>
        </w:rPr>
        <w:t>a</w:t>
      </w:r>
      <w:r>
        <w:t>, Lin Yu</w:t>
      </w:r>
      <w:r>
        <w:rPr>
          <w:rFonts w:hint="eastAsia"/>
          <w:vertAlign w:val="superscript"/>
        </w:rPr>
        <w:t>a</w:t>
      </w:r>
      <w:r>
        <w:t>, Ruiyang Zhang</w:t>
      </w:r>
      <w:r>
        <w:rPr>
          <w:rFonts w:hint="eastAsia"/>
          <w:vertAlign w:val="superscript"/>
        </w:rPr>
        <w:t>b</w:t>
      </w:r>
      <w:r>
        <w:rPr>
          <w:rFonts w:hint="eastAsia"/>
        </w:rPr>
        <w:t>,</w:t>
      </w:r>
      <w:r>
        <w:t xml:space="preserve"> Y</w:t>
      </w:r>
      <w:r>
        <w:rPr>
          <w:rFonts w:hint="eastAsia"/>
        </w:rPr>
        <w:t>ing</w:t>
      </w:r>
      <w:r>
        <w:t xml:space="preserve"> Zhou</w:t>
      </w:r>
      <w:r>
        <w:rPr>
          <w:rFonts w:hint="eastAsia"/>
          <w:vertAlign w:val="superscript"/>
        </w:rPr>
        <w:t>b, *</w:t>
      </w:r>
    </w:p>
    <w:p>
      <w:pPr>
        <w:pStyle w:val="4"/>
        <w:numPr>
          <w:ilvl w:val="0"/>
          <w:numId w:val="0"/>
        </w:numPr>
        <w:spacing w:before="0" w:after="0" w:line="480" w:lineRule="auto"/>
        <w:jc w:val="both"/>
        <w:rPr>
          <w:rFonts w:eastAsiaTheme="minorEastAsia"/>
          <w:b w:val="0"/>
          <w:bCs/>
        </w:rPr>
      </w:pPr>
      <w:r>
        <w:rPr>
          <w:rFonts w:hint="eastAsia" w:eastAsiaTheme="minorEastAsia"/>
          <w:b w:val="0"/>
          <w:vertAlign w:val="superscript"/>
        </w:rPr>
        <w:t xml:space="preserve">a </w:t>
      </w:r>
      <w:r>
        <w:rPr>
          <w:rFonts w:hint="eastAsia" w:eastAsiaTheme="minorEastAsia"/>
          <w:b w:val="0"/>
        </w:rPr>
        <w:t xml:space="preserve">Key Laboratory of Clean Chemistry Technology of Guangdong Regular Higher Education Institutions, </w:t>
      </w:r>
    </w:p>
    <w:p>
      <w:pPr>
        <w:pStyle w:val="4"/>
        <w:numPr>
          <w:ilvl w:val="0"/>
          <w:numId w:val="0"/>
        </w:numPr>
        <w:spacing w:before="0" w:after="0" w:line="480" w:lineRule="auto"/>
        <w:jc w:val="both"/>
        <w:rPr>
          <w:rFonts w:eastAsiaTheme="minorEastAsia"/>
          <w:b w:val="0"/>
          <w:bCs/>
        </w:rPr>
      </w:pPr>
      <w:r>
        <w:rPr>
          <w:rFonts w:eastAsiaTheme="minorEastAsia"/>
          <w:b w:val="0"/>
        </w:rPr>
        <w:t xml:space="preserve">School of Chemical Engineering and Light Industry,  </w:t>
      </w:r>
    </w:p>
    <w:p>
      <w:pPr>
        <w:pStyle w:val="4"/>
        <w:numPr>
          <w:ilvl w:val="0"/>
          <w:numId w:val="0"/>
        </w:numPr>
        <w:spacing w:before="0" w:after="0" w:line="480" w:lineRule="auto"/>
        <w:jc w:val="both"/>
      </w:pPr>
      <w:r>
        <w:rPr>
          <w:rFonts w:eastAsiaTheme="minorEastAsia"/>
          <w:b w:val="0"/>
        </w:rPr>
        <w:t>Guangdong University of Technology,</w:t>
      </w:r>
      <w:r>
        <w:t xml:space="preserve"> </w:t>
      </w:r>
    </w:p>
    <w:p>
      <w:pPr>
        <w:pStyle w:val="4"/>
        <w:numPr>
          <w:ilvl w:val="0"/>
          <w:numId w:val="0"/>
        </w:numPr>
        <w:spacing w:before="0" w:after="0" w:line="480" w:lineRule="auto"/>
        <w:jc w:val="both"/>
        <w:rPr>
          <w:rFonts w:eastAsiaTheme="minorEastAsia"/>
          <w:b w:val="0"/>
          <w:bCs/>
        </w:rPr>
      </w:pPr>
      <w:r>
        <w:rPr>
          <w:rFonts w:eastAsiaTheme="minorEastAsia"/>
          <w:b w:val="0"/>
        </w:rPr>
        <w:t>Guangzhou, 510006</w:t>
      </w:r>
    </w:p>
    <w:p/>
    <w:p>
      <w:pPr>
        <w:pStyle w:val="4"/>
        <w:numPr>
          <w:ilvl w:val="0"/>
          <w:numId w:val="0"/>
        </w:numPr>
        <w:spacing w:before="0" w:after="0" w:line="480" w:lineRule="auto"/>
        <w:jc w:val="both"/>
        <w:rPr>
          <w:rFonts w:eastAsiaTheme="minorEastAsia"/>
          <w:b w:val="0"/>
          <w:bCs/>
        </w:rPr>
      </w:pPr>
      <w:r>
        <w:rPr>
          <w:rFonts w:hint="eastAsia" w:eastAsiaTheme="minorEastAsia"/>
          <w:b w:val="0"/>
          <w:vertAlign w:val="superscript"/>
        </w:rPr>
        <w:t xml:space="preserve">b </w:t>
      </w:r>
      <w:r>
        <w:rPr>
          <w:rFonts w:hint="eastAsia" w:eastAsiaTheme="minorEastAsia"/>
          <w:b w:val="0"/>
        </w:rPr>
        <w:t>S</w:t>
      </w:r>
      <w:r>
        <w:rPr>
          <w:rFonts w:eastAsiaTheme="minorEastAsia"/>
          <w:b w:val="0"/>
        </w:rPr>
        <w:t xml:space="preserve">tate Key Laboratory of Oil and Gas Reservoir Geology and Exploitation, </w:t>
      </w:r>
    </w:p>
    <w:p>
      <w:pPr>
        <w:pStyle w:val="4"/>
        <w:numPr>
          <w:ilvl w:val="0"/>
          <w:numId w:val="0"/>
        </w:numPr>
        <w:spacing w:before="0" w:after="0" w:line="480" w:lineRule="auto"/>
        <w:jc w:val="both"/>
        <w:rPr>
          <w:rFonts w:eastAsiaTheme="minorEastAsia"/>
          <w:b w:val="0"/>
          <w:bCs/>
        </w:rPr>
      </w:pPr>
      <w:r>
        <w:rPr>
          <w:rFonts w:eastAsiaTheme="minorEastAsia"/>
          <w:b w:val="0"/>
        </w:rPr>
        <w:t xml:space="preserve">Southwest Petroleum University, </w:t>
      </w:r>
    </w:p>
    <w:p>
      <w:pPr>
        <w:pStyle w:val="4"/>
        <w:numPr>
          <w:ilvl w:val="0"/>
          <w:numId w:val="0"/>
        </w:numPr>
        <w:spacing w:before="0" w:after="0" w:line="480" w:lineRule="auto"/>
        <w:jc w:val="both"/>
        <w:rPr>
          <w:rFonts w:eastAsiaTheme="minorEastAsia"/>
          <w:b w:val="0"/>
          <w:bCs/>
        </w:rPr>
      </w:pPr>
      <w:r>
        <w:rPr>
          <w:rFonts w:eastAsiaTheme="minorEastAsia"/>
          <w:b w:val="0"/>
        </w:rPr>
        <w:t>Chengdu, 610500</w:t>
      </w:r>
    </w:p>
    <w:p>
      <w:r>
        <w:br w:type="page"/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96895" cy="2322830"/>
            <wp:effectExtent l="0" t="0" r="8255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Figure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S1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Photographs of hydrophobicity/hydrophilicity of S6 (Mg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) and S7 (TMCS) sample.  </w:t>
      </w:r>
    </w:p>
    <w:p>
      <w:r>
        <w:br w:type="page"/>
      </w:r>
    </w:p>
    <w:p>
      <w:pPr>
        <w:spacing w:line="480" w:lineRule="auto"/>
        <w:rPr>
          <w:sz w:val="21"/>
          <w:szCs w:val="21"/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Table S1 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1"/>
          <w:szCs w:val="21"/>
        </w:rPr>
        <w:t>Dynamic parameters for adsorption of RhB</w:t>
      </w:r>
      <w:r>
        <w:rPr>
          <w:rFonts w:hint="eastAsia"/>
          <w:sz w:val="21"/>
          <w:szCs w:val="21"/>
        </w:rPr>
        <w:t xml:space="preserve"> or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MB </w:t>
      </w:r>
      <w:r>
        <w:rPr>
          <w:sz w:val="21"/>
          <w:szCs w:val="21"/>
        </w:rPr>
        <w:t>onto S</w:t>
      </w:r>
      <w:r>
        <w:rPr>
          <w:rFonts w:hint="eastAsia"/>
          <w:sz w:val="21"/>
          <w:szCs w:val="21"/>
        </w:rPr>
        <w:t xml:space="preserve">As </w:t>
      </w:r>
      <w:r>
        <w:rPr>
          <w:sz w:val="21"/>
          <w:szCs w:val="21"/>
        </w:rPr>
        <w:t>samples.</w:t>
      </w:r>
    </w:p>
    <w:p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Pseudo-first-order</w:t>
      </w:r>
    </w:p>
    <w:tbl>
      <w:tblPr>
        <w:tblStyle w:val="2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353"/>
        <w:gridCol w:w="1842"/>
        <w:gridCol w:w="859"/>
        <w:gridCol w:w="1126"/>
        <w:gridCol w:w="1843"/>
        <w:gridCol w:w="850"/>
        <w:gridCol w:w="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</w:p>
        </w:tc>
        <w:tc>
          <w:tcPr>
            <w:tcW w:w="40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39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e</w:t>
            </w:r>
            <w:r>
              <w:rPr>
                <w:sz w:val="20"/>
                <w:szCs w:val="20"/>
              </w:rPr>
              <w:t xml:space="preserve"> (mg 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(min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6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e</w:t>
            </w:r>
            <w:r>
              <w:rPr>
                <w:sz w:val="20"/>
                <w:szCs w:val="20"/>
              </w:rPr>
              <w:t xml:space="preserve"> (mg 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`</w:t>
            </w:r>
            <w:r>
              <w:rPr>
                <w:sz w:val="20"/>
                <w:szCs w:val="20"/>
              </w:rPr>
              <w:t xml:space="preserve"> (min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3.77×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6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87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>
              <w:rPr>
                <w:rFonts w:hint="eastAsia"/>
                <w:sz w:val="20"/>
                <w:szCs w:val="20"/>
              </w:rPr>
              <w:t>752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1.77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5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18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8263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3.64×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4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95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7500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5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56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</m:t>
                </m:r>
                <m:r>
                  <m:rPr>
                    <m:nor/>
                    <m:sty m:val="p"/>
                  </m:rPr>
                  <w:rPr>
                    <w:rFonts w:hint="eastAsia" w:ascii="Cambria Math"/>
                    <w:sz w:val="20"/>
                    <w:szCs w:val="20"/>
                  </w:rPr>
                  <m:t>07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75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8489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.6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9905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4.04×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8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36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>
              <w:rPr>
                <w:rFonts w:hint="eastAsia"/>
                <w:sz w:val="20"/>
                <w:szCs w:val="20"/>
              </w:rPr>
              <w:t>571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1.70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>
              <w:rPr>
                <w:rFonts w:hint="eastAsia"/>
                <w:sz w:val="20"/>
                <w:szCs w:val="20"/>
              </w:rPr>
              <w:t>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3.87×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6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87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9784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20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3.8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3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4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17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7174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1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09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</m:t>
                    </m:r>
                    <m:r>
                      <m:rPr>
                        <m:nor/>
                        <m:sty m:val="p"/>
                      </m:rPr>
                      <w:rPr>
                        <w:rFonts w:hint="eastAsia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7192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5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60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0.8184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5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.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95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5890</w:t>
            </w:r>
          </w:p>
        </w:tc>
      </w:tr>
    </w:tbl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  <w:bookmarkStart w:id="0" w:name="_GoBack"/>
      <w:bookmarkEnd w:id="0"/>
    </w:p>
    <w:p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Pseudo-second-order</w:t>
      </w:r>
    </w:p>
    <w:tbl>
      <w:tblPr>
        <w:tblStyle w:val="21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353"/>
        <w:gridCol w:w="1701"/>
        <w:gridCol w:w="850"/>
        <w:gridCol w:w="150"/>
        <w:gridCol w:w="1126"/>
        <w:gridCol w:w="1701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</w:p>
        </w:tc>
        <w:tc>
          <w:tcPr>
            <w:tcW w:w="40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Merge w:val="continue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e</w:t>
            </w:r>
            <w:r>
              <w:rPr>
                <w:sz w:val="20"/>
                <w:szCs w:val="20"/>
              </w:rPr>
              <w:t xml:space="preserve"> (mg 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(gmg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e</w:t>
            </w:r>
            <w:r>
              <w:rPr>
                <w:sz w:val="20"/>
                <w:szCs w:val="20"/>
              </w:rPr>
              <w:t xml:space="preserve"> (mg 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`</w:t>
            </w:r>
            <w:r>
              <w:rPr>
                <w:sz w:val="20"/>
                <w:szCs w:val="20"/>
              </w:rPr>
              <w:t xml:space="preserve"> (gmg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3.77×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2.10×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0.9999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1.77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4.36×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3.64×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1.42×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4.32×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</m:t>
                </m:r>
                <m:r>
                  <m:rPr>
                    <m:nor/>
                    <m:sty m:val="p"/>
                  </m:rPr>
                  <w:rPr>
                    <w:rFonts w:hint="eastAsia" w:ascii="Cambria Math"/>
                    <w:sz w:val="20"/>
                    <w:szCs w:val="20"/>
                  </w:rPr>
                  <m:t>07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1.99×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1.40×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4.04×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9.80×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-3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1.10×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3.87×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2.59×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2.00×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3.8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3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4.97×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9.52×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4.39×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0.9379</w:t>
            </w:r>
          </w:p>
        </w:tc>
      </w:tr>
    </w:tbl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Intra-particle diffusion</w:t>
      </w:r>
    </w:p>
    <w:tbl>
      <w:tblPr>
        <w:tblStyle w:val="2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353"/>
        <w:gridCol w:w="1842"/>
        <w:gridCol w:w="859"/>
        <w:gridCol w:w="1126"/>
        <w:gridCol w:w="1843"/>
        <w:gridCol w:w="850"/>
        <w:gridCol w:w="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</w:p>
        </w:tc>
        <w:tc>
          <w:tcPr>
            <w:tcW w:w="40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39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vMerge w:val="continue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e</w:t>
            </w:r>
            <w:r>
              <w:rPr>
                <w:sz w:val="20"/>
                <w:szCs w:val="20"/>
              </w:rPr>
              <w:t xml:space="preserve"> (mg 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vertAlign w:val="subscript"/>
              </w:rPr>
              <w:t>id</w:t>
            </w:r>
            <w:r>
              <w:rPr>
                <w:sz w:val="20"/>
                <w:szCs w:val="20"/>
              </w:rPr>
              <w:t xml:space="preserve"> (mg 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  <w:vertAlign w:val="superscript"/>
              </w:rPr>
              <w:t>−0.5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6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e</w:t>
            </w:r>
            <w:r>
              <w:rPr>
                <w:sz w:val="20"/>
                <w:szCs w:val="20"/>
              </w:rPr>
              <w:t xml:space="preserve"> (mg 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vertAlign w:val="subscript"/>
              </w:rPr>
              <w:t>id</w:t>
            </w:r>
            <w:r>
              <w:rPr>
                <w:sz w:val="20"/>
                <w:szCs w:val="20"/>
                <w:vertAlign w:val="superscript"/>
              </w:rPr>
              <w:t>`</w:t>
            </w:r>
            <w:r>
              <w:rPr>
                <w:sz w:val="20"/>
                <w:szCs w:val="20"/>
              </w:rPr>
              <w:t xml:space="preserve"> (mg g</w:t>
            </w:r>
            <w:r>
              <w:rPr>
                <w:sz w:val="20"/>
                <w:szCs w:val="20"/>
                <w:vertAlign w:val="superscript"/>
              </w:rPr>
              <w:t>−1</w:t>
            </w:r>
            <w:r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  <w:vertAlign w:val="superscript"/>
              </w:rPr>
              <w:t>−0.5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3.77×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6.81×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0.7700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1.77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1.63×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3.64×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7.50×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0.7497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3.49×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</m:t>
                </m:r>
                <m:r>
                  <m:rPr>
                    <m:nor/>
                    <m:sty m:val="p"/>
                  </m:rPr>
                  <w:rPr>
                    <w:rFonts w:hint="eastAsia" w:ascii="Cambria Math"/>
                    <w:sz w:val="20"/>
                    <w:szCs w:val="20"/>
                  </w:rPr>
                  <m:t>07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4.61×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7.96×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4.04×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1.23</m:t>
                </m:r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9.93×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3.87×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5.23×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0.8168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6.18×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3.8</m:t>
                </m:r>
                <m:r>
                  <m:rPr>
                    <m:nor/>
                    <m:sty m:val="p"/>
                  </m:rPr>
                  <w:rPr>
                    <w:rFonts w:hint="eastAsia"/>
                    <w:sz w:val="20"/>
                    <w:szCs w:val="20"/>
                  </w:rPr>
                  <m:t>3</m:t>
                </m:r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2.64×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0.8078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1.28×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8.11×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-1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0.8308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  <m:sty m:val="p"/>
                  </m:rPr>
                  <w:rPr>
                    <w:sz w:val="20"/>
                    <w:szCs w:val="20"/>
                  </w:rPr>
                  <m:t>7.87×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nor/>
                        <m:sty m:val="p"/>
                      </m:rPr>
                      <w:rPr>
                        <w:sz w:val="20"/>
                        <w:szCs w:val="20"/>
                      </w:rPr>
                      <m:t>-2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0.8792</w:t>
            </w:r>
          </w:p>
        </w:tc>
      </w:tr>
    </w:tbl>
    <w:p>
      <w:pPr>
        <w:spacing w:line="480" w:lineRule="auto"/>
        <w:rPr>
          <w:sz w:val="20"/>
        </w:rPr>
      </w:pPr>
      <w:r>
        <w:rPr>
          <w:sz w:val="20"/>
        </w:rPr>
        <w:t>*</w:t>
      </w:r>
      <w:r>
        <w:rPr>
          <w:rFonts w:hint="eastAsia"/>
          <w:sz w:val="20"/>
        </w:rPr>
        <w:t xml:space="preserve"> </w:t>
      </w:r>
      <w:r>
        <w:rPr>
          <w:sz w:val="20"/>
        </w:rPr>
        <w:t>represent</w:t>
      </w:r>
      <w:r>
        <w:rPr>
          <w:rFonts w:hint="eastAsia"/>
          <w:sz w:val="20"/>
        </w:rPr>
        <w:t xml:space="preserve"> t</w:t>
      </w:r>
      <w:r>
        <w:rPr>
          <w:sz w:val="20"/>
        </w:rPr>
        <w:t xml:space="preserve">he </w:t>
      </w:r>
      <w:r>
        <w:rPr>
          <w:rFonts w:hint="eastAsia"/>
          <w:sz w:val="20"/>
        </w:rPr>
        <w:t>values</w:t>
      </w:r>
      <w:r>
        <w:rPr>
          <w:sz w:val="20"/>
        </w:rPr>
        <w:t xml:space="preserve"> of adsorption </w:t>
      </w:r>
      <w:r>
        <w:rPr>
          <w:rFonts w:hint="eastAsia"/>
          <w:sz w:val="20"/>
        </w:rPr>
        <w:t>are</w:t>
      </w:r>
      <w:r>
        <w:rPr>
          <w:sz w:val="20"/>
        </w:rPr>
        <w:t xml:space="preserve"> negative.</w:t>
      </w:r>
    </w:p>
    <w:p>
      <w:pPr>
        <w:spacing w:before="240"/>
      </w:pP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zMDYzNDM1NDEyNbJQ0lEKTi0uzszPAykwrAUAzUALhCwAAAA="/>
  </w:docVars>
  <w:rsids>
    <w:rsidRoot w:val="00ED20B5"/>
    <w:rsid w:val="0001436A"/>
    <w:rsid w:val="00024D06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78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223B5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02079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27172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32AF548E"/>
    <w:rsid w:val="48E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标题 1 字符"/>
    <w:basedOn w:val="22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标题 2 字符"/>
    <w:basedOn w:val="22"/>
    <w:link w:val="4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副标题 字符"/>
    <w:basedOn w:val="22"/>
    <w:link w:val="15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批注框文本 字符"/>
    <w:basedOn w:val="22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批注文字 字符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批注主题 字符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尾注文本 字符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页脚 字符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脚注文本 字符"/>
    <w:basedOn w:val="22"/>
    <w:link w:val="1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页眉 字符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标题 3 字符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标题 4 字符"/>
    <w:basedOn w:val="2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标题 5 字符"/>
    <w:basedOn w:val="2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字符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标题 字符"/>
    <w:basedOn w:val="22"/>
    <w:link w:val="18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  <w:style w:type="paragraph" w:customStyle="1" w:styleId="53">
    <w:name w:val="英文标题"/>
    <w:basedOn w:val="1"/>
    <w:qFormat/>
    <w:uiPriority w:val="0"/>
    <w:pPr>
      <w:widowControl w:val="0"/>
      <w:snapToGrid w:val="0"/>
      <w:spacing w:before="400" w:after="40" w:line="274" w:lineRule="auto"/>
      <w:ind w:left="454" w:right="454"/>
      <w:jc w:val="center"/>
    </w:pPr>
    <w:rPr>
      <w:rFonts w:eastAsia="宋体" w:cs="Times New Roman"/>
      <w:b/>
      <w:kern w:val="2"/>
      <w:sz w:val="26"/>
      <w:szCs w:val="2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90D2E-FAAA-4822-804A-4A57C1464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6</Pages>
  <Words>414</Words>
  <Characters>2362</Characters>
  <Lines>19</Lines>
  <Paragraphs>5</Paragraphs>
  <TotalTime>18</TotalTime>
  <ScaleCrop>false</ScaleCrop>
  <LinksUpToDate>false</LinksUpToDate>
  <CharactersWithSpaces>2771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怛鱾-Xianghua</cp:lastModifiedBy>
  <cp:lastPrinted>2013-10-03T12:51:00Z</cp:lastPrinted>
  <dcterms:modified xsi:type="dcterms:W3CDTF">2020-04-01T22:42:22Z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