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4A99" w14:textId="77777777" w:rsidR="00B41A08" w:rsidRDefault="00B41A08">
      <w:pPr>
        <w:rPr>
          <w:rFonts w:ascii="Calibri" w:eastAsia="Calibri" w:hAnsi="Calibri" w:cs="Calibri"/>
          <w:b/>
          <w:sz w:val="20"/>
          <w:szCs w:val="20"/>
        </w:rPr>
      </w:pPr>
    </w:p>
    <w:p w14:paraId="7418C85B" w14:textId="20B93F5E" w:rsidR="00B41A08" w:rsidRDefault="00B41A08" w:rsidP="00B41A08">
      <w:pPr>
        <w:spacing w:line="360" w:lineRule="auto"/>
        <w:jc w:val="both"/>
        <w:rPr>
          <w:rFonts w:ascii="Calibri" w:eastAsia="Calibri" w:hAnsi="Calibri" w:cs="Calibri"/>
          <w:b/>
          <w:sz w:val="34"/>
          <w:szCs w:val="34"/>
        </w:rPr>
      </w:pPr>
      <w:r w:rsidRPr="00B41A08">
        <w:rPr>
          <w:rFonts w:ascii="Calibri" w:hAnsi="Calibri" w:cs="Calibri"/>
          <w:b/>
          <w:bCs/>
          <w:sz w:val="34"/>
          <w:szCs w:val="34"/>
        </w:rPr>
        <w:t xml:space="preserve">Supplementary material: </w:t>
      </w:r>
      <w:r>
        <w:rPr>
          <w:rFonts w:ascii="Calibri" w:eastAsia="Calibri" w:hAnsi="Calibri" w:cs="Calibri"/>
          <w:b/>
          <w:sz w:val="34"/>
          <w:szCs w:val="34"/>
        </w:rPr>
        <w:t>Investigating brain network changes and their association with cognitive recovery after Traumatic Brain Injury: a longitudinal analysis</w:t>
      </w:r>
    </w:p>
    <w:p w14:paraId="75CB390D" w14:textId="77777777" w:rsidR="00B41A08" w:rsidRDefault="00B41A08" w:rsidP="00B41A08">
      <w:pPr>
        <w:spacing w:line="360" w:lineRule="auto"/>
        <w:jc w:val="both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28"/>
          <w:szCs w:val="28"/>
        </w:rPr>
        <w:t>Network reorganization in traumatic brain injury</w:t>
      </w:r>
    </w:p>
    <w:p w14:paraId="10589A71" w14:textId="77777777" w:rsidR="00B41A08" w:rsidRDefault="00B41A08" w:rsidP="00B41A08">
      <w:pPr>
        <w:spacing w:before="240" w:after="240" w:line="360" w:lineRule="auto"/>
        <w:jc w:val="both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>Nádia Moreira da Silva, MSc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  <w:b/>
        </w:rPr>
        <w:t>, Christopher J. A. Cowie, MD</w:t>
      </w:r>
      <w:r>
        <w:rPr>
          <w:rFonts w:ascii="Calibri" w:eastAsia="Calibri" w:hAnsi="Calibri" w:cs="Calibri"/>
          <w:b/>
          <w:vertAlign w:val="superscript"/>
        </w:rPr>
        <w:t>2,4</w:t>
      </w:r>
      <w:r>
        <w:rPr>
          <w:rFonts w:ascii="Calibri" w:eastAsia="Calibri" w:hAnsi="Calibri" w:cs="Calibri"/>
          <w:b/>
        </w:rPr>
        <w:t xml:space="preserve">, Andrew M. </w:t>
      </w:r>
      <w:proofErr w:type="spellStart"/>
      <w:r>
        <w:rPr>
          <w:rFonts w:ascii="Calibri" w:eastAsia="Calibri" w:hAnsi="Calibri" w:cs="Calibri"/>
          <w:b/>
        </w:rPr>
        <w:t>Blamire</w:t>
      </w:r>
      <w:proofErr w:type="spellEnd"/>
      <w:r>
        <w:rPr>
          <w:rFonts w:ascii="Calibri" w:eastAsia="Calibri" w:hAnsi="Calibri" w:cs="Calibri"/>
          <w:b/>
        </w:rPr>
        <w:t>, PhD</w:t>
      </w:r>
      <w:r>
        <w:rPr>
          <w:rFonts w:ascii="Calibri" w:eastAsia="Calibri" w:hAnsi="Calibri" w:cs="Calibri"/>
          <w:b/>
          <w:vertAlign w:val="superscript"/>
        </w:rPr>
        <w:t>3</w:t>
      </w:r>
      <w:r>
        <w:rPr>
          <w:rFonts w:ascii="Calibri" w:eastAsia="Calibri" w:hAnsi="Calibri" w:cs="Calibri"/>
          <w:b/>
        </w:rPr>
        <w:t>, Rob Forsyth, PhD</w:t>
      </w:r>
      <w:r>
        <w:rPr>
          <w:rFonts w:ascii="Calibri" w:eastAsia="Calibri" w:hAnsi="Calibri" w:cs="Calibri"/>
          <w:b/>
          <w:vertAlign w:val="superscript"/>
        </w:rPr>
        <w:t>3</w:t>
      </w:r>
      <w:r>
        <w:rPr>
          <w:rFonts w:ascii="Calibri" w:eastAsia="Calibri" w:hAnsi="Calibri" w:cs="Calibri"/>
          <w:b/>
        </w:rPr>
        <w:t>, Peter Neal Taylor, PhD</w:t>
      </w:r>
      <w:r>
        <w:rPr>
          <w:rFonts w:ascii="Calibri" w:eastAsia="Calibri" w:hAnsi="Calibri" w:cs="Calibri"/>
          <w:b/>
          <w:vertAlign w:val="superscript"/>
        </w:rPr>
        <w:t xml:space="preserve"> 1,5*</w:t>
      </w:r>
    </w:p>
    <w:p w14:paraId="64932BEB" w14:textId="5F44F931" w:rsidR="00B41A08" w:rsidRDefault="00B41A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CA5277" w14:textId="77777777" w:rsidR="005562DE" w:rsidRDefault="005562DE" w:rsidP="005562DE">
      <w:pPr>
        <w:spacing w:line="360" w:lineRule="auto"/>
        <w:jc w:val="both"/>
        <w:rPr>
          <w:sz w:val="20"/>
          <w:szCs w:val="20"/>
        </w:rPr>
      </w:pPr>
    </w:p>
    <w:p w14:paraId="7D08B501" w14:textId="347EAAC5" w:rsidR="005562DE" w:rsidRDefault="005562DE" w:rsidP="005562DE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Table </w:t>
      </w:r>
      <w:r w:rsidR="00074CC1">
        <w:rPr>
          <w:rFonts w:ascii="Calibri" w:eastAsia="Calibri" w:hAnsi="Calibri" w:cs="Calibri"/>
          <w:b/>
          <w:sz w:val="20"/>
          <w:szCs w:val="20"/>
        </w:rPr>
        <w:t>S1</w:t>
      </w:r>
      <w:r>
        <w:rPr>
          <w:rFonts w:ascii="Calibri" w:eastAsia="Calibri" w:hAnsi="Calibri" w:cs="Calibri"/>
          <w:sz w:val="20"/>
          <w:szCs w:val="20"/>
        </w:rPr>
        <w:t>. Results of neuropsychological tests and first component of PCA of controls and patients in the early or late post-injury phase. The results of inferential statistical tests, to compare groups cognitive performance, are presented in the last columns.</w:t>
      </w:r>
    </w:p>
    <w:tbl>
      <w:tblPr>
        <w:tblW w:w="8454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3"/>
        <w:gridCol w:w="1192"/>
        <w:gridCol w:w="1190"/>
        <w:gridCol w:w="1163"/>
        <w:gridCol w:w="1228"/>
        <w:gridCol w:w="1244"/>
        <w:gridCol w:w="1244"/>
      </w:tblGrid>
      <w:tr w:rsidR="005562DE" w14:paraId="3F5819C1" w14:textId="77777777" w:rsidTr="00A70C43">
        <w:trPr>
          <w:trHeight w:val="1140"/>
        </w:trPr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14D10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Test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33E6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Controls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9EA96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post-injury patients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4902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Late post-injury patients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14:paraId="1AAC196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Late post-injury patients vs. Controls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14:paraId="5757D62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post-injury patients vs. Controls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14:paraId="5FBF0CB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post-injury vs.  Late post-injury patients</w:t>
            </w:r>
          </w:p>
        </w:tc>
      </w:tr>
      <w:tr w:rsidR="005562DE" w14:paraId="7AA43A3D" w14:textId="77777777" w:rsidTr="00A70C43">
        <w:trPr>
          <w:trHeight w:val="1140"/>
        </w:trPr>
        <w:tc>
          <w:tcPr>
            <w:tcW w:w="11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E0E75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SOIP (motor speed adjusted)</w:t>
            </w: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16DEF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75.9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61.1-92.1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74DA6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57.7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45.6-70.8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EBD3D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70.2</w:t>
            </w:r>
          </w:p>
          <w:p w14:paraId="4F2A0BC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56.9-79.4</w:t>
            </w:r>
          </w:p>
        </w:tc>
        <w:tc>
          <w:tcPr>
            <w:tcW w:w="1228" w:type="dxa"/>
            <w:tcBorders>
              <w:top w:val="single" w:sz="4" w:space="0" w:color="000000"/>
            </w:tcBorders>
            <w:vAlign w:val="center"/>
          </w:tcPr>
          <w:p w14:paraId="1B12F87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0.294</w:t>
            </w:r>
          </w:p>
          <w:p w14:paraId="41D29A9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0.665</w:t>
            </w:r>
          </w:p>
        </w:tc>
        <w:tc>
          <w:tcPr>
            <w:tcW w:w="1244" w:type="dxa"/>
            <w:tcBorders>
              <w:top w:val="single" w:sz="4" w:space="0" w:color="000000"/>
            </w:tcBorders>
            <w:vAlign w:val="center"/>
          </w:tcPr>
          <w:p w14:paraId="47805C0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0.009</w:t>
            </w:r>
          </w:p>
          <w:p w14:paraId="225770F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0.030</w:t>
            </w:r>
          </w:p>
        </w:tc>
        <w:tc>
          <w:tcPr>
            <w:tcW w:w="1244" w:type="dxa"/>
            <w:tcBorders>
              <w:top w:val="single" w:sz="4" w:space="0" w:color="000000"/>
            </w:tcBorders>
            <w:vAlign w:val="center"/>
          </w:tcPr>
          <w:p w14:paraId="0F95168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0.004</w:t>
            </w:r>
          </w:p>
          <w:p w14:paraId="658D593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0.010</w:t>
            </w:r>
          </w:p>
        </w:tc>
      </w:tr>
      <w:tr w:rsidR="005562DE" w14:paraId="4CCD37DB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095B3D4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PASAT (2 second intervals, percentage correct)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C49D3A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57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44.3-68.0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748D2B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45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4.0-58.5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FC82FF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48</w:t>
            </w:r>
          </w:p>
          <w:p w14:paraId="0DE4D1C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45.0-58.5</w:t>
            </w:r>
          </w:p>
        </w:tc>
        <w:tc>
          <w:tcPr>
            <w:tcW w:w="1228" w:type="dxa"/>
            <w:vAlign w:val="center"/>
          </w:tcPr>
          <w:p w14:paraId="1E5077D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0.532</w:t>
            </w:r>
          </w:p>
          <w:p w14:paraId="1013387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0.665</w:t>
            </w:r>
          </w:p>
        </w:tc>
        <w:tc>
          <w:tcPr>
            <w:tcW w:w="1244" w:type="dxa"/>
            <w:vAlign w:val="center"/>
          </w:tcPr>
          <w:p w14:paraId="4C693B1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= 0.006</w:t>
            </w:r>
          </w:p>
          <w:p w14:paraId="7C0DAF3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0.030</w:t>
            </w:r>
          </w:p>
        </w:tc>
        <w:tc>
          <w:tcPr>
            <w:tcW w:w="1244" w:type="dxa"/>
            <w:vAlign w:val="center"/>
          </w:tcPr>
          <w:p w14:paraId="3408799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0.059</w:t>
            </w:r>
          </w:p>
          <w:p w14:paraId="442EA71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0.118</w:t>
            </w:r>
          </w:p>
        </w:tc>
      </w:tr>
      <w:tr w:rsidR="005562DE" w14:paraId="3101E04B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77E4BB3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List Learning (final trial score)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CEF84C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10-13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BC57E9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5.5-12.0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29543F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11</w:t>
            </w:r>
          </w:p>
          <w:p w14:paraId="435D128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9.5-13.0</w:t>
            </w:r>
          </w:p>
        </w:tc>
        <w:tc>
          <w:tcPr>
            <w:tcW w:w="1228" w:type="dxa"/>
            <w:vAlign w:val="center"/>
          </w:tcPr>
          <w:p w14:paraId="649D916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0.498</w:t>
            </w:r>
          </w:p>
          <w:p w14:paraId="0BE0D32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0.665</w:t>
            </w:r>
          </w:p>
        </w:tc>
        <w:tc>
          <w:tcPr>
            <w:tcW w:w="1244" w:type="dxa"/>
            <w:vAlign w:val="center"/>
          </w:tcPr>
          <w:p w14:paraId="4B11166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= 0.004</w:t>
            </w:r>
          </w:p>
          <w:p w14:paraId="6995065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0.030</w:t>
            </w:r>
          </w:p>
        </w:tc>
        <w:tc>
          <w:tcPr>
            <w:tcW w:w="1244" w:type="dxa"/>
            <w:vAlign w:val="center"/>
          </w:tcPr>
          <w:p w14:paraId="152230A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0.002</w:t>
            </w:r>
          </w:p>
          <w:p w14:paraId="5BB1046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0.010</w:t>
            </w:r>
          </w:p>
        </w:tc>
      </w:tr>
      <w:tr w:rsidR="005562DE" w14:paraId="17435C79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30067C0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Digit Span Backwards (sequence length)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3D1102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7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6-8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66497E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6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5.0-8.5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C256C6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6</w:t>
            </w:r>
          </w:p>
          <w:p w14:paraId="22BCE80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5-8</w:t>
            </w:r>
          </w:p>
          <w:p w14:paraId="441D9C3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EFE139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0.116</w:t>
            </w:r>
          </w:p>
          <w:p w14:paraId="3442512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0.627</w:t>
            </w:r>
          </w:p>
        </w:tc>
        <w:tc>
          <w:tcPr>
            <w:tcW w:w="1244" w:type="dxa"/>
            <w:vAlign w:val="center"/>
          </w:tcPr>
          <w:p w14:paraId="6F2F77E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0.101</w:t>
            </w:r>
          </w:p>
          <w:p w14:paraId="0B1841C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0.168</w:t>
            </w:r>
          </w:p>
        </w:tc>
        <w:tc>
          <w:tcPr>
            <w:tcW w:w="1244" w:type="dxa"/>
            <w:vAlign w:val="center"/>
          </w:tcPr>
          <w:p w14:paraId="3CA0F74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0.569</w:t>
            </w:r>
          </w:p>
          <w:p w14:paraId="063AC27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0.632</w:t>
            </w:r>
          </w:p>
        </w:tc>
      </w:tr>
      <w:tr w:rsidR="005562DE" w14:paraId="0DB1FD80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0E3F507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Spatial Span Backwards (sequence length)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DFFD70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8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7-9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AE8040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7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6.0-8.5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1F0338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7</w:t>
            </w:r>
          </w:p>
          <w:p w14:paraId="36F57C7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6-8.5</w:t>
            </w:r>
          </w:p>
          <w:p w14:paraId="02B594F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B207B2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0.379</w:t>
            </w:r>
          </w:p>
          <w:p w14:paraId="7820920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0.665</w:t>
            </w:r>
          </w:p>
        </w:tc>
        <w:tc>
          <w:tcPr>
            <w:tcW w:w="1244" w:type="dxa"/>
            <w:vAlign w:val="center"/>
          </w:tcPr>
          <w:p w14:paraId="1490179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0.161</w:t>
            </w:r>
          </w:p>
          <w:p w14:paraId="76E5D7C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0.179</w:t>
            </w:r>
          </w:p>
        </w:tc>
        <w:tc>
          <w:tcPr>
            <w:tcW w:w="1244" w:type="dxa"/>
            <w:vAlign w:val="center"/>
          </w:tcPr>
          <w:p w14:paraId="6A945BB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0.397</w:t>
            </w:r>
          </w:p>
          <w:p w14:paraId="588F54B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0.567</w:t>
            </w:r>
          </w:p>
        </w:tc>
      </w:tr>
      <w:tr w:rsidR="005562DE" w14:paraId="64A78DB0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0056C52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Verbal Letter Fluency (Total correct)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BD5749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40.5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34.0-47.3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6E639B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36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27.0-46.5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940210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40</w:t>
            </w:r>
          </w:p>
          <w:p w14:paraId="1C40E33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32-45</w:t>
            </w:r>
          </w:p>
          <w:p w14:paraId="00587EC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E03958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0.927</w:t>
            </w:r>
          </w:p>
          <w:p w14:paraId="4A8CD0C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0.927</w:t>
            </w:r>
          </w:p>
        </w:tc>
        <w:tc>
          <w:tcPr>
            <w:tcW w:w="1244" w:type="dxa"/>
            <w:vAlign w:val="center"/>
          </w:tcPr>
          <w:p w14:paraId="173193D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0.146</w:t>
            </w:r>
          </w:p>
          <w:p w14:paraId="6401987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0.179</w:t>
            </w:r>
          </w:p>
        </w:tc>
        <w:tc>
          <w:tcPr>
            <w:tcW w:w="1244" w:type="dxa"/>
            <w:vAlign w:val="center"/>
          </w:tcPr>
          <w:p w14:paraId="2C43D72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0.086</w:t>
            </w:r>
          </w:p>
          <w:p w14:paraId="41A150D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0.143</w:t>
            </w:r>
          </w:p>
        </w:tc>
      </w:tr>
      <w:tr w:rsidR="005562DE" w14:paraId="00DAAB3E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0AF3989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Category Fluency (Total correct)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E32ACA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43.5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39.8-45.3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91678E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41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35.5-45.0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E2927E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41</w:t>
            </w:r>
          </w:p>
          <w:p w14:paraId="7BEBED8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33.5-44.5</w:t>
            </w:r>
          </w:p>
        </w:tc>
        <w:tc>
          <w:tcPr>
            <w:tcW w:w="1228" w:type="dxa"/>
            <w:vAlign w:val="center"/>
          </w:tcPr>
          <w:p w14:paraId="250356F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0.188</w:t>
            </w:r>
          </w:p>
          <w:p w14:paraId="0C2CFBC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0.627</w:t>
            </w:r>
          </w:p>
        </w:tc>
        <w:tc>
          <w:tcPr>
            <w:tcW w:w="1244" w:type="dxa"/>
            <w:vAlign w:val="center"/>
          </w:tcPr>
          <w:p w14:paraId="34C2FEC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0.129</w:t>
            </w:r>
          </w:p>
          <w:p w14:paraId="37B4955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0.179</w:t>
            </w:r>
          </w:p>
        </w:tc>
        <w:tc>
          <w:tcPr>
            <w:tcW w:w="1244" w:type="dxa"/>
            <w:vAlign w:val="center"/>
          </w:tcPr>
          <w:p w14:paraId="25D3342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0.512</w:t>
            </w:r>
          </w:p>
          <w:p w14:paraId="3283AEE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0.632</w:t>
            </w:r>
          </w:p>
        </w:tc>
      </w:tr>
      <w:tr w:rsidR="005562DE" w14:paraId="32EE2458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5FE827A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C-WIT (colour naming, completion time)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845884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27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25.8-30.5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E8B19D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32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27.5-36.5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6A159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29</w:t>
            </w:r>
          </w:p>
          <w:p w14:paraId="05CBBB5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26.5-37.5</w:t>
            </w:r>
          </w:p>
        </w:tc>
        <w:tc>
          <w:tcPr>
            <w:tcW w:w="1228" w:type="dxa"/>
            <w:vAlign w:val="center"/>
          </w:tcPr>
          <w:p w14:paraId="73DFD9B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0.175</w:t>
            </w:r>
          </w:p>
          <w:p w14:paraId="6DB12AA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0.627</w:t>
            </w:r>
          </w:p>
        </w:tc>
        <w:tc>
          <w:tcPr>
            <w:tcW w:w="1244" w:type="dxa"/>
            <w:vAlign w:val="center"/>
          </w:tcPr>
          <w:p w14:paraId="40BD762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= 0.019</w:t>
            </w:r>
          </w:p>
          <w:p w14:paraId="3F6B506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0.048</w:t>
            </w:r>
          </w:p>
        </w:tc>
        <w:tc>
          <w:tcPr>
            <w:tcW w:w="1244" w:type="dxa"/>
            <w:vAlign w:val="center"/>
          </w:tcPr>
          <w:p w14:paraId="12F9224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0.015</w:t>
            </w:r>
          </w:p>
          <w:p w14:paraId="7AA54FA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0.038</w:t>
            </w:r>
          </w:p>
        </w:tc>
      </w:tr>
      <w:tr w:rsidR="005562DE" w14:paraId="1007DB2D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74F519E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C-WIT (word naming, completion time)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9EFE69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21.5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19.0-25.0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36E453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22-28</w:t>
            </w:r>
          </w:p>
          <w:p w14:paraId="3862FDE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8B3E22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22</w:t>
            </w:r>
          </w:p>
          <w:p w14:paraId="37F804C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20-25</w:t>
            </w:r>
          </w:p>
          <w:p w14:paraId="40DD185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CFCBD9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0.497</w:t>
            </w:r>
          </w:p>
          <w:p w14:paraId="0701415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0.665</w:t>
            </w:r>
          </w:p>
        </w:tc>
        <w:tc>
          <w:tcPr>
            <w:tcW w:w="1244" w:type="dxa"/>
            <w:vAlign w:val="center"/>
          </w:tcPr>
          <w:p w14:paraId="56345C2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= 0.024</w:t>
            </w:r>
          </w:p>
          <w:p w14:paraId="31C125A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0.048</w:t>
            </w:r>
          </w:p>
        </w:tc>
        <w:tc>
          <w:tcPr>
            <w:tcW w:w="1244" w:type="dxa"/>
            <w:vAlign w:val="center"/>
          </w:tcPr>
          <w:p w14:paraId="59CF5D4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0.010</w:t>
            </w:r>
          </w:p>
          <w:p w14:paraId="033B2BB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0.033</w:t>
            </w:r>
          </w:p>
        </w:tc>
      </w:tr>
      <w:tr w:rsidR="005562DE" w14:paraId="5DC0164D" w14:textId="77777777" w:rsidTr="00A70C43">
        <w:trPr>
          <w:trHeight w:val="1140"/>
        </w:trPr>
        <w:tc>
          <w:tcPr>
            <w:tcW w:w="1193" w:type="dxa"/>
            <w:shd w:val="clear" w:color="auto" w:fill="auto"/>
            <w:vAlign w:val="center"/>
          </w:tcPr>
          <w:p w14:paraId="187017D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C-WIT (inhibition, completion time)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F4EFFA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55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48.8-58.5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B16E4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54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43.5-60.0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5E0426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51</w:t>
            </w:r>
          </w:p>
          <w:p w14:paraId="5760547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44-66</w:t>
            </w:r>
          </w:p>
          <w:p w14:paraId="25962EE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D92388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0.684</w:t>
            </w:r>
          </w:p>
          <w:p w14:paraId="3D902A8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0.760</w:t>
            </w:r>
          </w:p>
        </w:tc>
        <w:tc>
          <w:tcPr>
            <w:tcW w:w="1244" w:type="dxa"/>
            <w:vAlign w:val="center"/>
          </w:tcPr>
          <w:p w14:paraId="5EBC447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0.865</w:t>
            </w:r>
          </w:p>
          <w:p w14:paraId="779ACD9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0.865</w:t>
            </w:r>
          </w:p>
        </w:tc>
        <w:tc>
          <w:tcPr>
            <w:tcW w:w="1244" w:type="dxa"/>
            <w:vAlign w:val="center"/>
          </w:tcPr>
          <w:p w14:paraId="08CDDD3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0.976</w:t>
            </w:r>
          </w:p>
          <w:p w14:paraId="5CAC6C3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0.976</w:t>
            </w:r>
          </w:p>
        </w:tc>
      </w:tr>
      <w:tr w:rsidR="005562DE" w14:paraId="6C0975AD" w14:textId="77777777" w:rsidTr="00A70C43">
        <w:trPr>
          <w:trHeight w:val="1140"/>
        </w:trPr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47B2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Component PCA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4CE8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0.55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IQR = -0.34-1.26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3B83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-0.64</w:t>
            </w:r>
          </w:p>
          <w:p w14:paraId="5D7F894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-2.57-0.13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2141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 = 0.34</w:t>
            </w:r>
          </w:p>
          <w:p w14:paraId="308A02D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IQR = -1.08-1.00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14:paraId="399B99F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= 0.268</w:t>
            </w:r>
          </w:p>
          <w:p w14:paraId="216E965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= 0.268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14:paraId="2A8AAEF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= 0.001</w:t>
            </w:r>
          </w:p>
          <w:p w14:paraId="25683E3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= 0.001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14:paraId="2B28563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&lt;0.001</w:t>
            </w:r>
          </w:p>
          <w:p w14:paraId="458074B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bscript"/>
              </w:rPr>
              <w:t>FDR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&lt;0.001</w:t>
            </w:r>
          </w:p>
        </w:tc>
      </w:tr>
    </w:tbl>
    <w:p w14:paraId="41F463B6" w14:textId="77777777" w:rsidR="005562DE" w:rsidRDefault="005562DE" w:rsidP="005562DE">
      <w:pPr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For these columns, a bold </w:t>
      </w:r>
      <w:r>
        <w:rPr>
          <w:rFonts w:ascii="Calibri" w:eastAsia="Calibri" w:hAnsi="Calibri" w:cs="Calibri"/>
          <w:i/>
          <w:vertAlign w:val="superscript"/>
        </w:rPr>
        <w:t>p</w:t>
      </w:r>
      <w:r>
        <w:rPr>
          <w:rFonts w:ascii="Calibri" w:eastAsia="Calibri" w:hAnsi="Calibri" w:cs="Calibri"/>
          <w:vertAlign w:val="superscript"/>
        </w:rPr>
        <w:t xml:space="preserve"> value indicates it is significant at an alpha value of 0.05. P-values following FDR correction are displayed as </w:t>
      </w:r>
      <w:proofErr w:type="spellStart"/>
      <w:r>
        <w:rPr>
          <w:rFonts w:ascii="Calibri" w:eastAsia="Calibri" w:hAnsi="Calibri" w:cs="Calibri"/>
          <w:vertAlign w:val="superscript"/>
        </w:rPr>
        <w:t>p</w:t>
      </w:r>
      <w:r>
        <w:rPr>
          <w:rFonts w:ascii="Calibri" w:eastAsia="Calibri" w:hAnsi="Calibri" w:cs="Calibri"/>
          <w:vertAlign w:val="subscript"/>
        </w:rPr>
        <w:t>FDR</w:t>
      </w:r>
      <w:proofErr w:type="spellEnd"/>
      <w:r>
        <w:rPr>
          <w:rFonts w:ascii="Calibri" w:eastAsia="Calibri" w:hAnsi="Calibri" w:cs="Calibri"/>
          <w:vertAlign w:val="superscript"/>
        </w:rPr>
        <w:t>.</w:t>
      </w:r>
    </w:p>
    <w:p w14:paraId="57A20C51" w14:textId="77777777" w:rsidR="005562DE" w:rsidRDefault="005562DE" w:rsidP="005562DE">
      <w:pPr>
        <w:rPr>
          <w:vertAlign w:val="superscript"/>
        </w:rPr>
      </w:pPr>
      <w:r>
        <w:br w:type="page"/>
      </w:r>
    </w:p>
    <w:p w14:paraId="7EBF5909" w14:textId="5165C8EC" w:rsidR="005562DE" w:rsidRDefault="005562DE" w:rsidP="005562DE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Table </w:t>
      </w:r>
      <w:r w:rsidR="00074CC1">
        <w:rPr>
          <w:rFonts w:ascii="Calibri" w:eastAsia="Calibri" w:hAnsi="Calibri" w:cs="Calibri"/>
          <w:b/>
          <w:sz w:val="20"/>
          <w:szCs w:val="20"/>
        </w:rPr>
        <w:t>S2</w:t>
      </w:r>
      <w:r>
        <w:rPr>
          <w:rFonts w:ascii="Calibri" w:eastAsia="Calibri" w:hAnsi="Calibri" w:cs="Calibri"/>
          <w:sz w:val="20"/>
          <w:szCs w:val="20"/>
        </w:rPr>
        <w:t>. Clinical data of each patient assessed in this study.</w:t>
      </w:r>
    </w:p>
    <w:tbl>
      <w:tblPr>
        <w:tblW w:w="8313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569"/>
        <w:gridCol w:w="851"/>
        <w:gridCol w:w="1165"/>
        <w:gridCol w:w="816"/>
        <w:gridCol w:w="1022"/>
        <w:gridCol w:w="998"/>
        <w:gridCol w:w="655"/>
        <w:gridCol w:w="712"/>
        <w:gridCol w:w="710"/>
      </w:tblGrid>
      <w:tr w:rsidR="005562DE" w14:paraId="45B99EC7" w14:textId="77777777" w:rsidTr="00A70C43">
        <w:trPr>
          <w:trHeight w:val="400"/>
        </w:trPr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C7B7C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Patient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E199A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10932" w14:textId="50FA9B7D" w:rsidR="005562DE" w:rsidRDefault="00994146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Sex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1C5A6F0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Level of Education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61107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NART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14:paraId="2AC096C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TBI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3965B81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Injury cause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14:paraId="0E5556F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GCS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14:paraId="7AF5925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39FD4E8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PTA</w:t>
            </w:r>
          </w:p>
        </w:tc>
      </w:tr>
      <w:tr w:rsidR="005562DE" w14:paraId="5A6D36C3" w14:textId="77777777" w:rsidTr="00A70C43">
        <w:trPr>
          <w:trHeight w:val="400"/>
        </w:trPr>
        <w:tc>
          <w:tcPr>
            <w:tcW w:w="8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0D120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7A942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279C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tcBorders>
              <w:top w:val="single" w:sz="4" w:space="0" w:color="000000"/>
            </w:tcBorders>
            <w:vAlign w:val="center"/>
          </w:tcPr>
          <w:p w14:paraId="0455B60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43CE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81.00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  <w:vAlign w:val="center"/>
          </w:tcPr>
          <w:p w14:paraId="5A120D8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moderate</w:t>
            </w:r>
          </w:p>
        </w:tc>
        <w:tc>
          <w:tcPr>
            <w:tcW w:w="998" w:type="dxa"/>
            <w:tcBorders>
              <w:top w:val="single" w:sz="4" w:space="0" w:color="000000"/>
            </w:tcBorders>
            <w:vAlign w:val="center"/>
          </w:tcPr>
          <w:p w14:paraId="019E3EE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Unclear</w:t>
            </w:r>
          </w:p>
        </w:tc>
        <w:tc>
          <w:tcPr>
            <w:tcW w:w="655" w:type="dxa"/>
            <w:tcBorders>
              <w:top w:val="single" w:sz="4" w:space="0" w:color="000000"/>
            </w:tcBorders>
            <w:vAlign w:val="center"/>
          </w:tcPr>
          <w:p w14:paraId="2EDEE5C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vAlign w:val="center"/>
          </w:tcPr>
          <w:p w14:paraId="3820D07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14:paraId="5DE94E4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5562DE" w14:paraId="3FC8916B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2ADAB46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3488E6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C6A0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72CC492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1E9F3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105.00</w:t>
            </w:r>
          </w:p>
        </w:tc>
        <w:tc>
          <w:tcPr>
            <w:tcW w:w="1022" w:type="dxa"/>
            <w:vAlign w:val="center"/>
          </w:tcPr>
          <w:p w14:paraId="0BCE5F7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moderate</w:t>
            </w:r>
          </w:p>
        </w:tc>
        <w:tc>
          <w:tcPr>
            <w:tcW w:w="998" w:type="dxa"/>
            <w:vAlign w:val="center"/>
          </w:tcPr>
          <w:p w14:paraId="073210D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Assault</w:t>
            </w:r>
          </w:p>
        </w:tc>
        <w:tc>
          <w:tcPr>
            <w:tcW w:w="655" w:type="dxa"/>
            <w:vAlign w:val="center"/>
          </w:tcPr>
          <w:p w14:paraId="26BC8DB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12" w:type="dxa"/>
            <w:vAlign w:val="center"/>
          </w:tcPr>
          <w:p w14:paraId="2A95E3F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15.00</w:t>
            </w:r>
          </w:p>
        </w:tc>
        <w:tc>
          <w:tcPr>
            <w:tcW w:w="710" w:type="dxa"/>
            <w:vAlign w:val="center"/>
          </w:tcPr>
          <w:p w14:paraId="5356B0C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5562DE" w14:paraId="1593E0CE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0C7F888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3A5173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80B4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165" w:type="dxa"/>
            <w:vAlign w:val="center"/>
          </w:tcPr>
          <w:p w14:paraId="7B5526B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CBA18D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105.00</w:t>
            </w:r>
          </w:p>
        </w:tc>
        <w:tc>
          <w:tcPr>
            <w:tcW w:w="1022" w:type="dxa"/>
            <w:vAlign w:val="center"/>
          </w:tcPr>
          <w:p w14:paraId="5A58918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moderate</w:t>
            </w:r>
          </w:p>
        </w:tc>
        <w:tc>
          <w:tcPr>
            <w:tcW w:w="998" w:type="dxa"/>
            <w:vAlign w:val="center"/>
          </w:tcPr>
          <w:p w14:paraId="12D4C21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0725B29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12" w:type="dxa"/>
            <w:vAlign w:val="center"/>
          </w:tcPr>
          <w:p w14:paraId="4C41D97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center"/>
          </w:tcPr>
          <w:p w14:paraId="1541BA4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5562DE" w14:paraId="0BC71459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6523FC5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094E76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E4B0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1711725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5C0D7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105.00</w:t>
            </w:r>
          </w:p>
        </w:tc>
        <w:tc>
          <w:tcPr>
            <w:tcW w:w="1022" w:type="dxa"/>
            <w:vAlign w:val="center"/>
          </w:tcPr>
          <w:p w14:paraId="4D7D0E8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moderate</w:t>
            </w:r>
          </w:p>
        </w:tc>
        <w:tc>
          <w:tcPr>
            <w:tcW w:w="998" w:type="dxa"/>
            <w:vAlign w:val="center"/>
          </w:tcPr>
          <w:p w14:paraId="51A346C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7FDE41A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12" w:type="dxa"/>
            <w:vAlign w:val="center"/>
          </w:tcPr>
          <w:p w14:paraId="0C89F1A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3.00</w:t>
            </w:r>
          </w:p>
        </w:tc>
        <w:tc>
          <w:tcPr>
            <w:tcW w:w="710" w:type="dxa"/>
            <w:vAlign w:val="center"/>
          </w:tcPr>
          <w:p w14:paraId="23082D8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336</w:t>
            </w:r>
          </w:p>
        </w:tc>
      </w:tr>
      <w:tr w:rsidR="005562DE" w14:paraId="7A3F7D65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6F64435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47761F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68ED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165" w:type="dxa"/>
            <w:vAlign w:val="center"/>
          </w:tcPr>
          <w:p w14:paraId="67D35C1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8009B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122.00</w:t>
            </w:r>
          </w:p>
        </w:tc>
        <w:tc>
          <w:tcPr>
            <w:tcW w:w="1022" w:type="dxa"/>
            <w:vAlign w:val="center"/>
          </w:tcPr>
          <w:p w14:paraId="7500750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moderate</w:t>
            </w:r>
          </w:p>
        </w:tc>
        <w:tc>
          <w:tcPr>
            <w:tcW w:w="998" w:type="dxa"/>
            <w:vAlign w:val="center"/>
          </w:tcPr>
          <w:p w14:paraId="2D96BAC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0A883C5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12" w:type="dxa"/>
            <w:vAlign w:val="center"/>
          </w:tcPr>
          <w:p w14:paraId="277F732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10.00</w:t>
            </w:r>
          </w:p>
        </w:tc>
        <w:tc>
          <w:tcPr>
            <w:tcW w:w="710" w:type="dxa"/>
            <w:vAlign w:val="center"/>
          </w:tcPr>
          <w:p w14:paraId="5F70823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240</w:t>
            </w:r>
          </w:p>
        </w:tc>
      </w:tr>
      <w:tr w:rsidR="005562DE" w14:paraId="4E4B6864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70BA859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A42CC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795C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2A1AD7C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D5B6C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127.00</w:t>
            </w:r>
          </w:p>
        </w:tc>
        <w:tc>
          <w:tcPr>
            <w:tcW w:w="1022" w:type="dxa"/>
            <w:vAlign w:val="center"/>
          </w:tcPr>
          <w:p w14:paraId="3BD0D77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55E5CEE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6C3F97B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5EABFD8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5.00</w:t>
            </w:r>
          </w:p>
        </w:tc>
        <w:tc>
          <w:tcPr>
            <w:tcW w:w="710" w:type="dxa"/>
            <w:vAlign w:val="center"/>
          </w:tcPr>
          <w:p w14:paraId="0729165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5562DE" w14:paraId="30FBF319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3DF09B2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7DAE7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9AF00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64F6625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B27160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126.00</w:t>
            </w:r>
          </w:p>
        </w:tc>
        <w:tc>
          <w:tcPr>
            <w:tcW w:w="1022" w:type="dxa"/>
            <w:vAlign w:val="center"/>
          </w:tcPr>
          <w:p w14:paraId="0585828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6DEE644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Accident</w:t>
            </w:r>
          </w:p>
        </w:tc>
        <w:tc>
          <w:tcPr>
            <w:tcW w:w="655" w:type="dxa"/>
            <w:vAlign w:val="center"/>
          </w:tcPr>
          <w:p w14:paraId="6D89670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4B419D8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5.00</w:t>
            </w:r>
          </w:p>
        </w:tc>
        <w:tc>
          <w:tcPr>
            <w:tcW w:w="710" w:type="dxa"/>
            <w:vAlign w:val="center"/>
          </w:tcPr>
          <w:p w14:paraId="2F4624B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27A2451D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4CA9E5C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008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CE0685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EDCA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2D336B0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89DB12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84.00</w:t>
            </w:r>
          </w:p>
        </w:tc>
        <w:tc>
          <w:tcPr>
            <w:tcW w:w="1022" w:type="dxa"/>
            <w:vAlign w:val="center"/>
          </w:tcPr>
          <w:p w14:paraId="44A1F53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1448325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RTA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5" w:type="dxa"/>
            <w:vAlign w:val="center"/>
          </w:tcPr>
          <w:p w14:paraId="30C00FC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5329BC1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center"/>
          </w:tcPr>
          <w:p w14:paraId="032117F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05E4A067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17423B3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E650A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0B57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6E2E62C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4916B1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90.00</w:t>
            </w:r>
          </w:p>
        </w:tc>
        <w:tc>
          <w:tcPr>
            <w:tcW w:w="1022" w:type="dxa"/>
            <w:vAlign w:val="center"/>
          </w:tcPr>
          <w:p w14:paraId="59C69E6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33B8E7E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57A68CF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2B7AFB6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10.00</w:t>
            </w:r>
          </w:p>
        </w:tc>
        <w:tc>
          <w:tcPr>
            <w:tcW w:w="710" w:type="dxa"/>
            <w:vAlign w:val="center"/>
          </w:tcPr>
          <w:p w14:paraId="280C960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3B21D792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2EEA4DA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DB30A3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CB3E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165" w:type="dxa"/>
            <w:vAlign w:val="center"/>
          </w:tcPr>
          <w:p w14:paraId="7EAF8F5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01B13A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118.00</w:t>
            </w:r>
          </w:p>
        </w:tc>
        <w:tc>
          <w:tcPr>
            <w:tcW w:w="1022" w:type="dxa"/>
            <w:vAlign w:val="center"/>
          </w:tcPr>
          <w:p w14:paraId="19CE1B6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12FF070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5CBE717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1114943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center"/>
          </w:tcPr>
          <w:p w14:paraId="5D87BB1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5562DE" w14:paraId="12DABE99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1C57D0E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FF732F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A4AB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7DC283A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42CBF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106.00</w:t>
            </w:r>
          </w:p>
        </w:tc>
        <w:tc>
          <w:tcPr>
            <w:tcW w:w="1022" w:type="dxa"/>
            <w:vAlign w:val="center"/>
          </w:tcPr>
          <w:p w14:paraId="5F983C5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6E4ECAF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Assault</w:t>
            </w:r>
          </w:p>
        </w:tc>
        <w:tc>
          <w:tcPr>
            <w:tcW w:w="655" w:type="dxa"/>
            <w:vAlign w:val="center"/>
          </w:tcPr>
          <w:p w14:paraId="5FCE246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02574AD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3.00</w:t>
            </w:r>
          </w:p>
        </w:tc>
        <w:tc>
          <w:tcPr>
            <w:tcW w:w="710" w:type="dxa"/>
            <w:vAlign w:val="center"/>
          </w:tcPr>
          <w:p w14:paraId="69DE5E7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128D8D62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6CCEA30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E50831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C2748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1BFE4BF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B44D0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102.00</w:t>
            </w:r>
          </w:p>
        </w:tc>
        <w:tc>
          <w:tcPr>
            <w:tcW w:w="1022" w:type="dxa"/>
            <w:vAlign w:val="center"/>
          </w:tcPr>
          <w:p w14:paraId="70FB9BF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7F9A78A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Assault</w:t>
            </w:r>
          </w:p>
        </w:tc>
        <w:tc>
          <w:tcPr>
            <w:tcW w:w="655" w:type="dxa"/>
            <w:vAlign w:val="center"/>
          </w:tcPr>
          <w:p w14:paraId="6414055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6F1EF1D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5.00</w:t>
            </w:r>
          </w:p>
        </w:tc>
        <w:tc>
          <w:tcPr>
            <w:tcW w:w="710" w:type="dxa"/>
            <w:vAlign w:val="center"/>
          </w:tcPr>
          <w:p w14:paraId="1130A74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48768C70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5B75AC7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C67009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F72A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682D846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53D04D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105.00</w:t>
            </w:r>
          </w:p>
        </w:tc>
        <w:tc>
          <w:tcPr>
            <w:tcW w:w="1022" w:type="dxa"/>
            <w:vAlign w:val="center"/>
          </w:tcPr>
          <w:p w14:paraId="00EF600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7A43E80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Assault</w:t>
            </w:r>
          </w:p>
        </w:tc>
        <w:tc>
          <w:tcPr>
            <w:tcW w:w="655" w:type="dxa"/>
            <w:vAlign w:val="center"/>
          </w:tcPr>
          <w:p w14:paraId="1A29153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351F6E5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710" w:type="dxa"/>
            <w:vAlign w:val="center"/>
          </w:tcPr>
          <w:p w14:paraId="11D8E28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0EFE982E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06F67E2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952735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07E6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165" w:type="dxa"/>
            <w:vAlign w:val="center"/>
          </w:tcPr>
          <w:p w14:paraId="189E9B3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7B5B71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117.00</w:t>
            </w:r>
          </w:p>
        </w:tc>
        <w:tc>
          <w:tcPr>
            <w:tcW w:w="1022" w:type="dxa"/>
            <w:vAlign w:val="center"/>
          </w:tcPr>
          <w:p w14:paraId="313CED7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096E52A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6865D6D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712" w:type="dxa"/>
            <w:vAlign w:val="center"/>
          </w:tcPr>
          <w:p w14:paraId="25F0C25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5.00</w:t>
            </w:r>
          </w:p>
        </w:tc>
        <w:tc>
          <w:tcPr>
            <w:tcW w:w="710" w:type="dxa"/>
            <w:vAlign w:val="center"/>
          </w:tcPr>
          <w:p w14:paraId="205C463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5562DE" w14:paraId="08F5605C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5820DB4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F88FFF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0AA6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165" w:type="dxa"/>
            <w:vAlign w:val="center"/>
          </w:tcPr>
          <w:p w14:paraId="71252A9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9E0F85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90.00</w:t>
            </w:r>
          </w:p>
        </w:tc>
        <w:tc>
          <w:tcPr>
            <w:tcW w:w="1022" w:type="dxa"/>
            <w:vAlign w:val="center"/>
          </w:tcPr>
          <w:p w14:paraId="06A5097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0469C40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6890E15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19214F9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710" w:type="dxa"/>
            <w:vAlign w:val="center"/>
          </w:tcPr>
          <w:p w14:paraId="2DF772A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5562DE" w14:paraId="13BD82F3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487E630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3AA6A9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9367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613C6CB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623ACB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84.00</w:t>
            </w:r>
          </w:p>
        </w:tc>
        <w:tc>
          <w:tcPr>
            <w:tcW w:w="1022" w:type="dxa"/>
            <w:vAlign w:val="center"/>
          </w:tcPr>
          <w:p w14:paraId="01A64C4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63C8875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RTA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5" w:type="dxa"/>
            <w:vAlign w:val="center"/>
          </w:tcPr>
          <w:p w14:paraId="1EFE29F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179CE7F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center"/>
          </w:tcPr>
          <w:p w14:paraId="797B8C2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5562DE" w14:paraId="721A01CA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68556DA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05BB30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FB87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2F85359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465420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106.00</w:t>
            </w:r>
          </w:p>
        </w:tc>
        <w:tc>
          <w:tcPr>
            <w:tcW w:w="1022" w:type="dxa"/>
            <w:vAlign w:val="center"/>
          </w:tcPr>
          <w:p w14:paraId="5BA23F5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7A65973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26662CC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38D0E9C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center"/>
          </w:tcPr>
          <w:p w14:paraId="41A500B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77733301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6AC385E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018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9F437B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9868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5D7A9AD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3942ED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111.00</w:t>
            </w:r>
          </w:p>
        </w:tc>
        <w:tc>
          <w:tcPr>
            <w:tcW w:w="1022" w:type="dxa"/>
            <w:vAlign w:val="center"/>
          </w:tcPr>
          <w:p w14:paraId="26D588B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68EA4DB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Accident</w:t>
            </w:r>
          </w:p>
        </w:tc>
        <w:tc>
          <w:tcPr>
            <w:tcW w:w="655" w:type="dxa"/>
            <w:vAlign w:val="center"/>
          </w:tcPr>
          <w:p w14:paraId="7FB5182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616CC83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710" w:type="dxa"/>
            <w:vAlign w:val="center"/>
          </w:tcPr>
          <w:p w14:paraId="2548DDD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7E4E7696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1978AC8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7F273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10F62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37BEEE7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CFE21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92.00</w:t>
            </w:r>
          </w:p>
        </w:tc>
        <w:tc>
          <w:tcPr>
            <w:tcW w:w="1022" w:type="dxa"/>
            <w:vAlign w:val="center"/>
          </w:tcPr>
          <w:p w14:paraId="6C224EE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7B3A8C2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Assault</w:t>
            </w:r>
          </w:p>
        </w:tc>
        <w:tc>
          <w:tcPr>
            <w:tcW w:w="655" w:type="dxa"/>
            <w:vAlign w:val="center"/>
          </w:tcPr>
          <w:p w14:paraId="101F748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21C6607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710" w:type="dxa"/>
            <w:vAlign w:val="center"/>
          </w:tcPr>
          <w:p w14:paraId="526EC37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00058E63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2328531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D07E00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2A94D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069C87E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E153D5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94.00</w:t>
            </w:r>
          </w:p>
        </w:tc>
        <w:tc>
          <w:tcPr>
            <w:tcW w:w="1022" w:type="dxa"/>
            <w:vAlign w:val="center"/>
          </w:tcPr>
          <w:p w14:paraId="4FDF2FC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403A060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Assault</w:t>
            </w:r>
          </w:p>
        </w:tc>
        <w:tc>
          <w:tcPr>
            <w:tcW w:w="655" w:type="dxa"/>
            <w:vAlign w:val="center"/>
          </w:tcPr>
          <w:p w14:paraId="0D06B8C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55EB698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center"/>
          </w:tcPr>
          <w:p w14:paraId="433C6BE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5562DE" w14:paraId="5B84B336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7034284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FA347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BB86A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7D28C0A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74A62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97.00</w:t>
            </w:r>
          </w:p>
        </w:tc>
        <w:tc>
          <w:tcPr>
            <w:tcW w:w="1022" w:type="dxa"/>
            <w:vAlign w:val="center"/>
          </w:tcPr>
          <w:p w14:paraId="5917295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689AD70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17375C1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14:paraId="41D4BB9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center"/>
          </w:tcPr>
          <w:p w14:paraId="192C820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1B45452E" w14:textId="77777777" w:rsidTr="00A70C43">
        <w:trPr>
          <w:trHeight w:val="400"/>
        </w:trPr>
        <w:tc>
          <w:tcPr>
            <w:tcW w:w="815" w:type="dxa"/>
            <w:shd w:val="clear" w:color="auto" w:fill="auto"/>
            <w:vAlign w:val="center"/>
          </w:tcPr>
          <w:p w14:paraId="0CDBFDB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EA0A91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4F61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vAlign w:val="center"/>
          </w:tcPr>
          <w:p w14:paraId="1BE16C2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FEFCE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117.00</w:t>
            </w:r>
          </w:p>
        </w:tc>
        <w:tc>
          <w:tcPr>
            <w:tcW w:w="1022" w:type="dxa"/>
            <w:vAlign w:val="center"/>
          </w:tcPr>
          <w:p w14:paraId="1E399AA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vAlign w:val="center"/>
          </w:tcPr>
          <w:p w14:paraId="22EF36B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Fall</w:t>
            </w:r>
          </w:p>
        </w:tc>
        <w:tc>
          <w:tcPr>
            <w:tcW w:w="655" w:type="dxa"/>
            <w:vAlign w:val="center"/>
          </w:tcPr>
          <w:p w14:paraId="4E11C9F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vAlign w:val="center"/>
          </w:tcPr>
          <w:p w14:paraId="1B7ED6C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710" w:type="dxa"/>
            <w:vAlign w:val="center"/>
          </w:tcPr>
          <w:p w14:paraId="6C01C73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5562DE" w14:paraId="54D7A972" w14:textId="77777777" w:rsidTr="00A70C43">
        <w:trPr>
          <w:trHeight w:val="400"/>
        </w:trPr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BBD4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023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8C57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BAE4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1238FFE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BD35C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113.00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vAlign w:val="center"/>
          </w:tcPr>
          <w:p w14:paraId="08C4F86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mild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07792FA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Sport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14:paraId="4F24E22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14:paraId="55056BA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0.50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C00C6C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</w:tbl>
    <w:p w14:paraId="708C67BB" w14:textId="77777777" w:rsidR="005562DE" w:rsidRDefault="005562DE" w:rsidP="005562D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RTA – Road Traffic Accident</w:t>
      </w:r>
    </w:p>
    <w:p w14:paraId="557471A9" w14:textId="77777777" w:rsidR="005562DE" w:rsidRDefault="005562DE" w:rsidP="005562DE">
      <w:pPr>
        <w:rPr>
          <w:sz w:val="18"/>
          <w:szCs w:val="18"/>
        </w:rPr>
      </w:pPr>
      <w:r>
        <w:br w:type="page"/>
      </w:r>
    </w:p>
    <w:p w14:paraId="6F393CA1" w14:textId="6B00C973" w:rsidR="005562DE" w:rsidRDefault="005562DE" w:rsidP="005562DE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Table </w:t>
      </w:r>
      <w:r w:rsidR="00074CC1">
        <w:rPr>
          <w:rFonts w:ascii="Calibri" w:eastAsia="Calibri" w:hAnsi="Calibri" w:cs="Calibri"/>
          <w:b/>
          <w:sz w:val="20"/>
          <w:szCs w:val="20"/>
        </w:rPr>
        <w:t>S</w:t>
      </w:r>
      <w:r>
        <w:rPr>
          <w:rFonts w:ascii="Calibri" w:eastAsia="Calibri" w:hAnsi="Calibri" w:cs="Calibri"/>
          <w:b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 xml:space="preserve"> Clinical data of each control assessed in this study.</w:t>
      </w:r>
    </w:p>
    <w:tbl>
      <w:tblPr>
        <w:tblW w:w="8313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1661"/>
        <w:gridCol w:w="1664"/>
        <w:gridCol w:w="1663"/>
        <w:gridCol w:w="1663"/>
      </w:tblGrid>
      <w:tr w:rsidR="005562DE" w14:paraId="47312838" w14:textId="77777777" w:rsidTr="00A70C43">
        <w:trPr>
          <w:trHeight w:val="400"/>
        </w:trPr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7DD5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Control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52CEA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E0500" w14:textId="1A4D1BD7" w:rsidR="005562DE" w:rsidRDefault="00994146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Sex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vAlign w:val="center"/>
          </w:tcPr>
          <w:p w14:paraId="2AA2D44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Level of Education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6644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NART</w:t>
            </w:r>
          </w:p>
        </w:tc>
      </w:tr>
      <w:tr w:rsidR="005562DE" w14:paraId="0CE903EB" w14:textId="77777777" w:rsidTr="00A70C43">
        <w:trPr>
          <w:trHeight w:val="400"/>
        </w:trPr>
        <w:tc>
          <w:tcPr>
            <w:tcW w:w="166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3E0C9E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001</w:t>
            </w:r>
          </w:p>
        </w:tc>
        <w:tc>
          <w:tcPr>
            <w:tcW w:w="16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AF844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66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572894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tcBorders>
              <w:top w:val="single" w:sz="4" w:space="0" w:color="000000"/>
            </w:tcBorders>
            <w:vAlign w:val="bottom"/>
          </w:tcPr>
          <w:p w14:paraId="760A7CA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B5D148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86.00</w:t>
            </w:r>
          </w:p>
        </w:tc>
      </w:tr>
      <w:tr w:rsidR="005562DE" w14:paraId="72DFFB17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6247FA6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002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7E5F204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2267421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6E5EC8E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54E961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105.00</w:t>
            </w:r>
          </w:p>
        </w:tc>
      </w:tr>
      <w:tr w:rsidR="005562DE" w14:paraId="15406AF3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15B0974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003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32A8EE7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15D20DE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663" w:type="dxa"/>
            <w:vAlign w:val="bottom"/>
          </w:tcPr>
          <w:p w14:paraId="366B036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26E1C4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113.00</w:t>
            </w:r>
          </w:p>
        </w:tc>
      </w:tr>
      <w:tr w:rsidR="005562DE" w14:paraId="1F28C791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6353AFD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004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1C8E84F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229066E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18C87DF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E95429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123.00</w:t>
            </w:r>
          </w:p>
        </w:tc>
      </w:tr>
      <w:tr w:rsidR="005562DE" w14:paraId="510388A9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7A7CD34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005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21C311B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538B136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1974880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6922E3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115.00</w:t>
            </w:r>
          </w:p>
        </w:tc>
      </w:tr>
      <w:tr w:rsidR="005562DE" w14:paraId="2EB5F331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0F9E9A5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006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529367A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7BFD258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3996539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57107DC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107.00</w:t>
            </w:r>
          </w:p>
        </w:tc>
      </w:tr>
      <w:tr w:rsidR="005562DE" w14:paraId="73B8B298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153F659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007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3C29DE1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2D3A496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301F234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59A18D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107.00</w:t>
            </w:r>
          </w:p>
        </w:tc>
      </w:tr>
      <w:tr w:rsidR="005562DE" w14:paraId="6CE6B7B4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0FA8690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008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4AD21C7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799AE2C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45FB25E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EE972D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115.00</w:t>
            </w:r>
          </w:p>
        </w:tc>
      </w:tr>
      <w:tr w:rsidR="005562DE" w14:paraId="7933C5B9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6A22774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009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4747384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1248142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663" w:type="dxa"/>
            <w:vAlign w:val="bottom"/>
          </w:tcPr>
          <w:p w14:paraId="7239F3C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449404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121.00</w:t>
            </w:r>
          </w:p>
        </w:tc>
      </w:tr>
      <w:tr w:rsidR="005562DE" w14:paraId="2320EC7D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5235338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5E07B76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6914156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4285FD9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95E564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106.00</w:t>
            </w:r>
          </w:p>
        </w:tc>
      </w:tr>
      <w:tr w:rsidR="005562DE" w14:paraId="3E7C5FC6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411D333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184229C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3D49B9F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663" w:type="dxa"/>
            <w:vAlign w:val="bottom"/>
          </w:tcPr>
          <w:p w14:paraId="5070308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B0308F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97.00</w:t>
            </w:r>
          </w:p>
        </w:tc>
      </w:tr>
      <w:tr w:rsidR="005562DE" w14:paraId="1080F449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4472F9A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012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09DF995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620B52A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676E067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2FBC9F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117.00</w:t>
            </w:r>
          </w:p>
        </w:tc>
      </w:tr>
      <w:tr w:rsidR="005562DE" w14:paraId="003D0305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3E28544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013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2C36551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3B6BA57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2BB7394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F1CD5A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107.00</w:t>
            </w:r>
          </w:p>
        </w:tc>
      </w:tr>
      <w:tr w:rsidR="005562DE" w14:paraId="1734340F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3FA995C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014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67E2FD2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0A15D86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663" w:type="dxa"/>
            <w:vAlign w:val="bottom"/>
          </w:tcPr>
          <w:p w14:paraId="031C5D4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7232856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107.00</w:t>
            </w:r>
          </w:p>
        </w:tc>
      </w:tr>
      <w:tr w:rsidR="005562DE" w14:paraId="71A8225C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48BDEF0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015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3988AA2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4AF376C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791F778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739060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112.00</w:t>
            </w:r>
          </w:p>
        </w:tc>
      </w:tr>
      <w:tr w:rsidR="005562DE" w14:paraId="650212CA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5A3B26F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016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2A53DCF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6E51429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3E7406D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437A00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115.00</w:t>
            </w:r>
          </w:p>
        </w:tc>
      </w:tr>
      <w:tr w:rsidR="005562DE" w14:paraId="5EB411AD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1B97B3B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017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25D62F4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24E0685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500EEE1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67D12CE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115.00</w:t>
            </w:r>
          </w:p>
        </w:tc>
      </w:tr>
      <w:tr w:rsidR="005562DE" w14:paraId="6C2F6C01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3D16F47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018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34AC375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4DD2F4F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310CA01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C657B1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117.00</w:t>
            </w:r>
          </w:p>
        </w:tc>
      </w:tr>
      <w:tr w:rsidR="005562DE" w14:paraId="539BF088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724F55F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019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68A23C2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32EA600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6473182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E71822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113.00</w:t>
            </w:r>
          </w:p>
        </w:tc>
      </w:tr>
      <w:tr w:rsidR="005562DE" w14:paraId="1B958D91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206778B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3C8F8A4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69B8B8A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6E90F05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960A48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115.00</w:t>
            </w:r>
          </w:p>
        </w:tc>
      </w:tr>
      <w:tr w:rsidR="005562DE" w14:paraId="575BFDB8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5364AD1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021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58506A9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201742D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376CB76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60C3ECB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112.00</w:t>
            </w:r>
          </w:p>
        </w:tc>
      </w:tr>
      <w:tr w:rsidR="005562DE" w14:paraId="29C69955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7F21574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022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3D1D498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279AB60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7547142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2DCC03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100.00</w:t>
            </w:r>
          </w:p>
        </w:tc>
      </w:tr>
      <w:tr w:rsidR="005562DE" w14:paraId="4E1B9ACE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42F510D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023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4E9311F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7B24399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663" w:type="dxa"/>
            <w:vAlign w:val="bottom"/>
          </w:tcPr>
          <w:p w14:paraId="37C25D6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3686028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96.00</w:t>
            </w:r>
          </w:p>
        </w:tc>
      </w:tr>
      <w:tr w:rsidR="005562DE" w14:paraId="52B630F8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140EBFA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024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14DB5C5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3E71191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13DC71C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0B04D04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121.00</w:t>
            </w:r>
          </w:p>
        </w:tc>
      </w:tr>
      <w:tr w:rsidR="005562DE" w14:paraId="3E3A7631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32816E6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025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2A74B31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5A066A9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4335084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648ADC8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117.00</w:t>
            </w:r>
          </w:p>
        </w:tc>
      </w:tr>
      <w:tr w:rsidR="005562DE" w14:paraId="3CF4CA4F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63D4FF2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026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7D4D74B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1F82E8B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7C25BD4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4EDADA4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106.00</w:t>
            </w:r>
          </w:p>
        </w:tc>
      </w:tr>
      <w:tr w:rsidR="005562DE" w14:paraId="6E71060D" w14:textId="77777777" w:rsidTr="00A70C43">
        <w:trPr>
          <w:trHeight w:val="400"/>
        </w:trPr>
        <w:tc>
          <w:tcPr>
            <w:tcW w:w="1662" w:type="dxa"/>
            <w:shd w:val="clear" w:color="auto" w:fill="auto"/>
            <w:vAlign w:val="bottom"/>
          </w:tcPr>
          <w:p w14:paraId="1601FD7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027</w:t>
            </w:r>
          </w:p>
        </w:tc>
        <w:tc>
          <w:tcPr>
            <w:tcW w:w="1661" w:type="dxa"/>
            <w:shd w:val="clear" w:color="auto" w:fill="auto"/>
            <w:vAlign w:val="bottom"/>
          </w:tcPr>
          <w:p w14:paraId="65664E2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20D0C1F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3" w:type="dxa"/>
            <w:vAlign w:val="bottom"/>
          </w:tcPr>
          <w:p w14:paraId="03AD5F5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63" w:type="dxa"/>
            <w:shd w:val="clear" w:color="auto" w:fill="auto"/>
            <w:vAlign w:val="bottom"/>
          </w:tcPr>
          <w:p w14:paraId="2D2E90AD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113.00</w:t>
            </w:r>
          </w:p>
        </w:tc>
      </w:tr>
      <w:tr w:rsidR="005562DE" w14:paraId="0CD9A629" w14:textId="77777777" w:rsidTr="00A70C43">
        <w:trPr>
          <w:trHeight w:val="400"/>
        </w:trPr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020C5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028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9F795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FEA00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vAlign w:val="bottom"/>
          </w:tcPr>
          <w:p w14:paraId="394DEBE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60FD1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111.00</w:t>
            </w:r>
          </w:p>
        </w:tc>
      </w:tr>
    </w:tbl>
    <w:p w14:paraId="14C827DF" w14:textId="77777777" w:rsidR="005562DE" w:rsidRDefault="005562DE" w:rsidP="005562DE">
      <w:pPr>
        <w:spacing w:line="340" w:lineRule="auto"/>
        <w:rPr>
          <w:b/>
        </w:rPr>
      </w:pPr>
    </w:p>
    <w:p w14:paraId="5DAE5998" w14:textId="77777777" w:rsidR="005562DE" w:rsidRDefault="005562DE" w:rsidP="005562DE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04B01648" w14:textId="3FF5F083" w:rsidR="005562DE" w:rsidRDefault="00074CC1" w:rsidP="005562DE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Table S4</w:t>
      </w:r>
      <w:r w:rsidR="005562DE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5562DE">
        <w:rPr>
          <w:rFonts w:ascii="Calibri" w:eastAsia="Calibri" w:hAnsi="Calibri" w:cs="Calibri"/>
          <w:sz w:val="20"/>
          <w:szCs w:val="20"/>
        </w:rPr>
        <w:t>List presenting the network metrics used in this study to quantify network segregation, integration, resilience and centrality.</w:t>
      </w:r>
    </w:p>
    <w:tbl>
      <w:tblPr>
        <w:tblW w:w="8303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9"/>
        <w:gridCol w:w="4164"/>
      </w:tblGrid>
      <w:tr w:rsidR="005562DE" w14:paraId="72647928" w14:textId="77777777" w:rsidTr="00A70C43">
        <w:trPr>
          <w:trHeight w:val="400"/>
        </w:trPr>
        <w:tc>
          <w:tcPr>
            <w:tcW w:w="41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2537782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Segregation</w:t>
            </w:r>
          </w:p>
        </w:tc>
        <w:tc>
          <w:tcPr>
            <w:tcW w:w="41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1CAEA4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Transitivity</w:t>
            </w:r>
          </w:p>
        </w:tc>
      </w:tr>
      <w:tr w:rsidR="005562DE" w14:paraId="22E61213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388DA7C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3290B5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Average Clustering Coefficient</w:t>
            </w:r>
          </w:p>
        </w:tc>
      </w:tr>
      <w:tr w:rsidR="005562DE" w14:paraId="2A8F4552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F501DB8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910C3C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 Clustering Coefficient</w:t>
            </w:r>
          </w:p>
        </w:tc>
      </w:tr>
      <w:tr w:rsidR="005562DE" w14:paraId="3749EF87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632771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ECECEC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 Efficiency</w:t>
            </w:r>
          </w:p>
        </w:tc>
      </w:tr>
      <w:tr w:rsidR="005562DE" w14:paraId="24F9EA86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A76E70F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E8AFC33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Small-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worldness</w:t>
            </w:r>
            <w:proofErr w:type="spellEnd"/>
          </w:p>
        </w:tc>
      </w:tr>
      <w:tr w:rsidR="005562DE" w14:paraId="60F1B942" w14:textId="77777777" w:rsidTr="00A70C43">
        <w:trPr>
          <w:trHeight w:val="400"/>
        </w:trPr>
        <w:tc>
          <w:tcPr>
            <w:tcW w:w="41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A6E0C9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Integration</w:t>
            </w:r>
          </w:p>
        </w:tc>
        <w:tc>
          <w:tcPr>
            <w:tcW w:w="41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0A4B25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Characteristic Path Length</w:t>
            </w:r>
          </w:p>
        </w:tc>
      </w:tr>
      <w:tr w:rsidR="005562DE" w14:paraId="5453D3AC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5D0BB1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9662A9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Global Efficiency</w:t>
            </w:r>
          </w:p>
        </w:tc>
      </w:tr>
      <w:tr w:rsidR="005562DE" w14:paraId="07AD6B53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EEC4514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922D0B4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Small-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worldness</w:t>
            </w:r>
            <w:proofErr w:type="spellEnd"/>
          </w:p>
        </w:tc>
      </w:tr>
      <w:tr w:rsidR="005562DE" w14:paraId="63E919A6" w14:textId="77777777" w:rsidTr="00A70C43">
        <w:trPr>
          <w:trHeight w:val="400"/>
        </w:trPr>
        <w:tc>
          <w:tcPr>
            <w:tcW w:w="41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FB1224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Resilience</w:t>
            </w:r>
          </w:p>
        </w:tc>
        <w:tc>
          <w:tcPr>
            <w:tcW w:w="41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F3B165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Assortativity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Coefficient</w:t>
            </w:r>
          </w:p>
        </w:tc>
      </w:tr>
      <w:tr w:rsidR="005562DE" w14:paraId="4AC9B9B1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089EAB9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5FE6085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Assortativity</w:t>
            </w:r>
            <w:proofErr w:type="spellEnd"/>
          </w:p>
        </w:tc>
      </w:tr>
      <w:tr w:rsidR="005562DE" w14:paraId="3C4B5D1A" w14:textId="77777777" w:rsidTr="00A70C43">
        <w:trPr>
          <w:trHeight w:val="400"/>
        </w:trPr>
        <w:tc>
          <w:tcPr>
            <w:tcW w:w="41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E58568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Centrality</w:t>
            </w:r>
          </w:p>
        </w:tc>
        <w:tc>
          <w:tcPr>
            <w:tcW w:w="41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3BB2E8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Closeness</w:t>
            </w:r>
          </w:p>
        </w:tc>
      </w:tr>
      <w:tr w:rsidR="005562DE" w14:paraId="4348FEDF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3F7ACC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56C178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Betweenness</w:t>
            </w:r>
          </w:p>
        </w:tc>
      </w:tr>
      <w:tr w:rsidR="005562DE" w14:paraId="4CF9B16D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668887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9082E1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Eigenvector</w:t>
            </w:r>
          </w:p>
        </w:tc>
      </w:tr>
      <w:tr w:rsidR="005562DE" w14:paraId="3A0C7EBA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188B93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AF4C3D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Page-Ranks</w:t>
            </w:r>
          </w:p>
        </w:tc>
      </w:tr>
      <w:tr w:rsidR="005562DE" w14:paraId="0E3A33CC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C6672C0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14CE6AC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Eccentricity</w:t>
            </w:r>
          </w:p>
        </w:tc>
      </w:tr>
      <w:tr w:rsidR="005562DE" w14:paraId="14ACDA07" w14:textId="77777777" w:rsidTr="00A70C43">
        <w:trPr>
          <w:trHeight w:val="400"/>
        </w:trPr>
        <w:tc>
          <w:tcPr>
            <w:tcW w:w="413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9E1CE62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Basic</w:t>
            </w:r>
          </w:p>
        </w:tc>
        <w:tc>
          <w:tcPr>
            <w:tcW w:w="41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B76510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Strength</w:t>
            </w:r>
          </w:p>
        </w:tc>
      </w:tr>
      <w:tr w:rsidR="005562DE" w14:paraId="232EC9A1" w14:textId="77777777" w:rsidTr="00A70C43">
        <w:trPr>
          <w:trHeight w:val="400"/>
        </w:trPr>
        <w:tc>
          <w:tcPr>
            <w:tcW w:w="41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634EF65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7D0E003" w14:textId="77777777" w:rsidR="005562DE" w:rsidRDefault="005562DE" w:rsidP="00A70C43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Diameter</w:t>
            </w:r>
          </w:p>
        </w:tc>
      </w:tr>
    </w:tbl>
    <w:p w14:paraId="54F9E6C0" w14:textId="77777777" w:rsidR="005562DE" w:rsidRDefault="005562DE" w:rsidP="005562DE">
      <w:pPr>
        <w:rPr>
          <w:b/>
          <w:sz w:val="28"/>
          <w:szCs w:val="28"/>
        </w:rPr>
      </w:pPr>
    </w:p>
    <w:p w14:paraId="1216359C" w14:textId="77777777" w:rsidR="005562DE" w:rsidRDefault="005562DE" w:rsidP="005562DE">
      <w:pPr>
        <w:rPr>
          <w:sz w:val="18"/>
          <w:szCs w:val="18"/>
        </w:rPr>
      </w:pPr>
      <w:r>
        <w:br w:type="page"/>
      </w:r>
    </w:p>
    <w:p w14:paraId="79135DB0" w14:textId="23C0093A" w:rsidR="005562DE" w:rsidRDefault="00074CC1" w:rsidP="005562DE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Table S5</w:t>
      </w:r>
      <w:bookmarkStart w:id="0" w:name="_GoBack"/>
      <w:bookmarkEnd w:id="0"/>
      <w:r w:rsidR="005562DE">
        <w:rPr>
          <w:rFonts w:ascii="Calibri" w:eastAsia="Calibri" w:hAnsi="Calibri" w:cs="Calibri"/>
          <w:b/>
          <w:sz w:val="20"/>
          <w:szCs w:val="20"/>
        </w:rPr>
        <w:t>.</w:t>
      </w:r>
      <w:r w:rsidR="005562DE">
        <w:rPr>
          <w:rFonts w:ascii="Calibri" w:eastAsia="Calibri" w:hAnsi="Calibri" w:cs="Calibri"/>
          <w:sz w:val="20"/>
          <w:szCs w:val="20"/>
        </w:rPr>
        <w:t xml:space="preserve"> Standardized coefficients and p-values of eleven network metrics between 9 different regions, which change was predictive of cognitive performance following </w:t>
      </w:r>
      <w:proofErr w:type="spellStart"/>
      <w:r w:rsidR="005562DE">
        <w:rPr>
          <w:rFonts w:ascii="Calibri" w:eastAsia="Calibri" w:hAnsi="Calibri" w:cs="Calibri"/>
          <w:sz w:val="20"/>
          <w:szCs w:val="20"/>
        </w:rPr>
        <w:t>mTBI</w:t>
      </w:r>
      <w:proofErr w:type="spellEnd"/>
      <w:r w:rsidR="005562DE">
        <w:rPr>
          <w:rFonts w:ascii="Calibri" w:eastAsia="Calibri" w:hAnsi="Calibri" w:cs="Calibri"/>
          <w:sz w:val="20"/>
          <w:szCs w:val="20"/>
        </w:rPr>
        <w:t xml:space="preserve">. The last column present the Dice overlap of the Lesions Probability Map with the </w:t>
      </w:r>
      <w:proofErr w:type="gramStart"/>
      <w:r w:rsidR="005562DE">
        <w:rPr>
          <w:rFonts w:ascii="Calibri" w:eastAsia="Calibri" w:hAnsi="Calibri" w:cs="Calibri"/>
          <w:sz w:val="20"/>
          <w:szCs w:val="20"/>
        </w:rPr>
        <w:t>eleven network</w:t>
      </w:r>
      <w:proofErr w:type="gramEnd"/>
      <w:r w:rsidR="005562DE">
        <w:rPr>
          <w:rFonts w:ascii="Calibri" w:eastAsia="Calibri" w:hAnsi="Calibri" w:cs="Calibri"/>
          <w:sz w:val="20"/>
          <w:szCs w:val="20"/>
        </w:rPr>
        <w:t xml:space="preserve"> metrics.</w:t>
      </w:r>
    </w:p>
    <w:tbl>
      <w:tblPr>
        <w:tblW w:w="8313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2"/>
        <w:gridCol w:w="1662"/>
        <w:gridCol w:w="1663"/>
        <w:gridCol w:w="1663"/>
        <w:gridCol w:w="1663"/>
      </w:tblGrid>
      <w:tr w:rsidR="005562DE" w14:paraId="0B2D1AD9" w14:textId="77777777" w:rsidTr="00A70C43">
        <w:trPr>
          <w:trHeight w:val="580"/>
        </w:trPr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FE15B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AAL Region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49D4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Network metric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14C8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Coefficient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vAlign w:val="center"/>
          </w:tcPr>
          <w:p w14:paraId="7BC1E4A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p-value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vAlign w:val="center"/>
          </w:tcPr>
          <w:p w14:paraId="586DE66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Dice Overlap</w:t>
            </w:r>
          </w:p>
        </w:tc>
      </w:tr>
      <w:tr w:rsidR="005562DE" w14:paraId="4A80B903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5C6B9BF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Right Anterior Cingulum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4C631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Strength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88196C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-1.89</w:t>
            </w:r>
          </w:p>
        </w:tc>
        <w:tc>
          <w:tcPr>
            <w:tcW w:w="1663" w:type="dxa"/>
            <w:vAlign w:val="center"/>
          </w:tcPr>
          <w:p w14:paraId="5E82706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1663" w:type="dxa"/>
            <w:vAlign w:val="center"/>
          </w:tcPr>
          <w:p w14:paraId="4D1F72B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0.06</w:t>
            </w:r>
          </w:p>
        </w:tc>
      </w:tr>
      <w:tr w:rsidR="005562DE" w14:paraId="39AAD20B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47467C75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Right Orbital Superior Frontal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621829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Clustering Coefficient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E9B14B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0.74</w:t>
            </w:r>
          </w:p>
        </w:tc>
        <w:tc>
          <w:tcPr>
            <w:tcW w:w="1663" w:type="dxa"/>
            <w:vAlign w:val="center"/>
          </w:tcPr>
          <w:p w14:paraId="1E76D67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0.003</w:t>
            </w:r>
          </w:p>
        </w:tc>
        <w:tc>
          <w:tcPr>
            <w:tcW w:w="1663" w:type="dxa"/>
            <w:vAlign w:val="center"/>
          </w:tcPr>
          <w:p w14:paraId="500DBA2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0.11</w:t>
            </w:r>
          </w:p>
        </w:tc>
      </w:tr>
      <w:tr w:rsidR="005562DE" w14:paraId="1B8EA197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6948B71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Medial Superior Frontal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5A548B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 Efficiency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0E49B3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1.33</w:t>
            </w:r>
          </w:p>
        </w:tc>
        <w:tc>
          <w:tcPr>
            <w:tcW w:w="1663" w:type="dxa"/>
            <w:vAlign w:val="center"/>
          </w:tcPr>
          <w:p w14:paraId="6D240A1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1663" w:type="dxa"/>
            <w:vAlign w:val="center"/>
          </w:tcPr>
          <w:p w14:paraId="1AA3DE2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0.15</w:t>
            </w:r>
          </w:p>
        </w:tc>
      </w:tr>
      <w:tr w:rsidR="005562DE" w14:paraId="76DE581E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49D9D76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Orbital Superior Frontal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529511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Assortativity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14:paraId="5D182AC1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0.96</w:t>
            </w:r>
          </w:p>
        </w:tc>
        <w:tc>
          <w:tcPr>
            <w:tcW w:w="1663" w:type="dxa"/>
            <w:vAlign w:val="center"/>
          </w:tcPr>
          <w:p w14:paraId="032D1AB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1663" w:type="dxa"/>
            <w:vAlign w:val="center"/>
          </w:tcPr>
          <w:p w14:paraId="74658CF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0.14</w:t>
            </w:r>
          </w:p>
        </w:tc>
      </w:tr>
      <w:tr w:rsidR="005562DE" w14:paraId="5FE221FB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4AE76D0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Olfactory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4FC38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Assortativity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14:paraId="2E0CB4D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0.84</w:t>
            </w:r>
          </w:p>
        </w:tc>
        <w:tc>
          <w:tcPr>
            <w:tcW w:w="1663" w:type="dxa"/>
            <w:vAlign w:val="center"/>
          </w:tcPr>
          <w:p w14:paraId="38814DD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1663" w:type="dxa"/>
            <w:vAlign w:val="center"/>
          </w:tcPr>
          <w:p w14:paraId="539395A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0.01</w:t>
            </w:r>
          </w:p>
        </w:tc>
      </w:tr>
      <w:tr w:rsidR="005562DE" w14:paraId="28BCA99E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013E77F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Medial Superior Frontal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48E34F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Assortativity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14:paraId="6E93FFC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-2.02</w:t>
            </w:r>
          </w:p>
        </w:tc>
        <w:tc>
          <w:tcPr>
            <w:tcW w:w="1663" w:type="dxa"/>
            <w:vAlign w:val="center"/>
          </w:tcPr>
          <w:p w14:paraId="3EC8D5EE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1663" w:type="dxa"/>
            <w:vAlign w:val="center"/>
          </w:tcPr>
          <w:p w14:paraId="39C3D48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0.15</w:t>
            </w:r>
          </w:p>
        </w:tc>
      </w:tr>
      <w:tr w:rsidR="005562DE" w14:paraId="588D70F2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68C3C7D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Rectus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9D5B0A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Assortativity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14:paraId="55E80AE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-0.85</w:t>
            </w:r>
          </w:p>
        </w:tc>
        <w:tc>
          <w:tcPr>
            <w:tcW w:w="1663" w:type="dxa"/>
            <w:vAlign w:val="center"/>
          </w:tcPr>
          <w:p w14:paraId="41F73E3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1663" w:type="dxa"/>
            <w:vAlign w:val="center"/>
          </w:tcPr>
          <w:p w14:paraId="451BDA2B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0.14</w:t>
            </w:r>
          </w:p>
        </w:tc>
      </w:tr>
      <w:tr w:rsidR="005562DE" w14:paraId="3358CEFA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4532DF2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Right Pallidum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BA718C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Local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Assortativity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14:paraId="646E8D0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0.47</w:t>
            </w:r>
          </w:p>
        </w:tc>
        <w:tc>
          <w:tcPr>
            <w:tcW w:w="1663" w:type="dxa"/>
            <w:vAlign w:val="center"/>
          </w:tcPr>
          <w:p w14:paraId="0025B76A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0.005</w:t>
            </w:r>
          </w:p>
        </w:tc>
        <w:tc>
          <w:tcPr>
            <w:tcW w:w="1663" w:type="dxa"/>
            <w:vAlign w:val="center"/>
          </w:tcPr>
          <w:p w14:paraId="41FA1DDF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5562DE" w14:paraId="03EBBE5B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7109225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Medial Superior Frontal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763A9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Betweenness centrality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0B1AEE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0.46</w:t>
            </w:r>
          </w:p>
        </w:tc>
        <w:tc>
          <w:tcPr>
            <w:tcW w:w="1663" w:type="dxa"/>
            <w:vAlign w:val="center"/>
          </w:tcPr>
          <w:p w14:paraId="3B8FD924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0.02</w:t>
            </w:r>
          </w:p>
        </w:tc>
        <w:tc>
          <w:tcPr>
            <w:tcW w:w="1663" w:type="dxa"/>
            <w:vAlign w:val="center"/>
          </w:tcPr>
          <w:p w14:paraId="188A124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0.15</w:t>
            </w:r>
          </w:p>
        </w:tc>
      </w:tr>
      <w:tr w:rsidR="005562DE" w14:paraId="2DF75002" w14:textId="77777777" w:rsidTr="00A70C43">
        <w:trPr>
          <w:trHeight w:val="580"/>
        </w:trPr>
        <w:tc>
          <w:tcPr>
            <w:tcW w:w="1662" w:type="dxa"/>
            <w:shd w:val="clear" w:color="auto" w:fill="auto"/>
            <w:vAlign w:val="center"/>
          </w:tcPr>
          <w:p w14:paraId="05F26202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Middle Temporal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A69C00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Eigenvector centrality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8BB8B76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1.96</w:t>
            </w:r>
          </w:p>
        </w:tc>
        <w:tc>
          <w:tcPr>
            <w:tcW w:w="1663" w:type="dxa"/>
            <w:vAlign w:val="center"/>
          </w:tcPr>
          <w:p w14:paraId="6DE1F11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&lt;0.001</w:t>
            </w:r>
          </w:p>
        </w:tc>
        <w:tc>
          <w:tcPr>
            <w:tcW w:w="1663" w:type="dxa"/>
            <w:vAlign w:val="center"/>
          </w:tcPr>
          <w:p w14:paraId="0FEA637C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0.02</w:t>
            </w:r>
          </w:p>
        </w:tc>
      </w:tr>
      <w:tr w:rsidR="005562DE" w14:paraId="1B083E51" w14:textId="77777777" w:rsidTr="00A70C43">
        <w:trPr>
          <w:trHeight w:val="540"/>
        </w:trPr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52CE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Left Orbital Medial Frontal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5B08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PageRanks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centrality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915D3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0.36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vAlign w:val="center"/>
          </w:tcPr>
          <w:p w14:paraId="17B72A47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0.004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vAlign w:val="center"/>
          </w:tcPr>
          <w:p w14:paraId="68DDAB79" w14:textId="77777777" w:rsidR="005562DE" w:rsidRDefault="005562DE" w:rsidP="00A70C43">
            <w:pPr>
              <w:spacing w:line="48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0.14</w:t>
            </w:r>
          </w:p>
        </w:tc>
      </w:tr>
    </w:tbl>
    <w:p w14:paraId="17E52445" w14:textId="77777777" w:rsidR="00ED56AD" w:rsidRDefault="00ED56AD"/>
    <w:sectPr w:rsidR="00ED56AD" w:rsidSect="00C6090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DE"/>
    <w:rsid w:val="0000666D"/>
    <w:rsid w:val="00074CC1"/>
    <w:rsid w:val="000D65EB"/>
    <w:rsid w:val="0030404D"/>
    <w:rsid w:val="004A2382"/>
    <w:rsid w:val="005562DE"/>
    <w:rsid w:val="00603EFE"/>
    <w:rsid w:val="006219EE"/>
    <w:rsid w:val="00994146"/>
    <w:rsid w:val="009C3678"/>
    <w:rsid w:val="00AA2E2A"/>
    <w:rsid w:val="00AF3B20"/>
    <w:rsid w:val="00B41A08"/>
    <w:rsid w:val="00B875A4"/>
    <w:rsid w:val="00BB72EB"/>
    <w:rsid w:val="00C60907"/>
    <w:rsid w:val="00D56017"/>
    <w:rsid w:val="00ED56AD"/>
    <w:rsid w:val="00F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8D3BA"/>
  <w15:chartTrackingRefBased/>
  <w15:docId w15:val="{4BCDDAD6-1B1D-C844-A1BA-8B5696F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2D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</dc:creator>
  <cp:keywords/>
  <dc:description/>
  <cp:lastModifiedBy>Peter Taylor</cp:lastModifiedBy>
  <cp:revision>2</cp:revision>
  <dcterms:created xsi:type="dcterms:W3CDTF">2020-04-28T12:11:00Z</dcterms:created>
  <dcterms:modified xsi:type="dcterms:W3CDTF">2020-04-28T12:11:00Z</dcterms:modified>
</cp:coreProperties>
</file>