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8432" w14:textId="7547A348" w:rsidR="003D7774" w:rsidRDefault="00A9229B" w:rsidP="00822B34">
      <w:pPr>
        <w:spacing w:line="276" w:lineRule="auto"/>
        <w:jc w:val="left"/>
        <w:rPr>
          <w:rFonts w:cs="Times New Roman"/>
          <w:b/>
        </w:rPr>
      </w:pPr>
      <w:r w:rsidRPr="00A9229B">
        <w:rPr>
          <w:b/>
        </w:rPr>
        <w:t>Atmospheric CO</w:t>
      </w:r>
      <w:r w:rsidRPr="00A9229B">
        <w:rPr>
          <w:b/>
          <w:vertAlign w:val="subscript"/>
        </w:rPr>
        <w:t>2</w:t>
      </w:r>
      <w:r w:rsidRPr="00A9229B">
        <w:rPr>
          <w:b/>
        </w:rPr>
        <w:t xml:space="preserve"> concentration and N availability affect the balance of two photosystems in mature leaves of rice plants grown at a free-air CO</w:t>
      </w:r>
      <w:r w:rsidRPr="00A9229B">
        <w:rPr>
          <w:b/>
          <w:vertAlign w:val="subscript"/>
        </w:rPr>
        <w:t>2</w:t>
      </w:r>
      <w:r w:rsidRPr="00A9229B">
        <w:rPr>
          <w:b/>
        </w:rPr>
        <w:t xml:space="preserve"> enrichment site</w:t>
      </w:r>
    </w:p>
    <w:p w14:paraId="433AF64F" w14:textId="77777777" w:rsidR="00CD6308" w:rsidRDefault="00CD6308" w:rsidP="00173D57">
      <w:pPr>
        <w:spacing w:line="276" w:lineRule="auto"/>
        <w:jc w:val="center"/>
        <w:rPr>
          <w:rFonts w:cs="Times New Roman"/>
          <w:b/>
        </w:rPr>
      </w:pPr>
    </w:p>
    <w:p w14:paraId="6E749B8A" w14:textId="36C10CE2" w:rsidR="003D7774" w:rsidRDefault="00CD6308" w:rsidP="00173D57">
      <w:pPr>
        <w:spacing w:line="360" w:lineRule="auto"/>
        <w:jc w:val="center"/>
        <w:rPr>
          <w:rFonts w:cs="Times New Roman"/>
          <w:b/>
        </w:rPr>
      </w:pPr>
      <w:r w:rsidRPr="00AF7A33">
        <w:rPr>
          <w:rFonts w:cs="Times New Roman"/>
          <w:b/>
          <w:noProof/>
        </w:rPr>
        <w:drawing>
          <wp:inline distT="0" distB="0" distL="0" distR="0" wp14:anchorId="2717FAEB" wp14:editId="1C9DC3B2">
            <wp:extent cx="4905746" cy="518964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746" cy="518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0EF4" w14:textId="77777777" w:rsidR="00CD6308" w:rsidRDefault="00CD6308" w:rsidP="003D7774">
      <w:pPr>
        <w:spacing w:line="276" w:lineRule="auto"/>
        <w:rPr>
          <w:b/>
        </w:rPr>
      </w:pPr>
    </w:p>
    <w:p w14:paraId="7404988B" w14:textId="0AF76CCA" w:rsidR="003D7774" w:rsidRPr="003D7774" w:rsidRDefault="003D7774" w:rsidP="003D7774">
      <w:pPr>
        <w:spacing w:line="276" w:lineRule="auto"/>
        <w:rPr>
          <w:b/>
        </w:rPr>
      </w:pPr>
      <w:r w:rsidRPr="00FF70C1">
        <w:rPr>
          <w:b/>
        </w:rPr>
        <w:t xml:space="preserve">Supplementary </w:t>
      </w:r>
      <w:r w:rsidRPr="003D7774">
        <w:rPr>
          <w:b/>
        </w:rPr>
        <w:t xml:space="preserve">Figure </w:t>
      </w:r>
      <w:r w:rsidR="00CD6308">
        <w:rPr>
          <w:b/>
        </w:rPr>
        <w:t>S</w:t>
      </w:r>
      <w:r w:rsidRPr="003D7774">
        <w:rPr>
          <w:b/>
        </w:rPr>
        <w:t>1</w:t>
      </w:r>
    </w:p>
    <w:p w14:paraId="6F5D0368" w14:textId="6C09AC1D" w:rsidR="003D7774" w:rsidRPr="003D7774" w:rsidRDefault="003D7774" w:rsidP="003D7774">
      <w:pPr>
        <w:spacing w:line="276" w:lineRule="auto"/>
      </w:pPr>
      <w:r>
        <w:t xml:space="preserve">Parameters of photosynthetic electron transport </w:t>
      </w:r>
      <w:r w:rsidR="00AF7A33">
        <w:t>in</w:t>
      </w:r>
      <w:r>
        <w:t xml:space="preserve"> </w:t>
      </w:r>
      <w:r w:rsidR="005453E3">
        <w:t xml:space="preserve">rice </w:t>
      </w:r>
      <w:r>
        <w:t>leaves</w:t>
      </w:r>
      <w:r w:rsidRPr="003D7774">
        <w:t xml:space="preserve">. </w:t>
      </w:r>
      <w:r w:rsidR="005453E3" w:rsidRPr="00635ECB">
        <w:rPr>
          <w:rFonts w:cs="Times New Roman"/>
        </w:rPr>
        <w:t>The electron transport rate in PSI</w:t>
      </w:r>
      <w:r w:rsidR="005453E3">
        <w:rPr>
          <w:rFonts w:cs="Times New Roman"/>
        </w:rPr>
        <w:t>I</w:t>
      </w:r>
      <w:r w:rsidR="005453E3" w:rsidRPr="00635ECB">
        <w:rPr>
          <w:rFonts w:cs="Times New Roman"/>
        </w:rPr>
        <w:t xml:space="preserve"> </w:t>
      </w:r>
      <w:r w:rsidR="005453E3">
        <w:rPr>
          <w:rFonts w:cs="Times New Roman"/>
        </w:rPr>
        <w:t xml:space="preserve">(ETRII, A), PSI (ETRI, B) and </w:t>
      </w:r>
      <w:r w:rsidR="005453E3" w:rsidRPr="00635ECB">
        <w:rPr>
          <w:rFonts w:cs="Times New Roman"/>
        </w:rPr>
        <w:t>the cyclic electron flow around PSI (CEF-PSI</w:t>
      </w:r>
      <w:r w:rsidR="005453E3">
        <w:rPr>
          <w:rFonts w:cs="Times New Roman"/>
        </w:rPr>
        <w:t>, C).</w:t>
      </w:r>
      <w:r w:rsidR="005453E3" w:rsidRPr="003D7774">
        <w:t xml:space="preserve"> </w:t>
      </w:r>
      <w:r w:rsidR="00C13463" w:rsidRPr="00635ECB">
        <w:rPr>
          <w:rFonts w:cs="Times New Roman"/>
        </w:rPr>
        <w:t xml:space="preserve">The effective quantum yield of PSII [Y(II), </w:t>
      </w:r>
      <w:r w:rsidR="00C13463">
        <w:rPr>
          <w:rFonts w:cs="Times New Roman"/>
        </w:rPr>
        <w:t>D</w:t>
      </w:r>
      <w:r w:rsidR="00C13463" w:rsidRPr="00635ECB">
        <w:rPr>
          <w:rFonts w:cs="Times New Roman"/>
        </w:rPr>
        <w:t xml:space="preserve">], the quantum yield of regulated [Y(NPQ), </w:t>
      </w:r>
      <w:r w:rsidR="00C13463">
        <w:rPr>
          <w:rFonts w:cs="Times New Roman"/>
        </w:rPr>
        <w:t>E</w:t>
      </w:r>
      <w:r w:rsidR="00C13463" w:rsidRPr="00635ECB">
        <w:rPr>
          <w:rFonts w:cs="Times New Roman"/>
        </w:rPr>
        <w:t xml:space="preserve">] and non-regulated [Y(NO), </w:t>
      </w:r>
      <w:r w:rsidR="00C13463">
        <w:rPr>
          <w:rFonts w:cs="Times New Roman"/>
        </w:rPr>
        <w:t>F</w:t>
      </w:r>
      <w:r w:rsidR="00C13463" w:rsidRPr="00635ECB">
        <w:rPr>
          <w:rFonts w:cs="Times New Roman"/>
        </w:rPr>
        <w:t>] energy dissipation in PSII</w:t>
      </w:r>
      <w:r w:rsidR="00C13463">
        <w:rPr>
          <w:rFonts w:cs="Times New Roman"/>
        </w:rPr>
        <w:t>.</w:t>
      </w:r>
      <w:r w:rsidR="00C13463">
        <w:t xml:space="preserve"> </w:t>
      </w:r>
      <w:r w:rsidR="00C13463" w:rsidRPr="00635ECB">
        <w:rPr>
          <w:rFonts w:cs="Times New Roman"/>
        </w:rPr>
        <w:t xml:space="preserve">The effective quantum yield of PSI [Y(I), </w:t>
      </w:r>
      <w:r w:rsidR="00C13463">
        <w:rPr>
          <w:rFonts w:cs="Times New Roman"/>
        </w:rPr>
        <w:t>G</w:t>
      </w:r>
      <w:r w:rsidR="00C13463" w:rsidRPr="00635ECB">
        <w:rPr>
          <w:rFonts w:cs="Times New Roman"/>
        </w:rPr>
        <w:t xml:space="preserve">], the non-photochemical quantum yield due to donor side limitations [Y(ND), </w:t>
      </w:r>
      <w:r w:rsidR="00C13463">
        <w:rPr>
          <w:rFonts w:cs="Times New Roman"/>
        </w:rPr>
        <w:t>H</w:t>
      </w:r>
      <w:r w:rsidR="00C13463" w:rsidRPr="00635ECB">
        <w:rPr>
          <w:rFonts w:cs="Times New Roman"/>
        </w:rPr>
        <w:t xml:space="preserve">], and the non-photochemical quantum yield due to acceptor side limitations [Y(NA), </w:t>
      </w:r>
      <w:r w:rsidR="00C13463">
        <w:rPr>
          <w:rFonts w:cs="Times New Roman"/>
        </w:rPr>
        <w:t>I</w:t>
      </w:r>
      <w:r w:rsidR="00C13463" w:rsidRPr="00635ECB">
        <w:rPr>
          <w:rFonts w:cs="Times New Roman"/>
        </w:rPr>
        <w:t>]</w:t>
      </w:r>
      <w:r w:rsidR="00C13463">
        <w:rPr>
          <w:rFonts w:cs="Times New Roman"/>
        </w:rPr>
        <w:t xml:space="preserve">. </w:t>
      </w:r>
      <w:r w:rsidR="00AF7A33">
        <w:rPr>
          <w:rFonts w:cs="Times New Roman"/>
        </w:rPr>
        <w:t>LN, MN and HN denote the data of leaves under</w:t>
      </w:r>
      <w:r w:rsidR="00AF7A33" w:rsidRPr="005A43B5">
        <w:rPr>
          <w:rFonts w:cs="Times New Roman"/>
        </w:rPr>
        <w:t xml:space="preserve"> low (LN), </w:t>
      </w:r>
      <w:r w:rsidR="00AF7A33">
        <w:rPr>
          <w:rFonts w:cs="Times New Roman"/>
        </w:rPr>
        <w:t>moderate</w:t>
      </w:r>
      <w:r w:rsidR="00AF7A33" w:rsidRPr="005A43B5">
        <w:rPr>
          <w:rFonts w:cs="Times New Roman"/>
        </w:rPr>
        <w:t xml:space="preserve"> </w:t>
      </w:r>
      <w:r w:rsidR="00AF7A33">
        <w:rPr>
          <w:rFonts w:cs="Times New Roman"/>
        </w:rPr>
        <w:t>(MN</w:t>
      </w:r>
      <w:r w:rsidR="00AF7A33" w:rsidRPr="005A43B5">
        <w:rPr>
          <w:rFonts w:cs="Times New Roman"/>
        </w:rPr>
        <w:t xml:space="preserve">) and high nitrogen levels (HN). </w:t>
      </w:r>
      <w:r w:rsidR="00AF7A33">
        <w:rPr>
          <w:rFonts w:cs="Times New Roman"/>
        </w:rPr>
        <w:t xml:space="preserve">A and F denote </w:t>
      </w:r>
      <w:r w:rsidR="00AF7A33" w:rsidRPr="005A43B5">
        <w:rPr>
          <w:rFonts w:cs="Times New Roman"/>
        </w:rPr>
        <w:t xml:space="preserve">the data of leaves </w:t>
      </w:r>
      <w:r w:rsidR="00AF7A33">
        <w:rPr>
          <w:rFonts w:cs="Times New Roman"/>
        </w:rPr>
        <w:t>under</w:t>
      </w:r>
      <w:r w:rsidR="00AF7A33" w:rsidRPr="005A43B5">
        <w:rPr>
          <w:rFonts w:cs="Times New Roman"/>
        </w:rPr>
        <w:t xml:space="preserve"> ambient and elevated [CO</w:t>
      </w:r>
      <w:r w:rsidR="00AF7A33" w:rsidRPr="005A43B5">
        <w:rPr>
          <w:rFonts w:cs="Times New Roman"/>
          <w:vertAlign w:val="subscript"/>
        </w:rPr>
        <w:t>2</w:t>
      </w:r>
      <w:r w:rsidR="00AF7A33" w:rsidRPr="005A43B5">
        <w:rPr>
          <w:rFonts w:cs="Times New Roman"/>
        </w:rPr>
        <w:t>] levels</w:t>
      </w:r>
      <w:r w:rsidR="00AF7A33">
        <w:rPr>
          <w:rFonts w:cs="Times New Roman"/>
        </w:rPr>
        <w:t>.</w:t>
      </w:r>
      <w:r w:rsidR="00AF7A33" w:rsidRPr="005A43B5">
        <w:rPr>
          <w:rFonts w:cs="Times New Roman"/>
        </w:rPr>
        <w:t xml:space="preserve"> </w:t>
      </w:r>
      <w:r w:rsidR="005453E3">
        <w:t xml:space="preserve">All data were measured at </w:t>
      </w:r>
      <w:r w:rsidR="00C13463" w:rsidRPr="00635ECB">
        <w:rPr>
          <w:rFonts w:cs="Times New Roman"/>
          <w:szCs w:val="24"/>
        </w:rPr>
        <w:t>1599 μmol photons m</w:t>
      </w:r>
      <w:r w:rsidR="00C13463" w:rsidRPr="00635ECB">
        <w:rPr>
          <w:rFonts w:cs="Times New Roman"/>
          <w:szCs w:val="24"/>
          <w:vertAlign w:val="superscript"/>
        </w:rPr>
        <w:t>−2</w:t>
      </w:r>
      <w:r w:rsidR="00C13463" w:rsidRPr="00635ECB">
        <w:rPr>
          <w:rFonts w:cs="Times New Roman"/>
          <w:szCs w:val="24"/>
        </w:rPr>
        <w:t xml:space="preserve"> s</w:t>
      </w:r>
      <w:r w:rsidR="00C13463" w:rsidRPr="00635ECB">
        <w:rPr>
          <w:rFonts w:cs="Times New Roman"/>
          <w:szCs w:val="24"/>
          <w:vertAlign w:val="superscript"/>
        </w:rPr>
        <w:t>−1</w:t>
      </w:r>
      <w:r w:rsidR="005453E3">
        <w:t xml:space="preserve">. </w:t>
      </w:r>
      <w:r w:rsidRPr="003D7774">
        <w:t>Data are presented as the mean ± standard deviation (n = 4). Statistical results are also shown (</w:t>
      </w:r>
      <w:r w:rsidR="00C13463" w:rsidRPr="00635ECB">
        <w:rPr>
          <w:rFonts w:cs="Times New Roman"/>
        </w:rPr>
        <w:t>†</w:t>
      </w:r>
      <w:r w:rsidR="00C13463" w:rsidRPr="00635ECB">
        <w:rPr>
          <w:rFonts w:cs="Times New Roman"/>
          <w:i/>
        </w:rPr>
        <w:t>p</w:t>
      </w:r>
      <w:r w:rsidR="00C13463" w:rsidRPr="00635ECB">
        <w:rPr>
          <w:rFonts w:cs="Times New Roman"/>
        </w:rPr>
        <w:t xml:space="preserve"> &lt; 0.1, </w:t>
      </w:r>
      <w:r w:rsidRPr="003D7774">
        <w:t>*</w:t>
      </w:r>
      <w:r w:rsidRPr="00C13463">
        <w:rPr>
          <w:i/>
        </w:rPr>
        <w:t>p</w:t>
      </w:r>
      <w:r w:rsidRPr="003D7774">
        <w:t xml:space="preserve"> &lt; 0.05, **</w:t>
      </w:r>
      <w:r w:rsidRPr="00C13463">
        <w:rPr>
          <w:i/>
        </w:rPr>
        <w:t>p</w:t>
      </w:r>
      <w:r w:rsidRPr="003D7774">
        <w:t xml:space="preserve"> &lt; 0.01).</w:t>
      </w:r>
    </w:p>
    <w:p w14:paraId="04D49EF5" w14:textId="0D40FD5A" w:rsidR="00173D57" w:rsidRDefault="00173D57">
      <w:pPr>
        <w:widowControl/>
        <w:jc w:val="left"/>
        <w:rPr>
          <w:b/>
        </w:rPr>
      </w:pPr>
      <w:r>
        <w:rPr>
          <w:b/>
        </w:rPr>
        <w:br w:type="page"/>
      </w:r>
    </w:p>
    <w:p w14:paraId="11441880" w14:textId="77777777" w:rsidR="003D7774" w:rsidRPr="003D7774" w:rsidRDefault="003D7774" w:rsidP="003D7774">
      <w:pPr>
        <w:spacing w:line="276" w:lineRule="auto"/>
        <w:rPr>
          <w:b/>
        </w:rPr>
      </w:pPr>
    </w:p>
    <w:p w14:paraId="7BE3A39D" w14:textId="77777777" w:rsidR="00173D57" w:rsidRDefault="00173D57" w:rsidP="00173D57">
      <w:pPr>
        <w:spacing w:line="360" w:lineRule="auto"/>
        <w:jc w:val="center"/>
        <w:rPr>
          <w:b/>
        </w:rPr>
      </w:pPr>
      <w:r w:rsidRPr="00AF7A33">
        <w:rPr>
          <w:b/>
          <w:noProof/>
        </w:rPr>
        <w:drawing>
          <wp:inline distT="0" distB="0" distL="0" distR="0" wp14:anchorId="60C78101" wp14:editId="6435D3F9">
            <wp:extent cx="3556000" cy="5448300"/>
            <wp:effectExtent l="0" t="0" r="0" b="1270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1BE71" w14:textId="77777777" w:rsidR="00173D57" w:rsidRDefault="00173D57" w:rsidP="003D7774">
      <w:pPr>
        <w:spacing w:line="360" w:lineRule="auto"/>
        <w:rPr>
          <w:b/>
        </w:rPr>
      </w:pPr>
    </w:p>
    <w:p w14:paraId="7BA55B64" w14:textId="4F962592" w:rsidR="003D7774" w:rsidRPr="00635ECB" w:rsidRDefault="003D7774" w:rsidP="003D7774">
      <w:pPr>
        <w:spacing w:line="360" w:lineRule="auto"/>
        <w:rPr>
          <w:rFonts w:cs="Times New Roman"/>
          <w:b/>
        </w:rPr>
      </w:pPr>
      <w:r w:rsidRPr="00FF70C1">
        <w:rPr>
          <w:b/>
        </w:rPr>
        <w:t xml:space="preserve">Supplementary </w:t>
      </w:r>
      <w:r w:rsidRPr="00635ECB">
        <w:rPr>
          <w:rFonts w:cs="Times New Roman"/>
          <w:b/>
        </w:rPr>
        <w:t xml:space="preserve">Figure </w:t>
      </w:r>
      <w:r w:rsidR="00CD6308">
        <w:rPr>
          <w:rFonts w:cs="Times New Roman"/>
          <w:b/>
        </w:rPr>
        <w:t>S</w:t>
      </w:r>
      <w:r>
        <w:rPr>
          <w:rFonts w:cs="Times New Roman"/>
          <w:b/>
        </w:rPr>
        <w:t>2</w:t>
      </w:r>
    </w:p>
    <w:p w14:paraId="2E73EA7B" w14:textId="7BCA453A" w:rsidR="00A9229B" w:rsidRDefault="003D7774" w:rsidP="003D7774">
      <w:pPr>
        <w:spacing w:line="276" w:lineRule="auto"/>
        <w:rPr>
          <w:rFonts w:cs="Times New Roman"/>
        </w:rPr>
      </w:pPr>
      <w:r w:rsidRPr="00635ECB">
        <w:rPr>
          <w:rFonts w:cs="Times New Roman"/>
        </w:rPr>
        <w:t>Light-response curves of PSII parameters in mature leaves of rice plants. The effective quantum yield of PSII [Y(II), A</w:t>
      </w:r>
      <w:r>
        <w:rPr>
          <w:rFonts w:cs="Times New Roman"/>
        </w:rPr>
        <w:t>, B</w:t>
      </w:r>
      <w:r w:rsidRPr="00635ECB">
        <w:rPr>
          <w:rFonts w:cs="Times New Roman"/>
        </w:rPr>
        <w:t xml:space="preserve">], the quantum yield of regulated [Y(NPQ), </w:t>
      </w:r>
      <w:r>
        <w:rPr>
          <w:rFonts w:cs="Times New Roman"/>
        </w:rPr>
        <w:t>C, D</w:t>
      </w:r>
      <w:r w:rsidRPr="00635ECB">
        <w:rPr>
          <w:rFonts w:cs="Times New Roman"/>
        </w:rPr>
        <w:t xml:space="preserve">] and non-regulated [Y(NO), </w:t>
      </w:r>
      <w:r>
        <w:rPr>
          <w:rFonts w:cs="Times New Roman"/>
        </w:rPr>
        <w:t>E, F</w:t>
      </w:r>
      <w:r w:rsidRPr="00635ECB">
        <w:rPr>
          <w:rFonts w:cs="Times New Roman"/>
        </w:rPr>
        <w:t xml:space="preserve">] energy dissipation in PSII </w:t>
      </w:r>
      <w:r w:rsidR="00822B34">
        <w:rPr>
          <w:rFonts w:cs="Times New Roman"/>
        </w:rPr>
        <w:t>under</w:t>
      </w:r>
      <w:r w:rsidRPr="00635ECB">
        <w:rPr>
          <w:rFonts w:cs="Times New Roman"/>
        </w:rPr>
        <w:t xml:space="preserve"> low (LN, A, </w:t>
      </w:r>
      <w:r>
        <w:rPr>
          <w:rFonts w:cs="Times New Roman"/>
        </w:rPr>
        <w:t>C</w:t>
      </w:r>
      <w:r w:rsidRPr="00635ECB">
        <w:rPr>
          <w:rFonts w:cs="Times New Roman"/>
        </w:rPr>
        <w:t xml:space="preserve">, </w:t>
      </w:r>
      <w:r>
        <w:rPr>
          <w:rFonts w:cs="Times New Roman"/>
        </w:rPr>
        <w:t>E</w:t>
      </w:r>
      <w:r w:rsidRPr="00635ECB">
        <w:rPr>
          <w:rFonts w:cs="Times New Roman"/>
        </w:rPr>
        <w:t>)</w:t>
      </w:r>
      <w:r>
        <w:rPr>
          <w:rFonts w:cs="Times New Roman"/>
        </w:rPr>
        <w:t xml:space="preserve"> and</w:t>
      </w:r>
      <w:r w:rsidRPr="00635ECB">
        <w:rPr>
          <w:rFonts w:cs="Times New Roman"/>
        </w:rPr>
        <w:t xml:space="preserve"> middle nitrogen levels (MN, B, </w:t>
      </w:r>
      <w:r>
        <w:rPr>
          <w:rFonts w:cs="Times New Roman"/>
        </w:rPr>
        <w:t>D</w:t>
      </w:r>
      <w:r w:rsidRPr="00635ECB">
        <w:rPr>
          <w:rFonts w:cs="Times New Roman"/>
        </w:rPr>
        <w:t xml:space="preserve">, </w:t>
      </w:r>
      <w:r>
        <w:rPr>
          <w:rFonts w:cs="Times New Roman"/>
        </w:rPr>
        <w:t>F</w:t>
      </w:r>
      <w:r w:rsidRPr="00635ECB">
        <w:rPr>
          <w:rFonts w:cs="Times New Roman"/>
        </w:rPr>
        <w:t xml:space="preserve">). Closed and open symbols denote the data of leaves </w:t>
      </w:r>
      <w:r w:rsidR="00822B34">
        <w:rPr>
          <w:rFonts w:cs="Times New Roman"/>
        </w:rPr>
        <w:t>under</w:t>
      </w:r>
      <w:r w:rsidRPr="00635ECB">
        <w:rPr>
          <w:rFonts w:cs="Times New Roman"/>
        </w:rPr>
        <w:t xml:space="preserve"> ambient and elevated [CO</w:t>
      </w:r>
      <w:r w:rsidRPr="00635ECB">
        <w:rPr>
          <w:rFonts w:cs="Times New Roman"/>
          <w:vertAlign w:val="subscript"/>
        </w:rPr>
        <w:t>2</w:t>
      </w:r>
      <w:r w:rsidRPr="00635ECB">
        <w:rPr>
          <w:rFonts w:cs="Times New Roman"/>
        </w:rPr>
        <w:t>] levels. Data are presented as the mean ± standard deviation</w:t>
      </w:r>
      <w:r w:rsidRPr="00822B34">
        <w:rPr>
          <w:rFonts w:cs="Times New Roman"/>
        </w:rPr>
        <w:t xml:space="preserve"> (n = 4)</w:t>
      </w:r>
      <w:r w:rsidRPr="00635ECB">
        <w:rPr>
          <w:rFonts w:cs="Times New Roman"/>
        </w:rPr>
        <w:t>. Statistical results are also shown (†</w:t>
      </w:r>
      <w:r w:rsidRPr="00635ECB">
        <w:rPr>
          <w:rFonts w:cs="Times New Roman"/>
          <w:i/>
        </w:rPr>
        <w:t>p</w:t>
      </w:r>
      <w:r w:rsidRPr="00635ECB">
        <w:rPr>
          <w:rFonts w:cs="Times New Roman"/>
        </w:rPr>
        <w:t xml:space="preserve"> &lt; 0.1, *</w:t>
      </w:r>
      <w:r w:rsidRPr="00635ECB">
        <w:rPr>
          <w:rFonts w:cs="Times New Roman"/>
          <w:i/>
        </w:rPr>
        <w:t xml:space="preserve"> p</w:t>
      </w:r>
      <w:r w:rsidRPr="00635ECB">
        <w:rPr>
          <w:rFonts w:cs="Times New Roman"/>
        </w:rPr>
        <w:t xml:space="preserve"> &lt; 0.05, **</w:t>
      </w:r>
      <w:r w:rsidRPr="00635ECB">
        <w:rPr>
          <w:rFonts w:cs="Times New Roman"/>
          <w:i/>
        </w:rPr>
        <w:t xml:space="preserve"> p</w:t>
      </w:r>
      <w:r w:rsidRPr="00635ECB">
        <w:rPr>
          <w:rFonts w:cs="Times New Roman"/>
        </w:rPr>
        <w:t xml:space="preserve"> &lt; 0.01, ***</w:t>
      </w:r>
      <w:r w:rsidRPr="00635ECB">
        <w:rPr>
          <w:rFonts w:cs="Times New Roman"/>
          <w:i/>
        </w:rPr>
        <w:t xml:space="preserve"> p</w:t>
      </w:r>
      <w:r w:rsidRPr="00635ECB">
        <w:rPr>
          <w:rFonts w:cs="Times New Roman"/>
        </w:rPr>
        <w:t xml:space="preserve"> &lt; 0.001).</w:t>
      </w:r>
      <w:r w:rsidRPr="00635ECB">
        <w:t xml:space="preserve"> </w:t>
      </w:r>
      <w:r w:rsidRPr="00635ECB">
        <w:rPr>
          <w:rFonts w:cs="Times New Roman"/>
        </w:rPr>
        <w:t>CO</w:t>
      </w:r>
      <w:r w:rsidRPr="00635ECB">
        <w:rPr>
          <w:rFonts w:cs="Times New Roman"/>
          <w:vertAlign w:val="subscript"/>
        </w:rPr>
        <w:t>2</w:t>
      </w:r>
      <w:r w:rsidR="00822B34">
        <w:rPr>
          <w:rFonts w:cs="Times New Roman"/>
        </w:rPr>
        <w:t xml:space="preserve"> and</w:t>
      </w:r>
      <w:r w:rsidRPr="00635ECB">
        <w:rPr>
          <w:rFonts w:cs="Times New Roman"/>
        </w:rPr>
        <w:t xml:space="preserve"> CO</w:t>
      </w:r>
      <w:r w:rsidRPr="00635ECB">
        <w:rPr>
          <w:rFonts w:cs="Times New Roman"/>
          <w:vertAlign w:val="subscript"/>
        </w:rPr>
        <w:t>2</w:t>
      </w:r>
      <w:r w:rsidRPr="00635ECB">
        <w:rPr>
          <w:rFonts w:cs="Times New Roman"/>
        </w:rPr>
        <w:t xml:space="preserve"> x PPFD denote</w:t>
      </w:r>
      <w:r w:rsidR="00822B34">
        <w:rPr>
          <w:rFonts w:cs="Times New Roman"/>
        </w:rPr>
        <w:t xml:space="preserve"> the</w:t>
      </w:r>
      <w:r w:rsidRPr="00635ECB">
        <w:rPr>
          <w:rFonts w:cs="Times New Roman"/>
        </w:rPr>
        <w:t xml:space="preserve"> effects of CO</w:t>
      </w:r>
      <w:r w:rsidRPr="00635ECB">
        <w:rPr>
          <w:rFonts w:cs="Times New Roman"/>
          <w:vertAlign w:val="subscript"/>
        </w:rPr>
        <w:t>2</w:t>
      </w:r>
      <w:r w:rsidRPr="00635ECB">
        <w:rPr>
          <w:rFonts w:cs="Times New Roman"/>
        </w:rPr>
        <w:t xml:space="preserve"> concentration and interaction between CO</w:t>
      </w:r>
      <w:r w:rsidRPr="00635ECB">
        <w:rPr>
          <w:rFonts w:cs="Times New Roman"/>
          <w:vertAlign w:val="subscript"/>
        </w:rPr>
        <w:t>2</w:t>
      </w:r>
      <w:r w:rsidRPr="00635ECB">
        <w:rPr>
          <w:rFonts w:cs="Times New Roman"/>
        </w:rPr>
        <w:t xml:space="preserve"> and PPFD, respectively. Statisti</w:t>
      </w:r>
      <w:r w:rsidR="00822B34">
        <w:rPr>
          <w:rFonts w:cs="Times New Roman"/>
        </w:rPr>
        <w:t>cal results of effects of PPFD we</w:t>
      </w:r>
      <w:r w:rsidRPr="00635ECB">
        <w:rPr>
          <w:rFonts w:cs="Times New Roman"/>
        </w:rPr>
        <w:t>re less than 0.001 at all N levels.</w:t>
      </w:r>
    </w:p>
    <w:p w14:paraId="273ED99D" w14:textId="368EC642" w:rsidR="003D7774" w:rsidRPr="00CA7292" w:rsidRDefault="00173D57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3CAB4D9" w14:textId="77777777" w:rsidR="003D7774" w:rsidRDefault="003D7774" w:rsidP="00FF70C1">
      <w:pPr>
        <w:spacing w:line="276" w:lineRule="auto"/>
        <w:rPr>
          <w:b/>
        </w:rPr>
      </w:pPr>
    </w:p>
    <w:p w14:paraId="5DBF6CFE" w14:textId="61E4DC60" w:rsidR="00A9229B" w:rsidRDefault="00A9229B" w:rsidP="00A9229B">
      <w:pPr>
        <w:spacing w:line="276" w:lineRule="auto"/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60DDDBF3" wp14:editId="23E735E7">
            <wp:extent cx="5067300" cy="3924300"/>
            <wp:effectExtent l="0" t="0" r="12700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E436" w14:textId="77777777" w:rsidR="00FF70C1" w:rsidRDefault="00FF70C1" w:rsidP="00FF70C1">
      <w:pPr>
        <w:spacing w:line="276" w:lineRule="auto"/>
        <w:rPr>
          <w:b/>
        </w:rPr>
      </w:pPr>
    </w:p>
    <w:p w14:paraId="73389EA4" w14:textId="40711634" w:rsidR="00FF70C1" w:rsidRPr="00FF70C1" w:rsidRDefault="00FF70C1" w:rsidP="00FF70C1">
      <w:pPr>
        <w:spacing w:line="276" w:lineRule="auto"/>
        <w:rPr>
          <w:b/>
        </w:rPr>
      </w:pPr>
      <w:r w:rsidRPr="00FF70C1">
        <w:rPr>
          <w:b/>
        </w:rPr>
        <w:t xml:space="preserve">Supplementary Figure </w:t>
      </w:r>
      <w:r w:rsidR="00CD6308">
        <w:rPr>
          <w:b/>
        </w:rPr>
        <w:t>S</w:t>
      </w:r>
      <w:r w:rsidR="00CA7292">
        <w:rPr>
          <w:b/>
        </w:rPr>
        <w:t>3</w:t>
      </w:r>
    </w:p>
    <w:p w14:paraId="5E2AEE2A" w14:textId="03A3BF1E" w:rsidR="00FF70C1" w:rsidRPr="00FF70C1" w:rsidRDefault="00FF70C1" w:rsidP="00FF70C1">
      <w:pPr>
        <w:spacing w:line="276" w:lineRule="auto"/>
      </w:pPr>
      <w:r w:rsidRPr="00FF70C1">
        <w:rPr>
          <w:rFonts w:hint="eastAsia"/>
          <w:lang w:val="en-GB"/>
        </w:rPr>
        <w:t>R</w:t>
      </w:r>
      <w:r w:rsidRPr="00FF70C1">
        <w:rPr>
          <w:lang w:val="en-GB"/>
        </w:rPr>
        <w:t>elationships</w:t>
      </w:r>
      <w:r w:rsidRPr="00FF70C1">
        <w:t xml:space="preserve"> among parameters of PSII. The relationship between</w:t>
      </w:r>
      <w:r w:rsidRPr="00FF70C1">
        <w:rPr>
          <w:lang w:val="en-GB"/>
        </w:rPr>
        <w:t xml:space="preserve"> t</w:t>
      </w:r>
      <w:r w:rsidRPr="00FF70C1">
        <w:t xml:space="preserve">he effective quantum yield of PSII [Y(II)] and the quantum yield of regulated energy dissipation in PSII [Y(NPQ)] (A-C), and between Y(II) and non-regulated energy dissipation in PSII [Y(NO)] (D-F) </w:t>
      </w:r>
      <w:r w:rsidR="00822B34">
        <w:t>under</w:t>
      </w:r>
      <w:r w:rsidR="00822B34" w:rsidRPr="00FF70C1">
        <w:t xml:space="preserve"> </w:t>
      </w:r>
      <w:r w:rsidRPr="00FF70C1">
        <w:t xml:space="preserve">low (LN, A, D), </w:t>
      </w:r>
      <w:r w:rsidR="00822B34">
        <w:t>moderate</w:t>
      </w:r>
      <w:r w:rsidR="00822B34" w:rsidRPr="00FF70C1">
        <w:t xml:space="preserve"> </w:t>
      </w:r>
      <w:r w:rsidRPr="00FF70C1">
        <w:t>(MN, B, E) and high nitrogen levels (HN C, F). For other details, see the legend of Fig. 2.</w:t>
      </w:r>
    </w:p>
    <w:p w14:paraId="3D18BC3B" w14:textId="77777777" w:rsidR="00FB1414" w:rsidRDefault="00FF70C1" w:rsidP="00CA7292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14:paraId="0D293A7D" w14:textId="77777777" w:rsidR="00FB1414" w:rsidRDefault="00FB1414" w:rsidP="00CA7292">
      <w:pPr>
        <w:spacing w:line="276" w:lineRule="auto"/>
        <w:jc w:val="center"/>
        <w:rPr>
          <w:rFonts w:cs="Times New Roman"/>
        </w:rPr>
      </w:pPr>
    </w:p>
    <w:p w14:paraId="20DD6010" w14:textId="78F9F879" w:rsidR="00CA7292" w:rsidRDefault="00CA7292" w:rsidP="00CA7292">
      <w:pPr>
        <w:spacing w:line="276" w:lineRule="auto"/>
        <w:jc w:val="center"/>
        <w:rPr>
          <w:rFonts w:cs="Times New Roman"/>
        </w:rPr>
      </w:pPr>
      <w:r w:rsidRPr="009719DA">
        <w:rPr>
          <w:rFonts w:cs="Times New Roman"/>
          <w:noProof/>
        </w:rPr>
        <w:drawing>
          <wp:inline distT="0" distB="0" distL="0" distR="0" wp14:anchorId="05BC0401" wp14:editId="18F24959">
            <wp:extent cx="3556000" cy="5473700"/>
            <wp:effectExtent l="0" t="0" r="0" b="1270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3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02E1" w14:textId="77777777" w:rsidR="00CA7292" w:rsidRDefault="00CA7292" w:rsidP="00CA7292">
      <w:pPr>
        <w:spacing w:line="360" w:lineRule="auto"/>
        <w:rPr>
          <w:b/>
        </w:rPr>
      </w:pPr>
    </w:p>
    <w:p w14:paraId="0C6A4D01" w14:textId="480117ED" w:rsidR="00CA7292" w:rsidRPr="00635ECB" w:rsidRDefault="00CA7292" w:rsidP="00CA7292">
      <w:pPr>
        <w:spacing w:line="360" w:lineRule="auto"/>
        <w:rPr>
          <w:rFonts w:cs="Times New Roman"/>
          <w:b/>
        </w:rPr>
      </w:pPr>
      <w:r w:rsidRPr="00FF70C1">
        <w:rPr>
          <w:b/>
        </w:rPr>
        <w:t xml:space="preserve">Supplementary </w:t>
      </w:r>
      <w:r w:rsidRPr="00635ECB">
        <w:rPr>
          <w:rFonts w:cs="Times New Roman"/>
          <w:b/>
        </w:rPr>
        <w:t xml:space="preserve">Figure </w:t>
      </w:r>
      <w:r w:rsidR="00AF5A19">
        <w:rPr>
          <w:rFonts w:cs="Times New Roman"/>
          <w:b/>
        </w:rPr>
        <w:t>S</w:t>
      </w:r>
      <w:r>
        <w:rPr>
          <w:rFonts w:cs="Times New Roman"/>
          <w:b/>
        </w:rPr>
        <w:t>4</w:t>
      </w:r>
    </w:p>
    <w:p w14:paraId="6518DBFA" w14:textId="5F563100" w:rsidR="00CA7292" w:rsidRDefault="00CA7292" w:rsidP="00CA7292">
      <w:pPr>
        <w:spacing w:line="276" w:lineRule="auto"/>
        <w:rPr>
          <w:rFonts w:cs="Times New Roman"/>
        </w:rPr>
      </w:pPr>
      <w:r w:rsidRPr="00635ECB">
        <w:rPr>
          <w:rFonts w:cs="Times New Roman"/>
        </w:rPr>
        <w:t>Light-response curves of PSI parameters in mature leaves of rice plants. The effective quantum yield of PSI [Y(I), A</w:t>
      </w:r>
      <w:r>
        <w:rPr>
          <w:rFonts w:cs="Times New Roman"/>
        </w:rPr>
        <w:t>, B</w:t>
      </w:r>
      <w:r w:rsidRPr="00635ECB">
        <w:rPr>
          <w:rFonts w:cs="Times New Roman"/>
        </w:rPr>
        <w:t xml:space="preserve">], the non-photochemical quantum yield due to donor side limitations [Y(ND), </w:t>
      </w:r>
      <w:r>
        <w:rPr>
          <w:rFonts w:cs="Times New Roman"/>
        </w:rPr>
        <w:t>C, D</w:t>
      </w:r>
      <w:r w:rsidRPr="00635ECB">
        <w:rPr>
          <w:rFonts w:cs="Times New Roman"/>
        </w:rPr>
        <w:t xml:space="preserve">], and the non-photochemical quantum yield due to acceptor side limitations [Y(NA), </w:t>
      </w:r>
      <w:r>
        <w:rPr>
          <w:rFonts w:cs="Times New Roman"/>
        </w:rPr>
        <w:t>E, F</w:t>
      </w:r>
      <w:r w:rsidRPr="00635ECB">
        <w:rPr>
          <w:rFonts w:cs="Times New Roman"/>
        </w:rPr>
        <w:t xml:space="preserve">] </w:t>
      </w:r>
      <w:r w:rsidR="00822B34">
        <w:rPr>
          <w:rFonts w:cs="Times New Roman"/>
        </w:rPr>
        <w:t>under</w:t>
      </w:r>
      <w:r w:rsidRPr="00635ECB">
        <w:rPr>
          <w:rFonts w:cs="Times New Roman"/>
        </w:rPr>
        <w:t xml:space="preserve"> low (LN, A, </w:t>
      </w:r>
      <w:r>
        <w:rPr>
          <w:rFonts w:cs="Times New Roman"/>
        </w:rPr>
        <w:t>C</w:t>
      </w:r>
      <w:r w:rsidRPr="00635ECB">
        <w:rPr>
          <w:rFonts w:cs="Times New Roman"/>
        </w:rPr>
        <w:t>, G</w:t>
      </w:r>
      <w:r>
        <w:rPr>
          <w:rFonts w:cs="Times New Roman"/>
        </w:rPr>
        <w:t>) and</w:t>
      </w:r>
      <w:r w:rsidRPr="00635ECB">
        <w:rPr>
          <w:rFonts w:cs="Times New Roman"/>
        </w:rPr>
        <w:t xml:space="preserve"> </w:t>
      </w:r>
      <w:r w:rsidR="00822B34">
        <w:rPr>
          <w:rFonts w:cs="Times New Roman"/>
        </w:rPr>
        <w:t>moderate</w:t>
      </w:r>
      <w:r w:rsidRPr="00635ECB">
        <w:rPr>
          <w:rFonts w:cs="Times New Roman"/>
        </w:rPr>
        <w:t xml:space="preserve"> nitrogen levels (MN, B, </w:t>
      </w:r>
      <w:r>
        <w:rPr>
          <w:rFonts w:cs="Times New Roman"/>
        </w:rPr>
        <w:t>D</w:t>
      </w:r>
      <w:r w:rsidRPr="00635ECB">
        <w:rPr>
          <w:rFonts w:cs="Times New Roman"/>
        </w:rPr>
        <w:t xml:space="preserve">, </w:t>
      </w:r>
      <w:r>
        <w:rPr>
          <w:rFonts w:cs="Times New Roman"/>
        </w:rPr>
        <w:t>F</w:t>
      </w:r>
      <w:r w:rsidRPr="00635ECB">
        <w:rPr>
          <w:rFonts w:cs="Times New Roman"/>
        </w:rPr>
        <w:t>). Statisti</w:t>
      </w:r>
      <w:r w:rsidR="00822B34">
        <w:rPr>
          <w:rFonts w:cs="Times New Roman"/>
        </w:rPr>
        <w:t>cal results of effects of PPFD we</w:t>
      </w:r>
      <w:r w:rsidRPr="00635ECB">
        <w:rPr>
          <w:rFonts w:cs="Times New Roman"/>
        </w:rPr>
        <w:t xml:space="preserve">re less than 0.001 in Y(I) and Y(ND) </w:t>
      </w:r>
      <w:r w:rsidR="00822B34">
        <w:rPr>
          <w:rFonts w:cs="Times New Roman"/>
        </w:rPr>
        <w:t>under</w:t>
      </w:r>
      <w:r w:rsidRPr="00635ECB">
        <w:rPr>
          <w:rFonts w:cs="Times New Roman"/>
        </w:rPr>
        <w:t xml:space="preserve"> all N levels.</w:t>
      </w:r>
      <w:r>
        <w:rPr>
          <w:rFonts w:cs="Times New Roman"/>
        </w:rPr>
        <w:t xml:space="preserve"> For other details</w:t>
      </w:r>
      <w:r w:rsidRPr="00635ECB">
        <w:rPr>
          <w:rFonts w:cs="Times New Roman"/>
        </w:rPr>
        <w:t xml:space="preserve">, see the legend of </w:t>
      </w:r>
      <w:r>
        <w:rPr>
          <w:rFonts w:cs="Times New Roman"/>
        </w:rPr>
        <w:t xml:space="preserve">Supplementary </w:t>
      </w:r>
      <w:r w:rsidRPr="00635ECB">
        <w:rPr>
          <w:rFonts w:cs="Times New Roman"/>
        </w:rPr>
        <w:t>Fig. 2.</w:t>
      </w:r>
    </w:p>
    <w:p w14:paraId="2FFFB360" w14:textId="77777777" w:rsidR="00FF70C1" w:rsidRDefault="00FF70C1" w:rsidP="00FF70C1">
      <w:pPr>
        <w:widowControl/>
        <w:spacing w:line="276" w:lineRule="auto"/>
        <w:jc w:val="left"/>
        <w:rPr>
          <w:b/>
        </w:rPr>
      </w:pPr>
    </w:p>
    <w:p w14:paraId="7F9135D9" w14:textId="77777777" w:rsidR="00200D15" w:rsidRDefault="00200D15" w:rsidP="00200D15">
      <w:pPr>
        <w:spacing w:line="276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0F03DD0" wp14:editId="0B800F29">
            <wp:extent cx="5080000" cy="3924300"/>
            <wp:effectExtent l="0" t="0" r="0" b="1270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2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CD15" w14:textId="77777777" w:rsidR="00200D15" w:rsidRDefault="00200D15" w:rsidP="00FF70C1">
      <w:pPr>
        <w:spacing w:line="276" w:lineRule="auto"/>
        <w:rPr>
          <w:b/>
        </w:rPr>
      </w:pPr>
    </w:p>
    <w:p w14:paraId="25874CDD" w14:textId="1F7E3299" w:rsidR="00FF70C1" w:rsidRPr="00FF70C1" w:rsidRDefault="00FF70C1" w:rsidP="00FF70C1">
      <w:pPr>
        <w:spacing w:line="276" w:lineRule="auto"/>
        <w:rPr>
          <w:b/>
        </w:rPr>
      </w:pPr>
      <w:r w:rsidRPr="00FF70C1">
        <w:rPr>
          <w:b/>
        </w:rPr>
        <w:t xml:space="preserve">Supplementary Figure </w:t>
      </w:r>
      <w:r w:rsidR="00AF5A19">
        <w:rPr>
          <w:b/>
        </w:rPr>
        <w:t>S</w:t>
      </w:r>
      <w:r w:rsidR="003D7774">
        <w:rPr>
          <w:b/>
        </w:rPr>
        <w:t>5</w:t>
      </w:r>
    </w:p>
    <w:p w14:paraId="529C7089" w14:textId="4A5609F8" w:rsidR="00FF70C1" w:rsidRPr="00FF70C1" w:rsidRDefault="00FF70C1" w:rsidP="00FF70C1">
      <w:pPr>
        <w:spacing w:line="276" w:lineRule="auto"/>
      </w:pPr>
      <w:r w:rsidRPr="00FF70C1">
        <w:rPr>
          <w:rFonts w:hint="eastAsia"/>
          <w:lang w:val="en-GB"/>
        </w:rPr>
        <w:t>R</w:t>
      </w:r>
      <w:r w:rsidRPr="00FF70C1">
        <w:rPr>
          <w:lang w:val="en-GB"/>
        </w:rPr>
        <w:t>elationships</w:t>
      </w:r>
      <w:r w:rsidRPr="00FF70C1">
        <w:t xml:space="preserve"> among parameters of PSI. The relationship between</w:t>
      </w:r>
      <w:r w:rsidRPr="00FF70C1">
        <w:rPr>
          <w:lang w:val="en-GB"/>
        </w:rPr>
        <w:t xml:space="preserve"> t</w:t>
      </w:r>
      <w:r w:rsidRPr="00FF70C1">
        <w:t xml:space="preserve">he effective quantum yield of PSI [Y(I)] and the non-photochemical quantum yield due to </w:t>
      </w:r>
      <w:r w:rsidR="00810BA4">
        <w:t xml:space="preserve">the </w:t>
      </w:r>
      <w:r w:rsidRPr="00FF70C1">
        <w:t>donor side limitation of PSI [Y(ND)] (A-C), and between Y(I) and the non-photochemical quantum yield due to</w:t>
      </w:r>
      <w:r w:rsidR="00810BA4">
        <w:t xml:space="preserve"> the</w:t>
      </w:r>
      <w:r w:rsidRPr="00FF70C1">
        <w:t xml:space="preserve"> </w:t>
      </w:r>
      <w:r w:rsidR="00810BA4">
        <w:t>acceptor</w:t>
      </w:r>
      <w:r w:rsidR="00810BA4" w:rsidRPr="00FF70C1">
        <w:t xml:space="preserve"> </w:t>
      </w:r>
      <w:r w:rsidRPr="00FF70C1">
        <w:t xml:space="preserve">side limitation of PSI [Y(NA)] (D-F) </w:t>
      </w:r>
      <w:r w:rsidR="00810BA4">
        <w:t>under</w:t>
      </w:r>
      <w:r w:rsidR="00810BA4" w:rsidRPr="00FF70C1">
        <w:t xml:space="preserve"> </w:t>
      </w:r>
      <w:r w:rsidRPr="00FF70C1">
        <w:t xml:space="preserve">low (LN, A, D), </w:t>
      </w:r>
      <w:r w:rsidR="00810BA4">
        <w:t>moderate</w:t>
      </w:r>
      <w:r w:rsidR="00810BA4" w:rsidRPr="00FF70C1">
        <w:t xml:space="preserve"> </w:t>
      </w:r>
      <w:r w:rsidRPr="00FF70C1">
        <w:t>(MN, B, E) and high nitrogen levels (HN C, F). For other details, see the legend of Fig. 2.</w:t>
      </w:r>
    </w:p>
    <w:p w14:paraId="56960A3A" w14:textId="77777777" w:rsidR="00FF70C1" w:rsidRPr="00FF70C1" w:rsidRDefault="00FF70C1" w:rsidP="00FF70C1">
      <w:pPr>
        <w:spacing w:line="276" w:lineRule="auto"/>
      </w:pPr>
    </w:p>
    <w:p w14:paraId="55133C1E" w14:textId="77777777" w:rsidR="00200D15" w:rsidRDefault="00200D15">
      <w:pPr>
        <w:widowControl/>
        <w:jc w:val="left"/>
        <w:rPr>
          <w:b/>
        </w:rPr>
      </w:pPr>
      <w:r>
        <w:rPr>
          <w:b/>
        </w:rPr>
        <w:br w:type="page"/>
      </w:r>
    </w:p>
    <w:p w14:paraId="42821EE8" w14:textId="77777777" w:rsidR="00FB1414" w:rsidRDefault="00FB1414" w:rsidP="00FD2852">
      <w:pPr>
        <w:spacing w:line="276" w:lineRule="auto"/>
        <w:jc w:val="center"/>
        <w:rPr>
          <w:b/>
        </w:rPr>
      </w:pPr>
    </w:p>
    <w:p w14:paraId="07E0B402" w14:textId="77777777" w:rsidR="00FB1414" w:rsidRDefault="00FB1414" w:rsidP="00FD2852">
      <w:pPr>
        <w:spacing w:line="276" w:lineRule="auto"/>
        <w:jc w:val="center"/>
        <w:rPr>
          <w:b/>
        </w:rPr>
      </w:pPr>
    </w:p>
    <w:p w14:paraId="2D827C57" w14:textId="77777777" w:rsidR="00FB1414" w:rsidRDefault="00FB1414" w:rsidP="00FD2852">
      <w:pPr>
        <w:spacing w:line="276" w:lineRule="auto"/>
        <w:jc w:val="center"/>
        <w:rPr>
          <w:b/>
        </w:rPr>
      </w:pPr>
    </w:p>
    <w:p w14:paraId="5DF63E10" w14:textId="4AC83648" w:rsidR="00200D15" w:rsidRDefault="00FD2852" w:rsidP="00FD2852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D73807" wp14:editId="7D3C9DB4">
            <wp:extent cx="4025900" cy="1866900"/>
            <wp:effectExtent l="0" t="0" r="12700" b="1270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_Fig3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CC9F" w14:textId="77777777" w:rsidR="00200D15" w:rsidRDefault="00200D15" w:rsidP="00FF70C1">
      <w:pPr>
        <w:spacing w:line="276" w:lineRule="auto"/>
        <w:rPr>
          <w:b/>
        </w:rPr>
      </w:pPr>
    </w:p>
    <w:p w14:paraId="0831BD51" w14:textId="61C9427D" w:rsidR="00FF70C1" w:rsidRPr="00FF70C1" w:rsidRDefault="00FF70C1" w:rsidP="00FF70C1">
      <w:pPr>
        <w:spacing w:line="276" w:lineRule="auto"/>
        <w:rPr>
          <w:b/>
        </w:rPr>
      </w:pPr>
      <w:r w:rsidRPr="00FF70C1">
        <w:rPr>
          <w:b/>
        </w:rPr>
        <w:t xml:space="preserve">Supplementary Figure </w:t>
      </w:r>
      <w:r w:rsidR="00AF5A19">
        <w:rPr>
          <w:b/>
        </w:rPr>
        <w:t>S</w:t>
      </w:r>
      <w:r w:rsidR="003D7774">
        <w:rPr>
          <w:b/>
        </w:rPr>
        <w:t>6</w:t>
      </w:r>
    </w:p>
    <w:p w14:paraId="77387FD3" w14:textId="2B051393" w:rsidR="00FF70C1" w:rsidRPr="00FF70C1" w:rsidRDefault="00FF70C1" w:rsidP="00FF70C1">
      <w:pPr>
        <w:spacing w:line="276" w:lineRule="auto"/>
      </w:pPr>
      <w:r w:rsidRPr="00FF70C1">
        <w:t>Relationships between electron transport rate (ETR) and leaf N content per leaf are</w:t>
      </w:r>
      <w:r w:rsidR="00DE434B">
        <w:t>a</w:t>
      </w:r>
      <w:r w:rsidRPr="00FF70C1">
        <w:t xml:space="preserve"> in mature leaves of rice plants. The data of ETRII (A) and ETRI (B) </w:t>
      </w:r>
      <w:r w:rsidR="00DE434B">
        <w:t>under</w:t>
      </w:r>
      <w:r w:rsidR="00DE434B" w:rsidRPr="00FF70C1">
        <w:t xml:space="preserve"> </w:t>
      </w:r>
      <w:r w:rsidRPr="00FF70C1">
        <w:t xml:space="preserve">the highest </w:t>
      </w:r>
      <w:r w:rsidR="00DE434B">
        <w:t>actinic light</w:t>
      </w:r>
      <w:r w:rsidRPr="00FF70C1">
        <w:t xml:space="preserve"> intensity were used. Pearson’s correlation coefficient and probabilities of statistical analysis </w:t>
      </w:r>
      <w:r w:rsidR="00DE434B">
        <w:t>a</w:t>
      </w:r>
      <w:r w:rsidRPr="00FF70C1">
        <w:t>re shown. For other details, see the legends of Fig. 2.</w:t>
      </w:r>
    </w:p>
    <w:p w14:paraId="4D8CB2B8" w14:textId="77777777" w:rsidR="003D7774" w:rsidRDefault="003D7774" w:rsidP="00FF70C1">
      <w:pPr>
        <w:spacing w:line="276" w:lineRule="auto"/>
      </w:pPr>
    </w:p>
    <w:sectPr w:rsidR="003D7774" w:rsidSect="00074B07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41388" w14:textId="77777777" w:rsidR="00634873" w:rsidRDefault="00634873" w:rsidP="00A9229B">
      <w:r>
        <w:separator/>
      </w:r>
    </w:p>
  </w:endnote>
  <w:endnote w:type="continuationSeparator" w:id="0">
    <w:p w14:paraId="6A7E052A" w14:textId="77777777" w:rsidR="00634873" w:rsidRDefault="00634873" w:rsidP="00A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Yu Gothic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9DD6" w14:textId="77777777" w:rsidR="003D7774" w:rsidRPr="00577C4C" w:rsidRDefault="003D7774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22B9B" wp14:editId="0F2FAC5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2755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02185" w14:textId="77777777" w:rsidR="003D7774" w:rsidRPr="00E9561B" w:rsidRDefault="003D7774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622B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55pt;margin-top:-4.6pt;width:289.15pt;height:2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XF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cViPl+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1uME7N4AAAAJAQAADwAAAGRycy9kb3ducmV2LnhtbEyPy07D&#10;MBBF90j8gzVI7FongRYIcaqKig0LJAoSLN14Ekf4JdtNw98zrOjujubozplmM1vDJoxp9E5AuSyA&#10;oeu8Gt0g4OP9eXEPLGXplDTeoYAfTLBpLy8aWSt/cm847fPAqMSlWgrQOYea89RptDItfUBHu95H&#10;KzONceAqyhOVW8OrolhzK0dHF7QM+KSx+94frYBPq0e1i69fvTLT7qXfrsIcgxDXV/P2EVjGOf/D&#10;8KdP6tCS08EfnUrMCFiUdyWhFB4qYASs1iWFg4Cb2wp42/DzD9pfAAAA//8DAFBLAQItABQABgAI&#10;AAAAIQC2gziS/gAAAOEBAAATAAAAAAAAAAAAAAAAAAAAAABbQ29udGVudF9UeXBlc10ueG1sUEsB&#10;Ai0AFAAGAAgAAAAhADj9If/WAAAAlAEAAAsAAAAAAAAAAAAAAAAALwEAAF9yZWxzLy5yZWxzUEsB&#10;Ai0AFAAGAAgAAAAhAEz/ZcUhAgAAHQQAAA4AAAAAAAAAAAAAAAAALgIAAGRycy9lMm9Eb2MueG1s&#10;UEsBAi0AFAAGAAgAAAAhANbjBOzeAAAACQEAAA8AAAAAAAAAAAAAAAAAewQAAGRycy9kb3ducmV2&#10;LnhtbFBLBQYAAAAABAAEAPMAAACGBQAAAAA=&#10;" stroked="f">
              <v:textbox style="mso-fit-shape-to-text:t">
                <w:txbxContent>
                  <w:p w14:paraId="4B902185" w14:textId="77777777" w:rsidR="003D7774" w:rsidRPr="00E9561B" w:rsidRDefault="003D7774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2F63F" wp14:editId="2DDD9F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8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C7AEF8" w14:textId="77777777" w:rsidR="003D7774" w:rsidRPr="00577C4C" w:rsidRDefault="003D777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E10B7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2F63F" id="Text Box 1" o:spid="_x0000_s1027" type="#_x0000_t202" style="position:absolute;left:0;text-align:left;margin-left:67.6pt;margin-top:0;width:118.8pt;height:20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sCNQIAAGYEAAAOAAAAZHJzL2Uyb0RvYy54bWysVMGO2jAQvVfqP1i+lwQKLI0IK7orqkpo&#10;dyWo9mwcByLFHtc2JPTrO+MEFm17qnpxxjPPzzPzxpnft7pmJ+V8BSbnw0HKmTISisrsc/5ju/o0&#10;48wHYQpRg1E5PyvP7xcfP8wbm6kRHKAulGNIYnzW2JwfQrBZknh5UFr4AVhlMFiC0yLg1u2TwokG&#10;2XWdjNJ0mjTgCutAKu/R+9gF+SLyl6WS4bksvQqszjnmFuLq4rqjNVnMRbZ3wh4q2ach/iELLSqD&#10;l16pHkUQ7OiqP6h0JR14KMNAgk6gLCupYg1YzTB9V83mIKyKtWBzvL22yf8/Wvl0enGsKlA7zozQ&#10;KNFWtYF9hZYNqTuN9RmCNhZhoUU3IXu/RycV3ZZO0xfLYRjHPp+vvSUySYcm6exuiiGJsdFkNh5P&#10;iCZ5O22dD98UaEZGzh1qF1sqTmsfOugFQpcZWFV1jX6R1YY1OZ9+nqTxwDWC5LUhgIqT0NNQRV3m&#10;ZIV21/b191XtoDhjsQ66YfFWrirMaC18eBEOpwOLwIkPz7iUNeDN0FucHcD9+puf8CgaRjlrcNpy&#10;7n8ehVOc1d8NyvllOB7TeMbNeHI3wo27jexuI+aoHwAHGiXD7KJJ+FBfzNKBfsWHsaRbMSSMxLtz&#10;Hi7mQ+jeAD4sqZbLCMKBtCKszcZKoqa+Ub+37atwthcloJxPcJlLkb3TpsPSSW+Xx4AKReGoz11X&#10;UXDa4DBH6fuHR6/ldh9Rb7+HxW8AAAD//wMAUEsDBBQABgAIAAAAIQArynAE2QAAAAQBAAAPAAAA&#10;ZHJzL2Rvd25yZXYueG1sTI/BTsMwEETvSPyDtUhcELUbUItCnApVyrlq2g/YxksSsNdR7DTh7zFc&#10;4LLSaEYzb4vd4qy40hh6zxrWKwWCuPGm51bD+VQ9voAIEdmg9UwavijArry9KTA3fuYjXevYilTC&#10;IUcNXYxDLmVoOnIYVn4gTt67Hx3GJMdWmhHnVO6szJTaSIc9p4UOB9p31HzWk9Pgs/nBHut1tT/M&#10;H5U6THSqA2l9f7e8vYKItMS/MPzgJ3QoE9PFT2yCsBrSI/H3Ji972m5AXDQ8qy3IspD/4ctvAAAA&#10;//8DAFBLAQItABQABgAIAAAAIQC2gziS/gAAAOEBAAATAAAAAAAAAAAAAAAAAAAAAABbQ29udGVu&#10;dF9UeXBlc10ueG1sUEsBAi0AFAAGAAgAAAAhADj9If/WAAAAlAEAAAsAAAAAAAAAAAAAAAAALwEA&#10;AF9yZWxzLy5yZWxzUEsBAi0AFAAGAAgAAAAhAAWimwI1AgAAZgQAAA4AAAAAAAAAAAAAAAAALgIA&#10;AGRycy9lMm9Eb2MueG1sUEsBAi0AFAAGAAgAAAAhACvKcATZAAAABAEAAA8AAAAAAAAAAAAAAAAA&#10;jwQAAGRycy9kb3ducmV2LnhtbFBLBQYAAAAABAAEAPMAAACVBQAAAAA=&#10;" filled="f" stroked="f" strokeweight=".5pt">
              <v:textbox style="mso-fit-shape-to-text:t">
                <w:txbxContent>
                  <w:p w14:paraId="30C7AEF8" w14:textId="77777777" w:rsidR="003D7774" w:rsidRPr="00577C4C" w:rsidRDefault="003D7774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E10B7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820EF" w14:textId="77777777" w:rsidR="003D7774" w:rsidRPr="00577C4C" w:rsidRDefault="003D7774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2E8E4" wp14:editId="63ED4C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84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2561D7" w14:textId="77777777" w:rsidR="003D7774" w:rsidRPr="00577C4C" w:rsidRDefault="003D7774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64D6C" w:rsidRPr="00F64D6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2E8E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left:0;text-align:left;margin-left:67.6pt;margin-top:0;width:118.8pt;height:2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9bNwIAAGgEAAAOAAAAZHJzL2Uyb0RvYy54bWysVMGO2jAQvVfqP1i+lwRKWBoRVnRXVJXQ&#10;7kpQ7dk4Dolke1zbkNCv79ghLNr2VPXijGfGz573ZrK475QkJ2FdA7qg41FKidAcykYfCvpjt/40&#10;p8R5pksmQYuCnoWj98uPHxatycUEapClsARBtMtbU9Dae5MnieO1UMyNwAiNwQqsYh639pCUlrWI&#10;rmQySdNZ0oItjQUunEPvYx+ky4hfVYL756pywhNZUHybj6uN6z6syXLB8oNlpm745RnsH16hWKPx&#10;0ivUI/OMHG3zB5RquAUHlR9xUAlUVcNFrAGrGafvqtnWzIhYC5LjzJUm9/9g+dPpxZKmLGg2o0Qz&#10;hRrtROfJV+gIupCf1rgc07YGE32HftR58Dt0hrK7yqrwxYIIxpHp85XdgMbDoSyd380wxDE2yebT&#10;aRZgkrfTxjr/TYAiwSioRfUiqey0cb5PHVLCZRrWjZRRQalJW9DZ5yyNB64RBJc65IrYCxeYUFH/&#10;8mD5bt9FBiZDVXsoz1ishb5dnOHrBl+0Yc6/MIv9gUVgz/tnXCoJeDNcLEpqsL/+5g/5KBtGKWmx&#10;3wrqfh6ZFZTI7xoF/TKeTkODxs00u5vgxt5G9rcRfVQPgC09xukyPJoh38vBrCyoVxyNVbgVQ0xz&#10;vLugfjAffD8FOFpcrFYxCVvSML/RW8MDdOAt8L3rXpk1F1E8yvkEQ2ey/J02fW446czq6FGhKFzg&#10;uWcVBQ8bbOco/WX0wrzc7mPW2w9i+RsAAP//AwBQSwMEFAAGAAgAAAAhACvKcATZAAAABAEAAA8A&#10;AABkcnMvZG93bnJldi54bWxMj8FOwzAQRO9I/IO1SFwQtRtQi0KcClXKuWraD9jGSxKw11HsNOHv&#10;MVzgstJoRjNvi93irLjSGHrPGtYrBYK48abnVsP5VD2+gAgR2aD1TBq+KMCuvL0pMDd+5iNd69iK&#10;VMIhRw1djEMuZWg6chhWfiBO3rsfHcYkx1aaEedU7qzMlNpIhz2nhQ4H2nfUfNaT0+Cz+cEe63W1&#10;P8wflTpMdKoDaX1/t7y9goi0xL8w/OAndCgT08VPbIKwGtIj8fcmL3vabkBcNDyrLciykP/hy28A&#10;AAD//wMAUEsBAi0AFAAGAAgAAAAhALaDOJL+AAAA4QEAABMAAAAAAAAAAAAAAAAAAAAAAFtDb250&#10;ZW50X1R5cGVzXS54bWxQSwECLQAUAAYACAAAACEAOP0h/9YAAACUAQAACwAAAAAAAAAAAAAAAAAv&#10;AQAAX3JlbHMvLnJlbHNQSwECLQAUAAYACAAAACEAVxyvWzcCAABoBAAADgAAAAAAAAAAAAAAAAAu&#10;AgAAZHJzL2Uyb0RvYy54bWxQSwECLQAUAAYACAAAACEAK8pwBNkAAAAEAQAADwAAAAAAAAAAAAAA&#10;AACRBAAAZHJzL2Rvd25yZXYueG1sUEsFBgAAAAAEAAQA8wAAAJcFAAAAAA==&#10;" filled="f" stroked="f" strokeweight=".5pt">
              <v:textbox style="mso-fit-shape-to-text:t">
                <w:txbxContent>
                  <w:p w14:paraId="722561D7" w14:textId="77777777" w:rsidR="003D7774" w:rsidRPr="00577C4C" w:rsidRDefault="003D7774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64D6C" w:rsidRPr="00F64D6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62E5A" w14:textId="77777777" w:rsidR="00634873" w:rsidRDefault="00634873" w:rsidP="00A9229B">
      <w:r>
        <w:separator/>
      </w:r>
    </w:p>
  </w:footnote>
  <w:footnote w:type="continuationSeparator" w:id="0">
    <w:p w14:paraId="60B4A8F8" w14:textId="77777777" w:rsidR="00634873" w:rsidRDefault="00634873" w:rsidP="00A9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4D05" w14:textId="77777777" w:rsidR="003D7774" w:rsidRPr="007E3148" w:rsidRDefault="003D7774" w:rsidP="003D7774">
    <w:pPr>
      <w:pStyle w:val="Header"/>
      <w:jc w:val="right"/>
    </w:pPr>
    <w:r w:rsidRPr="007E3148">
      <w:ptab w:relativeTo="margin" w:alignment="center" w:leader="none"/>
    </w:r>
    <w:r>
      <w:t>Balance between two photosystems at elevated CO</w:t>
    </w:r>
    <w:r w:rsidRPr="000F56A6">
      <w:rPr>
        <w:vertAlign w:val="subscrip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06A96" w14:textId="77777777" w:rsidR="003D7774" w:rsidRDefault="003D7774" w:rsidP="003D7774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218EEEB3" wp14:editId="036818E8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0C1"/>
    <w:rsid w:val="00074B07"/>
    <w:rsid w:val="00173D57"/>
    <w:rsid w:val="00200D15"/>
    <w:rsid w:val="0037484D"/>
    <w:rsid w:val="003D7774"/>
    <w:rsid w:val="005453E3"/>
    <w:rsid w:val="005C7DAD"/>
    <w:rsid w:val="00634873"/>
    <w:rsid w:val="00810BA4"/>
    <w:rsid w:val="00822B34"/>
    <w:rsid w:val="008B5DB6"/>
    <w:rsid w:val="008F3DE9"/>
    <w:rsid w:val="00907020"/>
    <w:rsid w:val="00942022"/>
    <w:rsid w:val="009719DA"/>
    <w:rsid w:val="009A3DBC"/>
    <w:rsid w:val="00A9229B"/>
    <w:rsid w:val="00AB5500"/>
    <w:rsid w:val="00AF5A19"/>
    <w:rsid w:val="00AF7A33"/>
    <w:rsid w:val="00C13463"/>
    <w:rsid w:val="00CA7292"/>
    <w:rsid w:val="00CD6308"/>
    <w:rsid w:val="00D5334C"/>
    <w:rsid w:val="00DE434B"/>
    <w:rsid w:val="00EA0ED7"/>
    <w:rsid w:val="00F64D6C"/>
    <w:rsid w:val="00F97EFB"/>
    <w:rsid w:val="00FB1414"/>
    <w:rsid w:val="00FD2852"/>
    <w:rsid w:val="00FF70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C93D0C"/>
  <w15:docId w15:val="{EFACDB12-D0DD-CE44-ACB3-ED1AD45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Mincho" w:eastAsia="Osak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ED7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0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0C1"/>
    <w:rPr>
      <w:rFonts w:ascii="Times New Roman" w:hAnsi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FF70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70C1"/>
    <w:rPr>
      <w:rFonts w:ascii="Times New Roman" w:hAnsi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C1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C1"/>
    <w:rPr>
      <w:rFonts w:ascii="ヒラギノ角ゴ ProN W3" w:eastAsia="ヒラギノ角ゴ ProN W3" w:hAnsi="Times New Roman"/>
      <w:kern w:val="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3096</Characters>
  <Application>Microsoft Office Word</Application>
  <DocSecurity>0</DocSecurity>
  <Lines>25</Lines>
  <Paragraphs>7</Paragraphs>
  <ScaleCrop>false</ScaleCrop>
  <Company>Univ Tokyo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航</dc:creator>
  <cp:keywords/>
  <dc:description/>
  <cp:lastModifiedBy>Gonçalo Vargas</cp:lastModifiedBy>
  <cp:revision>4</cp:revision>
  <dcterms:created xsi:type="dcterms:W3CDTF">2020-05-10T09:36:00Z</dcterms:created>
  <dcterms:modified xsi:type="dcterms:W3CDTF">2020-05-19T09:47:00Z</dcterms:modified>
</cp:coreProperties>
</file>