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B2" w:rsidRPr="00991731" w:rsidRDefault="00525BB2" w:rsidP="005E61EA">
      <w:pPr>
        <w:pStyle w:val="SupplementaryMaterial"/>
        <w:tabs>
          <w:tab w:val="left" w:pos="4395"/>
        </w:tabs>
        <w:rPr>
          <w:b w:val="0"/>
        </w:rPr>
      </w:pPr>
      <w:bookmarkStart w:id="0" w:name="OLE_LINK55"/>
      <w:bookmarkStart w:id="1" w:name="OLE_LINK56"/>
      <w:bookmarkStart w:id="2" w:name="OLE_LINK57"/>
      <w:bookmarkStart w:id="3" w:name="OLE_LINK58"/>
      <w:bookmarkStart w:id="4" w:name="_GoBack"/>
      <w:bookmarkEnd w:id="4"/>
      <w:r w:rsidRPr="00991731">
        <w:t>Supplementary Material</w:t>
      </w: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 xml:space="preserve">Fig. S1. </w:t>
      </w:r>
      <w:r w:rsidRPr="00991731">
        <w:rPr>
          <w:rFonts w:ascii="Times New Roman" w:hAnsi="Times New Roman" w:cs="Times New Roman"/>
          <w:sz w:val="24"/>
          <w:szCs w:val="24"/>
        </w:rPr>
        <w:t xml:space="preserve">Chemical structures of glycerol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dibiphytanyl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glycerol tetraethers (GDGTs) and glycerol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diphytanyl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diethers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archaeols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; ARs) detected in this study. Intact polar lipids mentioned in the text consist of one or two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glycophosphatidic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head groups attached to the glycerol of a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diether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or tetraether core lipid. GDGTs may contain up to three cyclopentane rings or one cyclohexane and four cyclopentane rings (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crenarchaeol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). GDGTs may also contain additional hydroxyl groups. ARs may contain a methoxy group at the </w:t>
      </w:r>
      <w:r w:rsidRPr="00991731">
        <w:rPr>
          <w:rFonts w:ascii="Times New Roman" w:hAnsi="Times New Roman" w:cs="Times New Roman"/>
          <w:i/>
          <w:sz w:val="24"/>
          <w:szCs w:val="24"/>
        </w:rPr>
        <w:t>sn</w:t>
      </w:r>
      <w:r w:rsidRPr="00991731">
        <w:rPr>
          <w:rFonts w:ascii="Times New Roman" w:hAnsi="Times New Roman" w:cs="Times New Roman"/>
          <w:sz w:val="24"/>
          <w:szCs w:val="24"/>
        </w:rPr>
        <w:t>-1 position of the glycerol moiety (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MeO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-AR). We also detected unsaturated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archaeols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(C-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>-AR (u), where u = the number of double bond equivalents, which means double bonds or rings). In the figure, C-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-AR (4) is represented where, in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P</w:t>
      </w:r>
      <w:r w:rsidRPr="00991731">
        <w:rPr>
          <w:rFonts w:ascii="Times New Roman" w:hAnsi="Times New Roman" w:cs="Times New Roman"/>
          <w:sz w:val="24"/>
          <w:szCs w:val="24"/>
          <w:vertAlign w:val="subscript"/>
        </w:rPr>
        <w:t>m:n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, m = the number of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cycloalkyl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moieties, and n = the number of double bonds (Zhu et al., 2013).</w:t>
      </w:r>
    </w:p>
    <w:p w:rsidR="004B5599" w:rsidRPr="00991731" w:rsidRDefault="004B5599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 xml:space="preserve">Fig. S2. </w:t>
      </w:r>
      <w:r w:rsidRPr="00991731">
        <w:rPr>
          <w:rFonts w:ascii="Times New Roman" w:hAnsi="Times New Roman" w:cs="Times New Roman"/>
          <w:sz w:val="24"/>
          <w:szCs w:val="24"/>
        </w:rPr>
        <w:t xml:space="preserve">Archaeal community structure expressed by the relative abundance of archaeal 16S rRNA gene sequences. Stations </w:t>
      </w:r>
      <w:r w:rsidRPr="00991731">
        <w:rPr>
          <w:rFonts w:ascii="Times New Roman" w:hAnsi="Times New Roman" w:cs="Times New Roman" w:hint="eastAsia"/>
          <w:sz w:val="24"/>
          <w:szCs w:val="24"/>
        </w:rPr>
        <w:t>E</w:t>
      </w:r>
      <w:r w:rsidRPr="00991731">
        <w:rPr>
          <w:rFonts w:ascii="Times New Roman" w:hAnsi="Times New Roman" w:cs="Times New Roman"/>
          <w:sz w:val="24"/>
          <w:szCs w:val="24"/>
        </w:rPr>
        <w:t>-3 and E-6 do not show data because of failed amplification.</w:t>
      </w:r>
      <w:r w:rsidR="00102E46" w:rsidRPr="00991731">
        <w:rPr>
          <w:rFonts w:ascii="Times New Roman" w:hAnsi="Times New Roman" w:cs="Times New Roman"/>
          <w:sz w:val="24"/>
          <w:szCs w:val="24"/>
        </w:rPr>
        <w:t xml:space="preserve"> Blue labels are the </w:t>
      </w:r>
      <w:r w:rsidR="00DE4ABB" w:rsidRPr="00991731">
        <w:rPr>
          <w:rFonts w:ascii="Times New Roman" w:hAnsi="Times New Roman" w:cs="Times New Roman"/>
          <w:sz w:val="24"/>
          <w:szCs w:val="24"/>
        </w:rPr>
        <w:t>N</w:t>
      </w:r>
      <w:r w:rsidR="00102E46" w:rsidRPr="00991731">
        <w:rPr>
          <w:rFonts w:ascii="Times New Roman" w:hAnsi="Times New Roman" w:cs="Times New Roman"/>
          <w:sz w:val="24"/>
          <w:szCs w:val="24"/>
        </w:rPr>
        <w:t xml:space="preserve">-samples and orange labels are the </w:t>
      </w:r>
      <w:r w:rsidR="00DE4ABB" w:rsidRPr="00991731">
        <w:rPr>
          <w:rFonts w:ascii="Times New Roman" w:hAnsi="Times New Roman" w:cs="Times New Roman"/>
          <w:sz w:val="24"/>
          <w:szCs w:val="24"/>
        </w:rPr>
        <w:t>E</w:t>
      </w:r>
      <w:r w:rsidR="00102E46" w:rsidRPr="00991731">
        <w:rPr>
          <w:rFonts w:ascii="Times New Roman" w:hAnsi="Times New Roman" w:cs="Times New Roman"/>
          <w:sz w:val="24"/>
          <w:szCs w:val="24"/>
        </w:rPr>
        <w:t>-samples.</w:t>
      </w:r>
    </w:p>
    <w:p w:rsidR="00525BB2" w:rsidRPr="00991731" w:rsidRDefault="00525BB2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 xml:space="preserve">Fig. S3. </w:t>
      </w:r>
      <w:r w:rsidRPr="00991731">
        <w:rPr>
          <w:rFonts w:ascii="Times New Roman" w:hAnsi="Times New Roman" w:cs="Times New Roman"/>
          <w:sz w:val="24"/>
          <w:szCs w:val="24"/>
        </w:rPr>
        <w:t xml:space="preserve">Phylogenetic tree based on </w:t>
      </w:r>
      <w:r w:rsidR="00102E46" w:rsidRPr="00991731">
        <w:rPr>
          <w:rFonts w:ascii="Times New Roman" w:hAnsi="Times New Roman" w:cs="Times New Roman"/>
          <w:sz w:val="24"/>
          <w:szCs w:val="24"/>
        </w:rPr>
        <w:t>Archaeal</w:t>
      </w:r>
      <w:r w:rsidRPr="00991731">
        <w:rPr>
          <w:rFonts w:ascii="Times New Roman" w:hAnsi="Times New Roman" w:cs="Times New Roman"/>
          <w:sz w:val="24"/>
          <w:szCs w:val="24"/>
        </w:rPr>
        <w:t xml:space="preserve"> 16S rRNA gene sequencing</w:t>
      </w:r>
      <w:r w:rsidR="00EF3EDF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="00102E46" w:rsidRPr="00991731">
        <w:rPr>
          <w:rFonts w:ascii="Times New Roman" w:hAnsi="Times New Roman" w:cs="Times New Roman"/>
          <w:sz w:val="24"/>
          <w:szCs w:val="24"/>
        </w:rPr>
        <w:t xml:space="preserve">(labels marked in blue represent major OTUs from the </w:t>
      </w:r>
      <w:r w:rsidR="00DE4ABB" w:rsidRPr="00991731">
        <w:rPr>
          <w:rFonts w:ascii="Times New Roman" w:hAnsi="Times New Roman" w:cs="Times New Roman"/>
          <w:sz w:val="24"/>
          <w:szCs w:val="24"/>
        </w:rPr>
        <w:t>N</w:t>
      </w:r>
      <w:r w:rsidR="00102E46" w:rsidRPr="00991731">
        <w:rPr>
          <w:rFonts w:ascii="Times New Roman" w:hAnsi="Times New Roman" w:cs="Times New Roman"/>
          <w:sz w:val="24"/>
          <w:szCs w:val="24"/>
        </w:rPr>
        <w:t>-samples; labels in orange represent</w:t>
      </w:r>
      <w:r w:rsidR="00BF082C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="00BF082C" w:rsidRPr="00991731">
        <w:rPr>
          <w:rFonts w:ascii="Times New Roman" w:hAnsi="Times New Roman" w:cs="Times New Roman" w:hint="eastAsia"/>
          <w:sz w:val="24"/>
          <w:szCs w:val="24"/>
        </w:rPr>
        <w:t>major</w:t>
      </w:r>
      <w:r w:rsidR="00BF082C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="00102E46" w:rsidRPr="00991731">
        <w:rPr>
          <w:rFonts w:ascii="Times New Roman" w:hAnsi="Times New Roman" w:cs="Times New Roman"/>
          <w:sz w:val="24"/>
          <w:szCs w:val="24"/>
        </w:rPr>
        <w:t xml:space="preserve">OTUs from the </w:t>
      </w:r>
      <w:r w:rsidR="00DE4ABB" w:rsidRPr="00991731">
        <w:rPr>
          <w:rFonts w:ascii="Times New Roman" w:hAnsi="Times New Roman" w:cs="Times New Roman"/>
          <w:sz w:val="24"/>
          <w:szCs w:val="24"/>
        </w:rPr>
        <w:t>E</w:t>
      </w:r>
      <w:r w:rsidR="00102E46" w:rsidRPr="00991731">
        <w:rPr>
          <w:rFonts w:ascii="Times New Roman" w:hAnsi="Times New Roman" w:cs="Times New Roman"/>
          <w:sz w:val="24"/>
          <w:szCs w:val="24"/>
        </w:rPr>
        <w:t>-samples)</w:t>
      </w:r>
      <w:r w:rsidRPr="00991731">
        <w:rPr>
          <w:rFonts w:ascii="Times New Roman" w:hAnsi="Times New Roman" w:cs="Times New Roman"/>
          <w:sz w:val="24"/>
          <w:szCs w:val="24"/>
        </w:rPr>
        <w:t xml:space="preserve">. Percentage in bold represents </w:t>
      </w:r>
      <w:r w:rsidR="00102E46" w:rsidRPr="00991731">
        <w:rPr>
          <w:rFonts w:ascii="Times New Roman" w:hAnsi="Times New Roman" w:cs="Times New Roman"/>
          <w:sz w:val="24"/>
          <w:szCs w:val="24"/>
        </w:rPr>
        <w:t xml:space="preserve">the percentage </w:t>
      </w:r>
      <w:r w:rsidRPr="00991731">
        <w:rPr>
          <w:rFonts w:ascii="Times New Roman" w:hAnsi="Times New Roman" w:cs="Times New Roman"/>
          <w:sz w:val="24"/>
          <w:szCs w:val="24"/>
        </w:rPr>
        <w:t xml:space="preserve">of OTU 16S rRNA gene amplicon reads </w:t>
      </w:r>
      <w:r w:rsidR="00102E46" w:rsidRPr="00991731">
        <w:rPr>
          <w:rFonts w:ascii="Times New Roman" w:hAnsi="Times New Roman" w:cs="Times New Roman"/>
          <w:sz w:val="24"/>
          <w:szCs w:val="24"/>
        </w:rPr>
        <w:t xml:space="preserve">over the </w:t>
      </w:r>
      <w:r w:rsidRPr="00991731">
        <w:rPr>
          <w:rFonts w:ascii="Times New Roman" w:hAnsi="Times New Roman" w:cs="Times New Roman"/>
          <w:sz w:val="24"/>
          <w:szCs w:val="24"/>
        </w:rPr>
        <w:t>total reads.</w:t>
      </w:r>
    </w:p>
    <w:p w:rsidR="00525BB2" w:rsidRPr="00991731" w:rsidRDefault="00525BB2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102E46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Fig. S4.</w:t>
      </w:r>
      <w:r w:rsidRPr="00991731">
        <w:rPr>
          <w:rFonts w:ascii="Times New Roman" w:hAnsi="Times New Roman" w:cs="Times New Roman"/>
          <w:sz w:val="24"/>
          <w:szCs w:val="24"/>
        </w:rPr>
        <w:t xml:space="preserve"> Plots of MG I cell density against: a) C-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-ARs; b)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MeO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>-AR. Blue squares = N-samples; orange dots = E-samples. The only significant correlation in 4a is represented with a dashed line (R</w:t>
      </w:r>
      <w:r w:rsidRPr="009917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&gt; 0.5 and </w:t>
      </w:r>
      <w:r w:rsidRPr="00991731">
        <w:rPr>
          <w:rFonts w:ascii="Times New Roman" w:hAnsi="Times New Roman" w:cs="Times New Roman"/>
          <w:i/>
          <w:sz w:val="24"/>
          <w:szCs w:val="24"/>
        </w:rPr>
        <w:t>p</w:t>
      </w:r>
      <w:r w:rsidRPr="00991731">
        <w:rPr>
          <w:rFonts w:ascii="Times New Roman" w:hAnsi="Times New Roman" w:cs="Times New Roman"/>
          <w:sz w:val="24"/>
          <w:szCs w:val="24"/>
        </w:rPr>
        <w:t xml:space="preserve"> &lt; 0.05) and does not include sample E-7 (in the upper left corner). The line in 4b shows a weak and not significant (</w:t>
      </w:r>
      <w:r w:rsidRPr="0099173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991731">
        <w:rPr>
          <w:rFonts w:ascii="Times New Roman" w:hAnsi="Times New Roman" w:cs="Times New Roman"/>
          <w:sz w:val="24"/>
          <w:szCs w:val="24"/>
        </w:rPr>
        <w:t>&gt; 0.05) correlation.</w:t>
      </w:r>
    </w:p>
    <w:p w:rsidR="00525BB2" w:rsidRPr="00991731" w:rsidRDefault="00525BB2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Table S1.</w:t>
      </w:r>
      <w:r w:rsidRPr="00991731">
        <w:rPr>
          <w:rFonts w:ascii="Times New Roman" w:hAnsi="Times New Roman" w:cs="Times New Roman"/>
          <w:sz w:val="24"/>
          <w:szCs w:val="24"/>
        </w:rPr>
        <w:t xml:space="preserve"> Description of the sampling conditions and oceanographic settings.</w:t>
      </w: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Pr="00991731">
        <w:rPr>
          <w:rFonts w:ascii="Times New Roman" w:hAnsi="Times New Roman" w:cs="Times New Roman"/>
          <w:sz w:val="24"/>
          <w:szCs w:val="24"/>
        </w:rPr>
        <w:t xml:space="preserve">Parameters of 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sMRM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 xml:space="preserve"> method for specific archaeal lipids (CE: collision energy, arbitrary units).</w:t>
      </w: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Pr="00991731">
        <w:rPr>
          <w:rFonts w:ascii="Times New Roman" w:hAnsi="Times New Roman" w:cs="Times New Roman"/>
          <w:sz w:val="24"/>
          <w:szCs w:val="24"/>
        </w:rPr>
        <w:t>Relative abundance of GDGT core structure for each polar headgroup detected.</w:t>
      </w: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Table S4.</w:t>
      </w:r>
      <w:r w:rsidR="00EE0F22" w:rsidRP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sz w:val="24"/>
          <w:szCs w:val="24"/>
        </w:rPr>
        <w:t>Significant Pearson correlation coefficients (</w:t>
      </w:r>
      <w:r w:rsidRPr="00991731">
        <w:rPr>
          <w:rFonts w:ascii="Times New Roman" w:hAnsi="Times New Roman" w:cs="Times New Roman"/>
          <w:i/>
          <w:sz w:val="24"/>
          <w:szCs w:val="24"/>
        </w:rPr>
        <w:t>p</w:t>
      </w:r>
      <w:r w:rsidRPr="00991731">
        <w:rPr>
          <w:rFonts w:ascii="Times New Roman" w:hAnsi="Times New Roman" w:cs="Times New Roman"/>
          <w:sz w:val="24"/>
          <w:szCs w:val="24"/>
        </w:rPr>
        <w:t xml:space="preserve"> value &lt; 0.05) between archaeal cell densities of total archaea based on qPCR quantification, MG I and MG II inferred by archaeal community composition from sequencing, and tetraether lipid abundances.</w:t>
      </w: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S5. </w:t>
      </w:r>
      <w:r w:rsidRPr="00991731">
        <w:rPr>
          <w:rFonts w:ascii="Times New Roman" w:hAnsi="Times New Roman" w:cs="Times New Roman"/>
          <w:sz w:val="24"/>
          <w:szCs w:val="24"/>
        </w:rPr>
        <w:t>Relative abundance of C-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>-ARs and the Unsaturation Index (UI) of C-</w:t>
      </w:r>
      <w:proofErr w:type="spellStart"/>
      <w:r w:rsidRPr="0099173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991731">
        <w:rPr>
          <w:rFonts w:ascii="Times New Roman" w:hAnsi="Times New Roman" w:cs="Times New Roman"/>
          <w:sz w:val="24"/>
          <w:szCs w:val="24"/>
        </w:rPr>
        <w:t>-ARs. UI was calculated as the weighted mean where the number of double bond equivalents of each compound is weighted by its relative proportion.</w:t>
      </w: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5BB2" w:rsidRPr="00991731" w:rsidRDefault="00525BB2" w:rsidP="00525BB2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 xml:space="preserve">Table S6. </w:t>
      </w:r>
      <w:r w:rsidRPr="00991731">
        <w:rPr>
          <w:rFonts w:ascii="Times New Roman" w:hAnsi="Times New Roman" w:cs="Times New Roman"/>
          <w:sz w:val="24"/>
          <w:szCs w:val="24"/>
        </w:rPr>
        <w:t xml:space="preserve">Ring index values for each </w:t>
      </w:r>
      <w:r w:rsidR="00102E46" w:rsidRPr="00991731">
        <w:rPr>
          <w:rFonts w:ascii="Times New Roman" w:hAnsi="Times New Roman" w:cs="Times New Roman"/>
          <w:sz w:val="24"/>
          <w:szCs w:val="24"/>
        </w:rPr>
        <w:t xml:space="preserve">GDGT pool bearing a different </w:t>
      </w:r>
      <w:r w:rsidRPr="00991731">
        <w:rPr>
          <w:rFonts w:ascii="Times New Roman" w:hAnsi="Times New Roman" w:cs="Times New Roman"/>
          <w:sz w:val="24"/>
          <w:szCs w:val="24"/>
        </w:rPr>
        <w:t>polar headgroup.</w:t>
      </w:r>
    </w:p>
    <w:p w:rsidR="00525BB2" w:rsidRPr="00991731" w:rsidRDefault="00525BB2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88568C" w:rsidRPr="00991731" w:rsidRDefault="0088568C" w:rsidP="00527CB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br w:type="page"/>
      </w:r>
    </w:p>
    <w:p w:rsidR="001E014B" w:rsidRPr="00991731" w:rsidRDefault="0048315B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Fig. S1</w:t>
      </w:r>
    </w:p>
    <w:p w:rsidR="001A15B9" w:rsidRPr="00991731" w:rsidRDefault="007376C7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478790</wp:posOffset>
            </wp:positionH>
            <wp:positionV relativeFrom="paragraph">
              <wp:posOffset>320040</wp:posOffset>
            </wp:positionV>
            <wp:extent cx="4313555" cy="431990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mical Struc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24F" w:rsidRPr="00991731" w:rsidRDefault="00B0024F" w:rsidP="00527CB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br w:type="page"/>
      </w:r>
    </w:p>
    <w:p w:rsidR="00552F16" w:rsidRPr="00991731" w:rsidRDefault="00552F16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Fig. S2</w:t>
      </w:r>
    </w:p>
    <w:p w:rsidR="00552F16" w:rsidRPr="00991731" w:rsidRDefault="00552F16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2F16" w:rsidRPr="00991731" w:rsidRDefault="00DE4ABB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5270400" cy="38376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haeal Communi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00" cy="38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F16" w:rsidRPr="00991731" w:rsidRDefault="00552F16" w:rsidP="00527CB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br w:type="page"/>
      </w:r>
    </w:p>
    <w:p w:rsidR="0048315B" w:rsidRPr="00991731" w:rsidRDefault="0048315B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Fig. S</w:t>
      </w:r>
      <w:r w:rsidR="00552F16" w:rsidRPr="00991731">
        <w:rPr>
          <w:rFonts w:ascii="Times New Roman" w:hAnsi="Times New Roman" w:cs="Times New Roman"/>
          <w:b/>
          <w:sz w:val="24"/>
          <w:szCs w:val="24"/>
        </w:rPr>
        <w:t>3</w:t>
      </w:r>
    </w:p>
    <w:p w:rsidR="00180690" w:rsidRPr="00991731" w:rsidRDefault="005B53D2" w:rsidP="00527CB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E610F1A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3909600" cy="7200000"/>
            <wp:effectExtent l="0" t="0" r="2540" b="12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ylogenetical t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690" w:rsidRPr="00991731">
        <w:rPr>
          <w:rFonts w:ascii="Times New Roman" w:hAnsi="Times New Roman" w:cs="Times New Roman"/>
          <w:sz w:val="24"/>
          <w:szCs w:val="24"/>
        </w:rPr>
        <w:br w:type="page"/>
      </w:r>
    </w:p>
    <w:p w:rsidR="0048315B" w:rsidRPr="00991731" w:rsidRDefault="0048315B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Fig. S</w:t>
      </w:r>
      <w:r w:rsidR="00552F16" w:rsidRPr="00991731">
        <w:rPr>
          <w:rFonts w:ascii="Times New Roman" w:hAnsi="Times New Roman" w:cs="Times New Roman"/>
          <w:b/>
          <w:sz w:val="24"/>
          <w:szCs w:val="24"/>
        </w:rPr>
        <w:t>4</w:t>
      </w:r>
    </w:p>
    <w:p w:rsidR="009140B7" w:rsidRPr="00991731" w:rsidRDefault="00DE4ABB" w:rsidP="00527CBE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9140B7" w:rsidRPr="00991731" w:rsidSect="005D418D">
          <w:footerReference w:type="even" r:id="rId9"/>
          <w:footerReference w:type="default" r:id="rId10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 w:rsidRPr="00991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206109</wp:posOffset>
            </wp:positionV>
            <wp:extent cx="3909570" cy="64800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s Plo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57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15B" w:rsidRPr="00991731" w:rsidRDefault="0048315B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995"/>
        <w:gridCol w:w="979"/>
        <w:gridCol w:w="954"/>
        <w:gridCol w:w="1162"/>
        <w:gridCol w:w="1245"/>
        <w:gridCol w:w="541"/>
        <w:gridCol w:w="683"/>
        <w:gridCol w:w="769"/>
        <w:gridCol w:w="769"/>
        <w:gridCol w:w="769"/>
        <w:gridCol w:w="769"/>
      </w:tblGrid>
      <w:tr w:rsidR="00991731" w:rsidRPr="00C17CBB" w:rsidTr="00FE268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FE268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Location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FE268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Location (E)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Water depth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Sampling depth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Filtered seawater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Salinity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perscript"/>
              </w:rPr>
              <w:t>-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PO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perscript"/>
              </w:rPr>
              <w:t xml:space="preserve">3-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SiO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perscript"/>
              </w:rPr>
              <w:t>2-</w:t>
            </w: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</w:tr>
      <w:tr w:rsidR="00991731" w:rsidRPr="00C17CBB" w:rsidTr="00FE2680">
        <w:trPr>
          <w:trHeight w:val="5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FE268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FE268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mbsl</w:t>
            </w:r>
            <w:proofErr w:type="spellEnd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(˚C)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(PSU)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(µ</w:t>
            </w:r>
            <w:proofErr w:type="spellStart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mol</w:t>
            </w:r>
            <w:proofErr w:type="spellEnd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(µ</w:t>
            </w:r>
            <w:proofErr w:type="spellStart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mol</w:t>
            </w:r>
            <w:proofErr w:type="spellEnd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(µ</w:t>
            </w:r>
            <w:proofErr w:type="spellStart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mol</w:t>
            </w:r>
            <w:proofErr w:type="spellEnd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C17CBB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(µ</w:t>
            </w:r>
            <w:proofErr w:type="spellStart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mol</w:t>
            </w:r>
            <w:proofErr w:type="spellEnd"/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/L)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 to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4.68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147.83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 to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8.84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4.12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34.01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 to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 to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C39F6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 to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</w:tr>
      <w:tr w:rsidR="00C17CBB" w:rsidRPr="00C17CBB" w:rsidTr="00FE2680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29.46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30.65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30.59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30.45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802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28.92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28.89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28.86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28.81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28.76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</w:tr>
      <w:tr w:rsidR="00C17CBB" w:rsidRPr="00C17CBB" w:rsidTr="00FE26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28.70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7CBB" w:rsidRPr="00C17CBB" w:rsidRDefault="00C17CBB" w:rsidP="00C17CB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17CBB">
              <w:rPr>
                <w:rFonts w:ascii="Times New Roman" w:hAnsi="Times New Roman" w:cs="Times New Roman"/>
                <w:sz w:val="15"/>
                <w:szCs w:val="15"/>
              </w:rPr>
              <w:t>127.74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26.1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34.7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BB" w:rsidRPr="00C17CBB" w:rsidRDefault="00C17CBB" w:rsidP="00C17CB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C17CBB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</w:tr>
    </w:tbl>
    <w:p w:rsidR="0048315B" w:rsidRPr="00991731" w:rsidRDefault="0048315B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449B" w:rsidRPr="00991731" w:rsidRDefault="00D2449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97A" w:rsidRPr="00991731" w:rsidRDefault="00407C09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1"/>
        <w:gridCol w:w="408"/>
        <w:gridCol w:w="1699"/>
        <w:gridCol w:w="1387"/>
      </w:tblGrid>
      <w:tr w:rsidR="00991731" w:rsidRPr="00991731" w:rsidTr="006823E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Precursor ion [M+NH</w:t>
            </w: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]</w:t>
            </w: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Product ion m/z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HPH-GDGTs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1723.3-1713.3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1544.3-1534.3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2G-OH-GDGTs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1659.4-1651.4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1300.3-1292.3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1643.4-1633.4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1302.2-1292.3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1G-OH-GDGTs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1497.4-1493.4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1300.3-1292.3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1481.4-1471.4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1302.2-1292.3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1319.3-1309.3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1319.3-1309.3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2G-AR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994.8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653.7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832.8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653.7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373.7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279.3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666.7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279.3; 277.3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664.7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277.3; 275.3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277.3; 275.3; 273.3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275.3; 273.3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275.3; 273.3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273.3</w:t>
            </w:r>
          </w:p>
        </w:tc>
      </w:tr>
      <w:tr w:rsidR="00D2449B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MeO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667.7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49B" w:rsidRPr="00991731" w:rsidRDefault="00D2449B" w:rsidP="00D2449B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387.4</w:t>
            </w:r>
          </w:p>
        </w:tc>
      </w:tr>
    </w:tbl>
    <w:p w:rsidR="00ED397A" w:rsidRPr="00991731" w:rsidRDefault="00ED397A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449B" w:rsidRPr="00991731" w:rsidRDefault="00D2449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OLE_LINK33"/>
      <w:bookmarkStart w:id="6" w:name="OLE_LINK34"/>
      <w:r w:rsidRPr="009917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315B" w:rsidRPr="00991731" w:rsidRDefault="0048315B" w:rsidP="00527CB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D397A" w:rsidRPr="00991731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578"/>
        <w:gridCol w:w="578"/>
        <w:gridCol w:w="578"/>
        <w:gridCol w:w="578"/>
        <w:gridCol w:w="727"/>
        <w:gridCol w:w="222"/>
        <w:gridCol w:w="578"/>
        <w:gridCol w:w="578"/>
        <w:gridCol w:w="578"/>
        <w:gridCol w:w="578"/>
        <w:gridCol w:w="727"/>
        <w:gridCol w:w="222"/>
        <w:gridCol w:w="578"/>
        <w:gridCol w:w="578"/>
        <w:gridCol w:w="578"/>
        <w:gridCol w:w="578"/>
        <w:gridCol w:w="727"/>
        <w:gridCol w:w="222"/>
        <w:gridCol w:w="578"/>
        <w:gridCol w:w="578"/>
        <w:gridCol w:w="578"/>
        <w:gridCol w:w="578"/>
        <w:gridCol w:w="727"/>
      </w:tblGrid>
      <w:tr w:rsidR="00991731" w:rsidRPr="00991731" w:rsidTr="006823E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5"/>
          <w:bookmarkEnd w:id="6"/>
          <w:p w:rsidR="00CF39E2" w:rsidRPr="00991731" w:rsidRDefault="00CF39E2" w:rsidP="00CF39E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Relative abundance (%)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HPH-GDGTs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2G-GDGTs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1G-GDGTs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C-GDGTs</w:t>
            </w:r>
          </w:p>
        </w:tc>
      </w:tr>
      <w:tr w:rsidR="00991731" w:rsidRPr="00991731" w:rsidTr="006823E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crenarchaeol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crenarchaeol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crenarchaeol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GDGT-3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2" w:rsidRPr="00991731" w:rsidRDefault="00CF39E2" w:rsidP="00CF39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</w:pP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0"/>
                <w:szCs w:val="10"/>
              </w:rPr>
              <w:t>crenarchaeol</w:t>
            </w:r>
            <w:proofErr w:type="spellEnd"/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N-B3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48.4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N-A4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44.5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N-A8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46.2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N-B6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51.1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N-B9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50.1 </w:t>
            </w:r>
          </w:p>
        </w:tc>
      </w:tr>
      <w:tr w:rsidR="00991731" w:rsidRPr="00991731" w:rsidTr="006D6FFC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62.0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64.2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59.0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63.6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61.9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61.1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60.1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62.0 </w:t>
            </w:r>
          </w:p>
        </w:tc>
      </w:tr>
      <w:tr w:rsidR="00991731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82.7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40.1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65.8 </w:t>
            </w:r>
          </w:p>
        </w:tc>
      </w:tr>
      <w:tr w:rsidR="005B53D2" w:rsidRPr="00991731" w:rsidTr="006D6FF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>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64.0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27.5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65.7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13.9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1"/>
                <w:szCs w:val="11"/>
              </w:rPr>
              <w:t xml:space="preserve">62.5 </w:t>
            </w:r>
          </w:p>
        </w:tc>
      </w:tr>
    </w:tbl>
    <w:p w:rsidR="0048315B" w:rsidRPr="00991731" w:rsidRDefault="0048315B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39E2" w:rsidRPr="00991731" w:rsidRDefault="00CF39E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OLE_LINK35"/>
      <w:bookmarkStart w:id="8" w:name="OLE_LINK36"/>
      <w:r w:rsidRPr="009917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1E8" w:rsidRPr="00991731" w:rsidRDefault="000921E8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1258"/>
        <w:gridCol w:w="679"/>
      </w:tblGrid>
      <w:tr w:rsidR="00991731" w:rsidRPr="00991731" w:rsidTr="0033674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7"/>
          <w:bookmarkEnd w:id="8"/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Archaea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Lipid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 value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Total Archaea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1G-GDGT-2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Total Archaea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C-GDGT-2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Total Archaea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C-GDGT-3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Total Archaea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crenarchaeol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HPH-GDGT-0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-0.67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1G-OH-GDGT-2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-0.68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1G-GDGT-2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1G-GDGT-3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C-GDGT-2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C-GDGT-3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HPH-GDGT-0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2G-OH-GDGT-0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2G-OH-GDGT-1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2G-GDGT-0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2G-GDGT-1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1G-OH-GDGT-1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C-GDGT-0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C-GDGT-1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</w:tr>
      <w:tr w:rsidR="009124AD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MG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crenarchaeol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4AD" w:rsidRPr="00991731" w:rsidRDefault="009124AD" w:rsidP="009124A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</w:tr>
    </w:tbl>
    <w:p w:rsidR="000921E8" w:rsidRPr="00991731" w:rsidRDefault="000921E8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6745" w:rsidRPr="00991731" w:rsidRDefault="0033674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9" w:name="OLE_LINK37"/>
      <w:bookmarkStart w:id="10" w:name="OLE_LINK38"/>
      <w:r w:rsidRPr="009917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1E8" w:rsidRPr="00991731" w:rsidRDefault="000921E8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Table S5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046"/>
        <w:gridCol w:w="1046"/>
        <w:gridCol w:w="1046"/>
        <w:gridCol w:w="1046"/>
        <w:gridCol w:w="1046"/>
        <w:gridCol w:w="1046"/>
        <w:gridCol w:w="1046"/>
        <w:gridCol w:w="222"/>
        <w:gridCol w:w="950"/>
      </w:tblGrid>
      <w:tr w:rsidR="00991731" w:rsidRPr="00991731" w:rsidTr="00BF082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9"/>
          <w:bookmarkEnd w:id="10"/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Relative abundance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UI-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-ARs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C-</w:t>
            </w:r>
            <w:proofErr w:type="spellStart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uns</w:t>
            </w:r>
            <w:proofErr w:type="spellEnd"/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-AR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83.6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4.2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5.0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4.4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4.7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81.3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4.3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4.7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4.2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4.4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4.5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4.3 </w:t>
            </w:r>
          </w:p>
        </w:tc>
      </w:tr>
      <w:tr w:rsidR="00991731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4.2 </w:t>
            </w:r>
          </w:p>
        </w:tc>
      </w:tr>
      <w:tr w:rsidR="006D6FFC" w:rsidRPr="00991731" w:rsidTr="00BF082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79.1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FFC" w:rsidRPr="00991731" w:rsidRDefault="006D6FFC" w:rsidP="00BF082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4.1 </w:t>
            </w:r>
          </w:p>
        </w:tc>
      </w:tr>
    </w:tbl>
    <w:p w:rsidR="00336745" w:rsidRPr="00991731" w:rsidRDefault="00336745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6745" w:rsidRPr="00991731" w:rsidRDefault="00336745" w:rsidP="00336745">
      <w:pPr>
        <w:pStyle w:val="a4"/>
      </w:pPr>
      <w:r w:rsidRPr="00991731">
        <w:br w:type="page"/>
      </w:r>
    </w:p>
    <w:p w:rsidR="00084D91" w:rsidRPr="00991731" w:rsidRDefault="000921E8" w:rsidP="00527CBE">
      <w:pPr>
        <w:jc w:val="lef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lastRenderedPageBreak/>
        <w:t>Table S6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17"/>
        <w:gridCol w:w="404"/>
        <w:gridCol w:w="404"/>
        <w:gridCol w:w="404"/>
      </w:tblGrid>
      <w:tr w:rsidR="00991731" w:rsidRPr="00991731" w:rsidTr="0033674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45" w:rsidRPr="00991731" w:rsidRDefault="00336745" w:rsidP="0033674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Site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745" w:rsidRPr="00991731" w:rsidRDefault="00336745" w:rsidP="0033674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Ring Index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745" w:rsidRPr="00991731" w:rsidRDefault="00336745" w:rsidP="0033674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745" w:rsidRPr="00991731" w:rsidRDefault="00336745" w:rsidP="0033674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745" w:rsidRPr="00991731" w:rsidRDefault="00336745" w:rsidP="0033674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2G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745" w:rsidRPr="00991731" w:rsidRDefault="00336745" w:rsidP="0033674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1G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745" w:rsidRPr="00991731" w:rsidRDefault="00336745" w:rsidP="0033674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2.0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2.1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N-B9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2.8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3.0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2.9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2.8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2.8 </w:t>
            </w:r>
          </w:p>
        </w:tc>
      </w:tr>
      <w:tr w:rsidR="00991731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3.0 </w:t>
            </w:r>
          </w:p>
        </w:tc>
      </w:tr>
      <w:tr w:rsidR="005B53D2" w:rsidRPr="00991731" w:rsidTr="003367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3D2" w:rsidRPr="00991731" w:rsidRDefault="005B53D2" w:rsidP="005B53D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991731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3.0 </w:t>
            </w:r>
          </w:p>
        </w:tc>
      </w:tr>
    </w:tbl>
    <w:p w:rsidR="00A4770E" w:rsidRPr="00991731" w:rsidRDefault="00A4770E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:rsidR="002A166A" w:rsidRPr="00991731" w:rsidRDefault="002A166A" w:rsidP="00527CB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A166A" w:rsidRPr="00991731" w:rsidSect="009140B7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28" w:rsidRDefault="00290328" w:rsidP="006E3C76">
      <w:r>
        <w:separator/>
      </w:r>
    </w:p>
  </w:endnote>
  <w:endnote w:type="continuationSeparator" w:id="0">
    <w:p w:rsidR="00290328" w:rsidRDefault="00290328" w:rsidP="006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38476803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F082C" w:rsidRDefault="00BF082C" w:rsidP="00102E4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F082C" w:rsidRDefault="00BF082C" w:rsidP="006E3C7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0274157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F082C" w:rsidRDefault="00BF082C" w:rsidP="00102E4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F082C" w:rsidRPr="006E3C76" w:rsidRDefault="00BF082C" w:rsidP="006E3C76">
    <w:pPr>
      <w:pStyle w:val="a6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28" w:rsidRDefault="00290328" w:rsidP="006E3C76">
      <w:r>
        <w:separator/>
      </w:r>
    </w:p>
  </w:footnote>
  <w:footnote w:type="continuationSeparator" w:id="0">
    <w:p w:rsidR="00290328" w:rsidRDefault="00290328" w:rsidP="006E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3"/>
    <w:rsid w:val="00003247"/>
    <w:rsid w:val="0000559E"/>
    <w:rsid w:val="000255F9"/>
    <w:rsid w:val="000606D8"/>
    <w:rsid w:val="00065247"/>
    <w:rsid w:val="00084D91"/>
    <w:rsid w:val="000921E8"/>
    <w:rsid w:val="00097F37"/>
    <w:rsid w:val="000A20BC"/>
    <w:rsid w:val="000E43EF"/>
    <w:rsid w:val="00102E46"/>
    <w:rsid w:val="00106F41"/>
    <w:rsid w:val="0012429F"/>
    <w:rsid w:val="00134634"/>
    <w:rsid w:val="00142F8B"/>
    <w:rsid w:val="00161C17"/>
    <w:rsid w:val="00175A53"/>
    <w:rsid w:val="00180690"/>
    <w:rsid w:val="001A15B9"/>
    <w:rsid w:val="001A2C66"/>
    <w:rsid w:val="001B2AC8"/>
    <w:rsid w:val="001B37EF"/>
    <w:rsid w:val="001C5454"/>
    <w:rsid w:val="001D0D10"/>
    <w:rsid w:val="001D1256"/>
    <w:rsid w:val="001D4E6B"/>
    <w:rsid w:val="001E014B"/>
    <w:rsid w:val="0021796B"/>
    <w:rsid w:val="00251896"/>
    <w:rsid w:val="002548C1"/>
    <w:rsid w:val="00260DCF"/>
    <w:rsid w:val="00266DEC"/>
    <w:rsid w:val="00290328"/>
    <w:rsid w:val="00296298"/>
    <w:rsid w:val="002964B7"/>
    <w:rsid w:val="002A080B"/>
    <w:rsid w:val="002A166A"/>
    <w:rsid w:val="002B16FF"/>
    <w:rsid w:val="002C6427"/>
    <w:rsid w:val="002F7601"/>
    <w:rsid w:val="00304DEF"/>
    <w:rsid w:val="003169BC"/>
    <w:rsid w:val="00320B2D"/>
    <w:rsid w:val="00336745"/>
    <w:rsid w:val="00340E37"/>
    <w:rsid w:val="00386C77"/>
    <w:rsid w:val="003A0D80"/>
    <w:rsid w:val="003A4348"/>
    <w:rsid w:val="003A683F"/>
    <w:rsid w:val="003F3378"/>
    <w:rsid w:val="00402FA3"/>
    <w:rsid w:val="00407C09"/>
    <w:rsid w:val="00412487"/>
    <w:rsid w:val="00422628"/>
    <w:rsid w:val="00431BCB"/>
    <w:rsid w:val="004330C5"/>
    <w:rsid w:val="0045429F"/>
    <w:rsid w:val="00460074"/>
    <w:rsid w:val="004626BE"/>
    <w:rsid w:val="00481CB0"/>
    <w:rsid w:val="00482A98"/>
    <w:rsid w:val="0048315B"/>
    <w:rsid w:val="004838C1"/>
    <w:rsid w:val="004B5599"/>
    <w:rsid w:val="004C4B21"/>
    <w:rsid w:val="004D7C14"/>
    <w:rsid w:val="004E6AA7"/>
    <w:rsid w:val="005023DE"/>
    <w:rsid w:val="005106D9"/>
    <w:rsid w:val="00514BF2"/>
    <w:rsid w:val="005249D2"/>
    <w:rsid w:val="00525BB2"/>
    <w:rsid w:val="00527CBE"/>
    <w:rsid w:val="00552F16"/>
    <w:rsid w:val="00555CB3"/>
    <w:rsid w:val="00565F0A"/>
    <w:rsid w:val="00572E70"/>
    <w:rsid w:val="005853A1"/>
    <w:rsid w:val="005863A9"/>
    <w:rsid w:val="005A5C8C"/>
    <w:rsid w:val="005B53D2"/>
    <w:rsid w:val="005C547E"/>
    <w:rsid w:val="005D11F6"/>
    <w:rsid w:val="005D418D"/>
    <w:rsid w:val="005E0C91"/>
    <w:rsid w:val="005E5271"/>
    <w:rsid w:val="005E5F4C"/>
    <w:rsid w:val="005E61EA"/>
    <w:rsid w:val="00644C78"/>
    <w:rsid w:val="006453A8"/>
    <w:rsid w:val="006501D7"/>
    <w:rsid w:val="006823E4"/>
    <w:rsid w:val="006B761C"/>
    <w:rsid w:val="006D6FFC"/>
    <w:rsid w:val="006E3C76"/>
    <w:rsid w:val="007077BB"/>
    <w:rsid w:val="00712480"/>
    <w:rsid w:val="00714AED"/>
    <w:rsid w:val="007325D3"/>
    <w:rsid w:val="007341C6"/>
    <w:rsid w:val="007353BC"/>
    <w:rsid w:val="007376C7"/>
    <w:rsid w:val="007674EA"/>
    <w:rsid w:val="007772D6"/>
    <w:rsid w:val="007827A9"/>
    <w:rsid w:val="007D6D63"/>
    <w:rsid w:val="007F6A48"/>
    <w:rsid w:val="00801361"/>
    <w:rsid w:val="00820111"/>
    <w:rsid w:val="00840B3F"/>
    <w:rsid w:val="00873C05"/>
    <w:rsid w:val="0087446C"/>
    <w:rsid w:val="0088568C"/>
    <w:rsid w:val="00891EAA"/>
    <w:rsid w:val="00895390"/>
    <w:rsid w:val="008E352C"/>
    <w:rsid w:val="008F16B9"/>
    <w:rsid w:val="009124AD"/>
    <w:rsid w:val="009140B7"/>
    <w:rsid w:val="0091474B"/>
    <w:rsid w:val="00921073"/>
    <w:rsid w:val="0092572A"/>
    <w:rsid w:val="0094065D"/>
    <w:rsid w:val="00940CF7"/>
    <w:rsid w:val="00942FE0"/>
    <w:rsid w:val="00945322"/>
    <w:rsid w:val="00981B25"/>
    <w:rsid w:val="009826B2"/>
    <w:rsid w:val="0098720F"/>
    <w:rsid w:val="00991731"/>
    <w:rsid w:val="009B3817"/>
    <w:rsid w:val="009B56F7"/>
    <w:rsid w:val="009E0908"/>
    <w:rsid w:val="00A02A4B"/>
    <w:rsid w:val="00A05089"/>
    <w:rsid w:val="00A15C6A"/>
    <w:rsid w:val="00A26C4B"/>
    <w:rsid w:val="00A27F3A"/>
    <w:rsid w:val="00A315DF"/>
    <w:rsid w:val="00A41C6E"/>
    <w:rsid w:val="00A43E15"/>
    <w:rsid w:val="00A4770E"/>
    <w:rsid w:val="00A60C42"/>
    <w:rsid w:val="00A94623"/>
    <w:rsid w:val="00A94E85"/>
    <w:rsid w:val="00AC0A4F"/>
    <w:rsid w:val="00AC6488"/>
    <w:rsid w:val="00AD492C"/>
    <w:rsid w:val="00AE0105"/>
    <w:rsid w:val="00AE06B3"/>
    <w:rsid w:val="00AE3DAD"/>
    <w:rsid w:val="00AF0DA8"/>
    <w:rsid w:val="00AF6AE2"/>
    <w:rsid w:val="00B0024F"/>
    <w:rsid w:val="00B05F56"/>
    <w:rsid w:val="00B252C5"/>
    <w:rsid w:val="00B317D1"/>
    <w:rsid w:val="00B32631"/>
    <w:rsid w:val="00B34E0C"/>
    <w:rsid w:val="00B40AFE"/>
    <w:rsid w:val="00B72B39"/>
    <w:rsid w:val="00B7619B"/>
    <w:rsid w:val="00B8511B"/>
    <w:rsid w:val="00B93D5B"/>
    <w:rsid w:val="00BC36D0"/>
    <w:rsid w:val="00BC4D0A"/>
    <w:rsid w:val="00BD2899"/>
    <w:rsid w:val="00BD4BED"/>
    <w:rsid w:val="00BE0351"/>
    <w:rsid w:val="00BF082C"/>
    <w:rsid w:val="00C17CBB"/>
    <w:rsid w:val="00C43112"/>
    <w:rsid w:val="00C57903"/>
    <w:rsid w:val="00C61556"/>
    <w:rsid w:val="00C65ACA"/>
    <w:rsid w:val="00C847A9"/>
    <w:rsid w:val="00C9764B"/>
    <w:rsid w:val="00CB35B0"/>
    <w:rsid w:val="00CC39F6"/>
    <w:rsid w:val="00CD2524"/>
    <w:rsid w:val="00CF39E2"/>
    <w:rsid w:val="00D02919"/>
    <w:rsid w:val="00D135C4"/>
    <w:rsid w:val="00D2449B"/>
    <w:rsid w:val="00D2640E"/>
    <w:rsid w:val="00D51105"/>
    <w:rsid w:val="00D559F6"/>
    <w:rsid w:val="00D60692"/>
    <w:rsid w:val="00D62220"/>
    <w:rsid w:val="00D63B81"/>
    <w:rsid w:val="00D63CB2"/>
    <w:rsid w:val="00DE4ABB"/>
    <w:rsid w:val="00E05279"/>
    <w:rsid w:val="00E06432"/>
    <w:rsid w:val="00E07EC4"/>
    <w:rsid w:val="00E42784"/>
    <w:rsid w:val="00E815F3"/>
    <w:rsid w:val="00EC16DD"/>
    <w:rsid w:val="00EC1A3A"/>
    <w:rsid w:val="00EC23E1"/>
    <w:rsid w:val="00EC6ABF"/>
    <w:rsid w:val="00ED397A"/>
    <w:rsid w:val="00EE0F22"/>
    <w:rsid w:val="00EE411C"/>
    <w:rsid w:val="00EF3EDF"/>
    <w:rsid w:val="00F008C3"/>
    <w:rsid w:val="00F04362"/>
    <w:rsid w:val="00F53562"/>
    <w:rsid w:val="00F649CE"/>
    <w:rsid w:val="00FB1ADB"/>
    <w:rsid w:val="00FB1B85"/>
    <w:rsid w:val="00FD4159"/>
    <w:rsid w:val="00FD448F"/>
    <w:rsid w:val="00FD7C8A"/>
    <w:rsid w:val="00FE2680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FAE5-314D-F543-AD49-EB4230F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15B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2"/>
    <w:qFormat/>
    <w:rsid w:val="0048315B"/>
    <w:pPr>
      <w:keepNext/>
      <w:keepLines/>
      <w:spacing w:line="578" w:lineRule="auto"/>
      <w:ind w:leftChars="100" w:left="100" w:rightChars="100" w:right="100"/>
      <w:jc w:val="left"/>
      <w:outlineLvl w:val="0"/>
    </w:pPr>
    <w:rPr>
      <w:rFonts w:ascii="Arial" w:eastAsia="Arial" w:hAnsi="Arial" w:cs="Arial"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48315B"/>
    <w:rPr>
      <w:rFonts w:ascii="Arial" w:eastAsia="Arial" w:hAnsi="Arial" w:cs="Arial"/>
      <w:bCs/>
      <w:kern w:val="44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806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pplementaryMaterial">
    <w:name w:val="Supplementary Material"/>
    <w:basedOn w:val="a4"/>
    <w:next w:val="a4"/>
    <w:qFormat/>
    <w:rsid w:val="00525BB2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525B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6E3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3C76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6E3C76"/>
  </w:style>
  <w:style w:type="paragraph" w:styleId="a9">
    <w:name w:val="header"/>
    <w:basedOn w:val="a"/>
    <w:link w:val="aa"/>
    <w:uiPriority w:val="99"/>
    <w:unhideWhenUsed/>
    <w:rsid w:val="006E3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E3C7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353BC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353BC"/>
    <w:rPr>
      <w:rFonts w:ascii="宋体" w:eastAsia="宋体"/>
      <w:sz w:val="18"/>
      <w:szCs w:val="18"/>
    </w:rPr>
  </w:style>
  <w:style w:type="paragraph" w:styleId="ad">
    <w:name w:val="Revision"/>
    <w:hidden/>
    <w:uiPriority w:val="99"/>
    <w:semiHidden/>
    <w:rsid w:val="006D6FF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</dc:creator>
  <cp:keywords/>
  <dc:description/>
  <cp:lastModifiedBy>MCL</cp:lastModifiedBy>
  <cp:revision>10</cp:revision>
  <cp:lastPrinted>2020-01-22T03:49:00Z</cp:lastPrinted>
  <dcterms:created xsi:type="dcterms:W3CDTF">2020-04-28T06:52:00Z</dcterms:created>
  <dcterms:modified xsi:type="dcterms:W3CDTF">2020-05-13T14:10:00Z</dcterms:modified>
</cp:coreProperties>
</file>