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8A05" w14:textId="1BB40AC7" w:rsidR="00B34796" w:rsidRPr="002C27F8" w:rsidRDefault="00731CE0" w:rsidP="00731CE0">
      <w:r w:rsidRPr="002C27F8">
        <w:t xml:space="preserve">    </w:t>
      </w:r>
      <w:r w:rsidR="00B34796" w:rsidRPr="002C27F8">
        <w:rPr>
          <w:rFonts w:eastAsia="Arial"/>
          <w:b/>
          <w:bCs/>
          <w:position w:val="-1"/>
        </w:rPr>
        <w:t>T</w:t>
      </w:r>
      <w:r w:rsidR="00B34796" w:rsidRPr="002C27F8">
        <w:rPr>
          <w:rFonts w:eastAsia="Arial"/>
          <w:b/>
          <w:bCs/>
          <w:spacing w:val="1"/>
          <w:position w:val="-1"/>
        </w:rPr>
        <w:t>a</w:t>
      </w:r>
      <w:r w:rsidR="00B34796" w:rsidRPr="002C27F8">
        <w:rPr>
          <w:rFonts w:eastAsia="Arial"/>
          <w:b/>
          <w:bCs/>
          <w:position w:val="-1"/>
        </w:rPr>
        <w:t>ble</w:t>
      </w:r>
      <w:r w:rsidR="00B34796" w:rsidRPr="002C27F8">
        <w:rPr>
          <w:rFonts w:eastAsia="Arial"/>
          <w:b/>
          <w:bCs/>
          <w:spacing w:val="1"/>
          <w:position w:val="-1"/>
        </w:rPr>
        <w:t xml:space="preserve"> </w:t>
      </w:r>
      <w:r w:rsidR="00B34796" w:rsidRPr="002C27F8">
        <w:rPr>
          <w:rFonts w:eastAsia="Arial"/>
          <w:b/>
          <w:bCs/>
          <w:spacing w:val="-2"/>
          <w:position w:val="-1"/>
        </w:rPr>
        <w:t>S</w:t>
      </w:r>
      <w:r w:rsidR="00B34796" w:rsidRPr="002C27F8">
        <w:rPr>
          <w:rFonts w:eastAsia="Arial"/>
          <w:b/>
          <w:bCs/>
          <w:spacing w:val="1"/>
          <w:position w:val="-1"/>
        </w:rPr>
        <w:t>1</w:t>
      </w:r>
      <w:r w:rsidR="00B34796" w:rsidRPr="002C27F8">
        <w:rPr>
          <w:rFonts w:eastAsia="Arial"/>
          <w:b/>
          <w:bCs/>
          <w:position w:val="-1"/>
        </w:rPr>
        <w:t>.</w:t>
      </w:r>
      <w:r w:rsidR="00B34796" w:rsidRPr="002C27F8">
        <w:rPr>
          <w:rFonts w:eastAsia="Arial"/>
          <w:b/>
          <w:bCs/>
          <w:spacing w:val="1"/>
          <w:position w:val="-1"/>
        </w:rPr>
        <w:t xml:space="preserve"> </w:t>
      </w:r>
      <w:r w:rsidR="00B34796" w:rsidRPr="002C27F8">
        <w:rPr>
          <w:rFonts w:eastAsia="Arial"/>
          <w:b/>
          <w:bCs/>
          <w:position w:val="-1"/>
        </w:rPr>
        <w:t>Ch</w:t>
      </w:r>
      <w:r w:rsidR="00B34796" w:rsidRPr="002C27F8">
        <w:rPr>
          <w:rFonts w:eastAsia="Arial"/>
          <w:b/>
          <w:bCs/>
          <w:spacing w:val="1"/>
          <w:position w:val="-1"/>
        </w:rPr>
        <w:t>a</w:t>
      </w:r>
      <w:r w:rsidR="00B34796" w:rsidRPr="002C27F8">
        <w:rPr>
          <w:rFonts w:eastAsia="Arial"/>
          <w:b/>
          <w:bCs/>
          <w:spacing w:val="-2"/>
          <w:position w:val="-1"/>
        </w:rPr>
        <w:t>r</w:t>
      </w:r>
      <w:r w:rsidR="00B34796" w:rsidRPr="002C27F8">
        <w:rPr>
          <w:rFonts w:eastAsia="Arial"/>
          <w:b/>
          <w:bCs/>
          <w:spacing w:val="1"/>
          <w:position w:val="-1"/>
        </w:rPr>
        <w:t>ac</w:t>
      </w:r>
      <w:r w:rsidR="00B34796" w:rsidRPr="002C27F8">
        <w:rPr>
          <w:rFonts w:eastAsia="Arial"/>
          <w:b/>
          <w:bCs/>
          <w:spacing w:val="-1"/>
          <w:position w:val="-1"/>
        </w:rPr>
        <w:t>t</w:t>
      </w:r>
      <w:r w:rsidR="00B34796" w:rsidRPr="002C27F8">
        <w:rPr>
          <w:rFonts w:eastAsia="Arial"/>
          <w:b/>
          <w:bCs/>
          <w:spacing w:val="1"/>
          <w:position w:val="-1"/>
        </w:rPr>
        <w:t>e</w:t>
      </w:r>
      <w:r w:rsidR="00B34796" w:rsidRPr="002C27F8">
        <w:rPr>
          <w:rFonts w:eastAsia="Arial"/>
          <w:b/>
          <w:bCs/>
          <w:position w:val="-1"/>
        </w:rPr>
        <w:t>r</w:t>
      </w:r>
      <w:r w:rsidR="00B34796" w:rsidRPr="002C27F8">
        <w:rPr>
          <w:rFonts w:eastAsia="Arial"/>
          <w:b/>
          <w:bCs/>
          <w:spacing w:val="-2"/>
          <w:position w:val="-1"/>
        </w:rPr>
        <w:t>i</w:t>
      </w:r>
      <w:r w:rsidR="00B34796" w:rsidRPr="002C27F8">
        <w:rPr>
          <w:rFonts w:eastAsia="Arial"/>
          <w:b/>
          <w:bCs/>
          <w:spacing w:val="-1"/>
          <w:position w:val="-1"/>
        </w:rPr>
        <w:t>st</w:t>
      </w:r>
      <w:r w:rsidR="00B34796" w:rsidRPr="002C27F8">
        <w:rPr>
          <w:rFonts w:eastAsia="Arial"/>
          <w:b/>
          <w:bCs/>
          <w:position w:val="-1"/>
        </w:rPr>
        <w:t>i</w:t>
      </w:r>
      <w:r w:rsidR="00B34796" w:rsidRPr="002C27F8">
        <w:rPr>
          <w:rFonts w:eastAsia="Arial"/>
          <w:b/>
          <w:bCs/>
          <w:spacing w:val="1"/>
          <w:position w:val="-1"/>
        </w:rPr>
        <w:t>c</w:t>
      </w:r>
      <w:r w:rsidR="00B34796" w:rsidRPr="002C27F8">
        <w:rPr>
          <w:rFonts w:eastAsia="Arial"/>
          <w:b/>
          <w:bCs/>
          <w:position w:val="-1"/>
        </w:rPr>
        <w:t>s</w:t>
      </w:r>
      <w:r w:rsidR="00B34796" w:rsidRPr="002C27F8">
        <w:rPr>
          <w:rFonts w:eastAsia="Arial"/>
          <w:b/>
          <w:bCs/>
          <w:spacing w:val="1"/>
          <w:position w:val="-1"/>
        </w:rPr>
        <w:t xml:space="preserve"> </w:t>
      </w:r>
      <w:r w:rsidR="00B34796" w:rsidRPr="002C27F8">
        <w:rPr>
          <w:rFonts w:eastAsia="Arial"/>
          <w:b/>
          <w:bCs/>
          <w:position w:val="-1"/>
        </w:rPr>
        <w:t xml:space="preserve">of NKTL </w:t>
      </w:r>
      <w:r w:rsidR="00B34796" w:rsidRPr="002C27F8">
        <w:rPr>
          <w:rFonts w:eastAsia="Arial"/>
          <w:b/>
          <w:bCs/>
          <w:spacing w:val="1"/>
          <w:position w:val="-1"/>
        </w:rPr>
        <w:t>ce</w:t>
      </w:r>
      <w:r w:rsidR="00B34796" w:rsidRPr="002C27F8">
        <w:rPr>
          <w:rFonts w:eastAsia="Arial"/>
          <w:b/>
          <w:bCs/>
          <w:position w:val="-1"/>
        </w:rPr>
        <w:t>ll</w:t>
      </w:r>
      <w:r w:rsidR="00B34796" w:rsidRPr="002C27F8">
        <w:rPr>
          <w:rFonts w:eastAsia="Arial"/>
          <w:b/>
          <w:bCs/>
          <w:spacing w:val="-1"/>
          <w:position w:val="-1"/>
        </w:rPr>
        <w:t xml:space="preserve"> </w:t>
      </w:r>
      <w:r w:rsidR="00B34796" w:rsidRPr="002C27F8">
        <w:rPr>
          <w:rFonts w:eastAsia="Arial"/>
          <w:b/>
          <w:bCs/>
          <w:position w:val="-1"/>
        </w:rPr>
        <w:t>lin</w:t>
      </w:r>
      <w:r w:rsidR="00B34796" w:rsidRPr="002C27F8">
        <w:rPr>
          <w:rFonts w:eastAsia="Arial"/>
          <w:b/>
          <w:bCs/>
          <w:spacing w:val="-1"/>
          <w:position w:val="-1"/>
        </w:rPr>
        <w:t>e</w:t>
      </w:r>
      <w:r w:rsidR="00B34796" w:rsidRPr="002C27F8">
        <w:rPr>
          <w:rFonts w:eastAsia="Arial"/>
          <w:b/>
          <w:bCs/>
          <w:position w:val="-1"/>
        </w:rPr>
        <w:t>s</w:t>
      </w:r>
      <w:r w:rsidR="00B34796" w:rsidRPr="002C27F8">
        <w:rPr>
          <w:rFonts w:eastAsia="Arial"/>
          <w:b/>
          <w:bCs/>
          <w:spacing w:val="1"/>
          <w:position w:val="-1"/>
        </w:rPr>
        <w:t xml:space="preserve"> a</w:t>
      </w:r>
      <w:r w:rsidR="00B34796" w:rsidRPr="002C27F8">
        <w:rPr>
          <w:rFonts w:eastAsia="Arial"/>
          <w:b/>
          <w:bCs/>
          <w:position w:val="-1"/>
        </w:rPr>
        <w:t xml:space="preserve">nd </w:t>
      </w:r>
      <w:r w:rsidR="00B34796" w:rsidRPr="002C27F8">
        <w:rPr>
          <w:rFonts w:eastAsia="Arial"/>
          <w:b/>
          <w:bCs/>
          <w:spacing w:val="1"/>
          <w:position w:val="-1"/>
        </w:rPr>
        <w:t>c</w:t>
      </w:r>
      <w:r w:rsidR="00B34796" w:rsidRPr="002C27F8">
        <w:rPr>
          <w:rFonts w:eastAsia="Arial"/>
          <w:b/>
          <w:bCs/>
          <w:spacing w:val="-3"/>
          <w:position w:val="-1"/>
        </w:rPr>
        <w:t>u</w:t>
      </w:r>
      <w:r w:rsidR="00B34796" w:rsidRPr="002C27F8">
        <w:rPr>
          <w:rFonts w:eastAsia="Arial"/>
          <w:b/>
          <w:bCs/>
          <w:position w:val="-1"/>
        </w:rPr>
        <w:t>l</w:t>
      </w:r>
      <w:r w:rsidR="00B34796" w:rsidRPr="002C27F8">
        <w:rPr>
          <w:rFonts w:eastAsia="Arial"/>
          <w:b/>
          <w:bCs/>
          <w:spacing w:val="-1"/>
          <w:position w:val="-1"/>
        </w:rPr>
        <w:t>t</w:t>
      </w:r>
      <w:r w:rsidR="00B34796" w:rsidRPr="002C27F8">
        <w:rPr>
          <w:rFonts w:eastAsia="Arial"/>
          <w:b/>
          <w:bCs/>
          <w:position w:val="-1"/>
        </w:rPr>
        <w:t>ure</w:t>
      </w:r>
      <w:r w:rsidR="00B34796" w:rsidRPr="002C27F8">
        <w:rPr>
          <w:rFonts w:eastAsia="Arial"/>
          <w:b/>
          <w:bCs/>
          <w:spacing w:val="1"/>
          <w:position w:val="-1"/>
        </w:rPr>
        <w:t xml:space="preserve"> c</w:t>
      </w:r>
      <w:r w:rsidR="00B34796" w:rsidRPr="002C27F8">
        <w:rPr>
          <w:rFonts w:eastAsia="Arial"/>
          <w:b/>
          <w:bCs/>
          <w:position w:val="-1"/>
        </w:rPr>
        <w:t>ondi</w:t>
      </w:r>
      <w:r w:rsidR="00B34796" w:rsidRPr="002C27F8">
        <w:rPr>
          <w:rFonts w:eastAsia="Arial"/>
          <w:b/>
          <w:bCs/>
          <w:spacing w:val="-1"/>
          <w:position w:val="-1"/>
        </w:rPr>
        <w:t>t</w:t>
      </w:r>
      <w:r w:rsidR="00B34796" w:rsidRPr="002C27F8">
        <w:rPr>
          <w:rFonts w:eastAsia="Arial"/>
          <w:b/>
          <w:bCs/>
          <w:spacing w:val="-2"/>
          <w:position w:val="-1"/>
        </w:rPr>
        <w:t>i</w:t>
      </w:r>
      <w:r w:rsidR="00B34796" w:rsidRPr="002C27F8">
        <w:rPr>
          <w:rFonts w:eastAsia="Arial"/>
          <w:b/>
          <w:bCs/>
          <w:position w:val="-1"/>
        </w:rPr>
        <w:t>ons</w:t>
      </w:r>
      <w:r w:rsidR="00B34796" w:rsidRPr="002C27F8">
        <w:rPr>
          <w:rFonts w:eastAsia="Arial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975"/>
        <w:gridCol w:w="4880"/>
      </w:tblGrid>
      <w:tr w:rsidR="002C27F8" w:rsidRPr="002C27F8" w14:paraId="2161D57D" w14:textId="77777777" w:rsidTr="00126B64">
        <w:trPr>
          <w:trHeight w:hRule="exact" w:val="810"/>
          <w:jc w:val="center"/>
        </w:trPr>
        <w:tc>
          <w:tcPr>
            <w:tcW w:w="87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69E1C997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b/>
                <w:bCs/>
                <w:spacing w:val="-1"/>
              </w:rPr>
              <w:t>C</w:t>
            </w:r>
            <w:r w:rsidRPr="002C27F8">
              <w:rPr>
                <w:rFonts w:eastAsia="Arial"/>
                <w:b/>
                <w:bCs/>
              </w:rPr>
              <w:t>e</w:t>
            </w:r>
            <w:r w:rsidRPr="002C27F8">
              <w:rPr>
                <w:rFonts w:eastAsia="Arial"/>
                <w:b/>
                <w:bCs/>
                <w:spacing w:val="1"/>
              </w:rPr>
              <w:t>l</w:t>
            </w:r>
            <w:r w:rsidRPr="002C27F8">
              <w:rPr>
                <w:rFonts w:eastAsia="Arial"/>
                <w:b/>
                <w:bCs/>
              </w:rPr>
              <w:t xml:space="preserve">l </w:t>
            </w:r>
            <w:r w:rsidRPr="002C27F8">
              <w:rPr>
                <w:rFonts w:eastAsia="Arial"/>
                <w:b/>
                <w:bCs/>
                <w:spacing w:val="1"/>
              </w:rPr>
              <w:t>li</w:t>
            </w:r>
            <w:r w:rsidRPr="002C27F8">
              <w:rPr>
                <w:rFonts w:eastAsia="Arial"/>
                <w:b/>
                <w:bCs/>
                <w:spacing w:val="-1"/>
              </w:rPr>
              <w:t>n</w:t>
            </w:r>
            <w:r w:rsidRPr="002C27F8">
              <w:rPr>
                <w:rFonts w:eastAsia="Arial"/>
                <w:b/>
                <w:bCs/>
              </w:rPr>
              <w:t>es</w:t>
            </w:r>
          </w:p>
        </w:tc>
        <w:tc>
          <w:tcPr>
            <w:tcW w:w="119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5FF95BA" w14:textId="77777777" w:rsidR="00B34796" w:rsidRPr="002C27F8" w:rsidRDefault="00B34796" w:rsidP="00126B64">
            <w:pPr>
              <w:spacing w:line="241" w:lineRule="auto"/>
              <w:ind w:right="7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b/>
                <w:bCs/>
                <w:spacing w:val="1"/>
              </w:rPr>
              <w:t>C</w:t>
            </w:r>
            <w:r w:rsidRPr="002C27F8">
              <w:rPr>
                <w:rFonts w:eastAsia="Arial"/>
                <w:b/>
                <w:bCs/>
                <w:spacing w:val="-5"/>
              </w:rPr>
              <w:t>y</w:t>
            </w:r>
            <w:r w:rsidRPr="002C27F8">
              <w:rPr>
                <w:rFonts w:eastAsia="Arial"/>
                <w:b/>
                <w:bCs/>
                <w:spacing w:val="1"/>
              </w:rPr>
              <w:t>t</w:t>
            </w:r>
            <w:r w:rsidRPr="002C27F8">
              <w:rPr>
                <w:rFonts w:eastAsia="Arial"/>
                <w:b/>
                <w:bCs/>
              </w:rPr>
              <w:t>ok</w:t>
            </w:r>
            <w:r w:rsidRPr="002C27F8">
              <w:rPr>
                <w:rFonts w:eastAsia="Arial"/>
                <w:b/>
                <w:bCs/>
                <w:spacing w:val="1"/>
              </w:rPr>
              <w:t>i</w:t>
            </w:r>
            <w:r w:rsidRPr="002C27F8">
              <w:rPr>
                <w:rFonts w:eastAsia="Arial"/>
                <w:b/>
                <w:bCs/>
              </w:rPr>
              <w:t>ne dependen</w:t>
            </w:r>
            <w:r w:rsidRPr="002C27F8">
              <w:rPr>
                <w:rFonts w:eastAsia="Arial"/>
                <w:b/>
                <w:bCs/>
                <w:spacing w:val="2"/>
              </w:rPr>
              <w:t>c</w:t>
            </w:r>
            <w:r w:rsidRPr="002C27F8">
              <w:rPr>
                <w:rFonts w:eastAsia="Arial"/>
                <w:b/>
                <w:bCs/>
              </w:rPr>
              <w:t>y</w:t>
            </w:r>
          </w:p>
        </w:tc>
        <w:tc>
          <w:tcPr>
            <w:tcW w:w="294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91FBB51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b/>
                <w:bCs/>
                <w:spacing w:val="-1"/>
              </w:rPr>
              <w:t>C</w:t>
            </w:r>
            <w:r w:rsidRPr="002C27F8">
              <w:rPr>
                <w:rFonts w:eastAsia="Arial"/>
                <w:b/>
                <w:bCs/>
              </w:rPr>
              <w:t>u</w:t>
            </w:r>
            <w:r w:rsidRPr="002C27F8">
              <w:rPr>
                <w:rFonts w:eastAsia="Arial"/>
                <w:b/>
                <w:bCs/>
                <w:spacing w:val="1"/>
              </w:rPr>
              <w:t>lt</w:t>
            </w:r>
            <w:r w:rsidRPr="002C27F8">
              <w:rPr>
                <w:rFonts w:eastAsia="Arial"/>
                <w:b/>
                <w:bCs/>
              </w:rPr>
              <w:t>u</w:t>
            </w:r>
            <w:r w:rsidRPr="002C27F8">
              <w:rPr>
                <w:rFonts w:eastAsia="Arial"/>
                <w:b/>
                <w:bCs/>
                <w:spacing w:val="1"/>
              </w:rPr>
              <w:t>r</w:t>
            </w:r>
            <w:r w:rsidRPr="002C27F8">
              <w:rPr>
                <w:rFonts w:eastAsia="Arial"/>
                <w:b/>
                <w:bCs/>
              </w:rPr>
              <w:t>e</w:t>
            </w:r>
            <w:r w:rsidRPr="002C27F8">
              <w:rPr>
                <w:rFonts w:eastAsia="Arial"/>
                <w:b/>
                <w:bCs/>
                <w:spacing w:val="-1"/>
              </w:rPr>
              <w:t xml:space="preserve"> </w:t>
            </w:r>
            <w:r w:rsidRPr="002C27F8">
              <w:rPr>
                <w:rFonts w:eastAsia="Arial"/>
                <w:b/>
                <w:bCs/>
              </w:rPr>
              <w:t>cond</w:t>
            </w:r>
            <w:r w:rsidRPr="002C27F8">
              <w:rPr>
                <w:rFonts w:eastAsia="Arial"/>
                <w:b/>
                <w:bCs/>
                <w:spacing w:val="-1"/>
              </w:rPr>
              <w:t>i</w:t>
            </w:r>
            <w:r w:rsidRPr="002C27F8">
              <w:rPr>
                <w:rFonts w:eastAsia="Arial"/>
                <w:b/>
                <w:bCs/>
                <w:spacing w:val="1"/>
              </w:rPr>
              <w:t>ti</w:t>
            </w:r>
            <w:r w:rsidRPr="002C27F8">
              <w:rPr>
                <w:rFonts w:eastAsia="Arial"/>
                <w:b/>
                <w:bCs/>
              </w:rPr>
              <w:t>ons</w:t>
            </w:r>
          </w:p>
        </w:tc>
      </w:tr>
      <w:tr w:rsidR="002C27F8" w:rsidRPr="002C27F8" w14:paraId="72D5CE09" w14:textId="77777777" w:rsidTr="00126B64">
        <w:trPr>
          <w:trHeight w:hRule="exact" w:val="684"/>
          <w:jc w:val="center"/>
        </w:trPr>
        <w:tc>
          <w:tcPr>
            <w:tcW w:w="870" w:type="pc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4147E5B1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KHY</w:t>
            </w:r>
            <w:r w:rsidRPr="002C27F8">
              <w:rPr>
                <w:rFonts w:eastAsia="Arial"/>
                <w:spacing w:val="1"/>
              </w:rPr>
              <w:t>G</w:t>
            </w:r>
            <w:r w:rsidRPr="002C27F8">
              <w:rPr>
                <w:rFonts w:eastAsia="Arial"/>
              </w:rPr>
              <w:t>1</w:t>
            </w:r>
          </w:p>
        </w:tc>
        <w:tc>
          <w:tcPr>
            <w:tcW w:w="1190" w:type="pc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7E438380" w14:textId="77777777" w:rsidR="00B34796" w:rsidRPr="002C27F8" w:rsidRDefault="00B34796" w:rsidP="00126B64">
            <w:pPr>
              <w:ind w:right="523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1"/>
              </w:rPr>
              <w:t>I</w:t>
            </w:r>
            <w:r w:rsidRPr="002C27F8">
              <w:rPr>
                <w:rFonts w:eastAsia="Arial"/>
              </w:rPr>
              <w:t>L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2</w:t>
            </w:r>
          </w:p>
        </w:tc>
        <w:tc>
          <w:tcPr>
            <w:tcW w:w="2940" w:type="pc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7F18BB49" w14:textId="77777777" w:rsidR="00B34796" w:rsidRPr="002C27F8" w:rsidRDefault="00B34796" w:rsidP="00126B64">
            <w:pPr>
              <w:spacing w:before="28" w:line="241" w:lineRule="auto"/>
              <w:ind w:left="407" w:right="367" w:firstLine="3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R</w:t>
            </w:r>
            <w:r w:rsidRPr="002C27F8">
              <w:rPr>
                <w:rFonts w:eastAsia="Arial"/>
                <w:spacing w:val="2"/>
              </w:rPr>
              <w:t>P</w:t>
            </w:r>
            <w:r w:rsidRPr="002C27F8">
              <w:rPr>
                <w:rFonts w:eastAsia="Arial"/>
                <w:spacing w:val="-4"/>
              </w:rPr>
              <w:t>M</w:t>
            </w:r>
            <w:r w:rsidRPr="002C27F8">
              <w:rPr>
                <w:rFonts w:eastAsia="Arial"/>
                <w:spacing w:val="1"/>
              </w:rPr>
              <w:t>I-</w:t>
            </w:r>
            <w:r w:rsidRPr="002C27F8">
              <w:rPr>
                <w:rFonts w:eastAsia="Arial"/>
              </w:rPr>
              <w:t xml:space="preserve">1640 </w:t>
            </w:r>
            <w:r w:rsidRPr="002C27F8">
              <w:rPr>
                <w:rFonts w:eastAsia="Arial"/>
                <w:spacing w:val="1"/>
              </w:rPr>
              <w:t>m</w:t>
            </w:r>
            <w:r w:rsidRPr="002C27F8">
              <w:rPr>
                <w:rFonts w:eastAsia="Arial"/>
              </w:rPr>
              <w:t>ed</w:t>
            </w:r>
            <w:r w:rsidRPr="002C27F8">
              <w:rPr>
                <w:rFonts w:eastAsia="Arial"/>
                <w:spacing w:val="-1"/>
              </w:rPr>
              <w:t>i</w:t>
            </w:r>
            <w:r w:rsidRPr="002C27F8">
              <w:rPr>
                <w:rFonts w:eastAsia="Arial"/>
              </w:rPr>
              <w:t>u</w:t>
            </w:r>
            <w:r w:rsidRPr="002C27F8">
              <w:rPr>
                <w:rFonts w:eastAsia="Arial"/>
                <w:spacing w:val="1"/>
              </w:rPr>
              <w:t>m</w:t>
            </w:r>
            <w:r w:rsidRPr="002C27F8">
              <w:rPr>
                <w:rFonts w:eastAsia="Arial"/>
              </w:rPr>
              <w:t>, 1</w:t>
            </w:r>
            <w:r w:rsidRPr="002C27F8">
              <w:rPr>
                <w:rFonts w:eastAsia="Arial"/>
                <w:spacing w:val="-3"/>
              </w:rPr>
              <w:t>0</w:t>
            </w:r>
            <w:r w:rsidRPr="002C27F8">
              <w:rPr>
                <w:rFonts w:eastAsia="Arial"/>
              </w:rPr>
              <w:t xml:space="preserve">% </w:t>
            </w:r>
            <w:r w:rsidRPr="002C27F8">
              <w:rPr>
                <w:rFonts w:eastAsia="Arial"/>
                <w:spacing w:val="1"/>
              </w:rPr>
              <w:t>f</w:t>
            </w:r>
            <w:r w:rsidRPr="002C27F8">
              <w:rPr>
                <w:rFonts w:eastAsia="Arial"/>
              </w:rPr>
              <w:t>oe</w:t>
            </w:r>
            <w:r w:rsidRPr="002C27F8">
              <w:rPr>
                <w:rFonts w:eastAsia="Arial"/>
                <w:spacing w:val="1"/>
              </w:rPr>
              <w:t>t</w:t>
            </w:r>
            <w:r w:rsidRPr="002C27F8">
              <w:rPr>
                <w:rFonts w:eastAsia="Arial"/>
              </w:rPr>
              <w:t>al bo</w:t>
            </w:r>
            <w:r w:rsidRPr="002C27F8">
              <w:rPr>
                <w:rFonts w:eastAsia="Arial"/>
                <w:spacing w:val="-2"/>
              </w:rPr>
              <w:t>v</w:t>
            </w:r>
            <w:r w:rsidRPr="002C27F8">
              <w:rPr>
                <w:rFonts w:eastAsia="Arial"/>
                <w:spacing w:val="-1"/>
              </w:rPr>
              <w:t>i</w:t>
            </w:r>
            <w:r w:rsidRPr="002C27F8">
              <w:rPr>
                <w:rFonts w:eastAsia="Arial"/>
              </w:rPr>
              <w:t>ne</w:t>
            </w:r>
            <w:r w:rsidRPr="002C27F8">
              <w:rPr>
                <w:rFonts w:eastAsia="Arial"/>
                <w:spacing w:val="1"/>
              </w:rPr>
              <w:t xml:space="preserve"> </w:t>
            </w:r>
            <w:r w:rsidRPr="002C27F8">
              <w:rPr>
                <w:rFonts w:eastAsia="Arial"/>
              </w:rPr>
              <w:t>se</w:t>
            </w:r>
            <w:r w:rsidRPr="002C27F8">
              <w:rPr>
                <w:rFonts w:eastAsia="Arial"/>
                <w:spacing w:val="1"/>
              </w:rPr>
              <w:t>r</w:t>
            </w:r>
            <w:r w:rsidRPr="002C27F8">
              <w:rPr>
                <w:rFonts w:eastAsia="Arial"/>
                <w:spacing w:val="-3"/>
              </w:rPr>
              <w:t>u</w:t>
            </w:r>
            <w:r w:rsidRPr="002C27F8">
              <w:rPr>
                <w:rFonts w:eastAsia="Arial"/>
              </w:rPr>
              <w:t>m</w:t>
            </w:r>
          </w:p>
        </w:tc>
      </w:tr>
      <w:tr w:rsidR="002C27F8" w:rsidRPr="002C27F8" w14:paraId="6EDF92BE" w14:textId="77777777" w:rsidTr="00126B64">
        <w:trPr>
          <w:trHeight w:hRule="exact" w:val="736"/>
          <w:jc w:val="center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2C7A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SNK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0BE0" w14:textId="77777777" w:rsidR="00B34796" w:rsidRPr="002C27F8" w:rsidRDefault="00B34796" w:rsidP="00126B64">
            <w:pPr>
              <w:ind w:right="523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1"/>
              </w:rPr>
              <w:t>I</w:t>
            </w:r>
            <w:r w:rsidRPr="002C27F8">
              <w:rPr>
                <w:rFonts w:eastAsia="Arial"/>
              </w:rPr>
              <w:t>L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2</w:t>
            </w: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7C20" w14:textId="77777777" w:rsidR="00B34796" w:rsidRPr="002C27F8" w:rsidRDefault="00B34796" w:rsidP="00126B64">
            <w:pPr>
              <w:spacing w:before="82"/>
              <w:ind w:left="176" w:right="-20"/>
              <w:jc w:val="center"/>
              <w:rPr>
                <w:rFonts w:eastAsia="Arial"/>
                <w:lang w:val="de-DE"/>
              </w:rPr>
            </w:pPr>
            <w:r w:rsidRPr="002C27F8">
              <w:rPr>
                <w:rFonts w:eastAsia="Arial"/>
                <w:spacing w:val="-1"/>
              </w:rPr>
              <w:t>α</w:t>
            </w:r>
            <w:r w:rsidRPr="002C27F8">
              <w:rPr>
                <w:rFonts w:eastAsia="Arial"/>
                <w:spacing w:val="-1"/>
                <w:lang w:val="de-DE"/>
              </w:rPr>
              <w:t>-MEM</w:t>
            </w:r>
            <w:r w:rsidRPr="002C27F8">
              <w:rPr>
                <w:rFonts w:eastAsia="Arial"/>
                <w:spacing w:val="-3"/>
                <w:lang w:val="de-DE"/>
              </w:rPr>
              <w:t>,</w:t>
            </w:r>
            <w:r w:rsidRPr="002C27F8">
              <w:rPr>
                <w:rFonts w:eastAsia="Arial"/>
                <w:lang w:val="de-DE"/>
              </w:rPr>
              <w:t xml:space="preserve"> 20%</w:t>
            </w:r>
            <w:r w:rsidRPr="002C27F8">
              <w:rPr>
                <w:rFonts w:eastAsia="Arial"/>
                <w:spacing w:val="2"/>
                <w:lang w:val="de-DE"/>
              </w:rPr>
              <w:t xml:space="preserve"> </w:t>
            </w:r>
            <w:proofErr w:type="spellStart"/>
            <w:r w:rsidRPr="002C27F8">
              <w:rPr>
                <w:rFonts w:eastAsia="Arial"/>
                <w:spacing w:val="1"/>
                <w:lang w:val="de-DE"/>
              </w:rPr>
              <w:t>f</w:t>
            </w:r>
            <w:r w:rsidRPr="002C27F8">
              <w:rPr>
                <w:rFonts w:eastAsia="Arial"/>
                <w:lang w:val="de-DE"/>
              </w:rPr>
              <w:t>oe</w:t>
            </w:r>
            <w:r w:rsidRPr="002C27F8">
              <w:rPr>
                <w:rFonts w:eastAsia="Arial"/>
                <w:spacing w:val="1"/>
                <w:lang w:val="de-DE"/>
              </w:rPr>
              <w:t>t</w:t>
            </w:r>
            <w:r w:rsidRPr="002C27F8">
              <w:rPr>
                <w:rFonts w:eastAsia="Arial"/>
                <w:lang w:val="de-DE"/>
              </w:rPr>
              <w:t>al</w:t>
            </w:r>
            <w:proofErr w:type="spellEnd"/>
            <w:r w:rsidRPr="002C27F8">
              <w:rPr>
                <w:rFonts w:eastAsia="Arial"/>
                <w:lang w:val="de-DE"/>
              </w:rPr>
              <w:t xml:space="preserve"> bo</w:t>
            </w:r>
            <w:r w:rsidRPr="002C27F8">
              <w:rPr>
                <w:rFonts w:eastAsia="Arial"/>
                <w:spacing w:val="-2"/>
                <w:lang w:val="de-DE"/>
              </w:rPr>
              <w:t>v</w:t>
            </w:r>
            <w:r w:rsidRPr="002C27F8">
              <w:rPr>
                <w:rFonts w:eastAsia="Arial"/>
                <w:spacing w:val="-1"/>
                <w:lang w:val="de-DE"/>
              </w:rPr>
              <w:t>i</w:t>
            </w:r>
            <w:r w:rsidRPr="002C27F8">
              <w:rPr>
                <w:rFonts w:eastAsia="Arial"/>
                <w:lang w:val="de-DE"/>
              </w:rPr>
              <w:t>ne</w:t>
            </w:r>
            <w:r w:rsidRPr="002C27F8">
              <w:rPr>
                <w:rFonts w:eastAsia="Arial"/>
                <w:spacing w:val="1"/>
                <w:lang w:val="de-DE"/>
              </w:rPr>
              <w:t xml:space="preserve"> </w:t>
            </w:r>
            <w:proofErr w:type="spellStart"/>
            <w:r w:rsidRPr="002C27F8">
              <w:rPr>
                <w:rFonts w:eastAsia="Arial"/>
                <w:lang w:val="de-DE"/>
              </w:rPr>
              <w:t>se</w:t>
            </w:r>
            <w:r w:rsidRPr="002C27F8">
              <w:rPr>
                <w:rFonts w:eastAsia="Arial"/>
                <w:spacing w:val="1"/>
                <w:lang w:val="de-DE"/>
              </w:rPr>
              <w:t>r</w:t>
            </w:r>
            <w:r w:rsidRPr="002C27F8">
              <w:rPr>
                <w:rFonts w:eastAsia="Arial"/>
                <w:spacing w:val="-3"/>
                <w:lang w:val="de-DE"/>
              </w:rPr>
              <w:t>u</w:t>
            </w:r>
            <w:r w:rsidRPr="002C27F8">
              <w:rPr>
                <w:rFonts w:eastAsia="Arial"/>
                <w:lang w:val="de-DE"/>
              </w:rPr>
              <w:t>m</w:t>
            </w:r>
            <w:proofErr w:type="spellEnd"/>
          </w:p>
        </w:tc>
      </w:tr>
      <w:tr w:rsidR="002C27F8" w:rsidRPr="002C27F8" w14:paraId="1A222491" w14:textId="77777777" w:rsidTr="00126B64">
        <w:trPr>
          <w:trHeight w:hRule="exact" w:val="708"/>
          <w:jc w:val="center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68EE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NK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  <w:spacing w:val="-1"/>
              </w:rPr>
              <w:t>YS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F2723" w14:textId="77777777" w:rsidR="00B34796" w:rsidRPr="002C27F8" w:rsidRDefault="00B34796" w:rsidP="00126B64">
            <w:pPr>
              <w:ind w:right="524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1"/>
              </w:rPr>
              <w:t>I</w:t>
            </w:r>
            <w:r w:rsidRPr="002C27F8">
              <w:rPr>
                <w:rFonts w:eastAsia="Arial"/>
              </w:rPr>
              <w:t>L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2</w:t>
            </w: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37CA" w14:textId="77777777" w:rsidR="00B34796" w:rsidRPr="002C27F8" w:rsidRDefault="00B34796" w:rsidP="00126B64">
            <w:pPr>
              <w:spacing w:before="86" w:line="252" w:lineRule="exact"/>
              <w:ind w:left="407" w:right="367" w:firstLine="3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R</w:t>
            </w:r>
            <w:r w:rsidRPr="002C27F8">
              <w:rPr>
                <w:rFonts w:eastAsia="Arial"/>
                <w:spacing w:val="2"/>
              </w:rPr>
              <w:t>P</w:t>
            </w:r>
            <w:r w:rsidRPr="002C27F8">
              <w:rPr>
                <w:rFonts w:eastAsia="Arial"/>
                <w:spacing w:val="-4"/>
              </w:rPr>
              <w:t>M</w:t>
            </w:r>
            <w:r w:rsidRPr="002C27F8">
              <w:rPr>
                <w:rFonts w:eastAsia="Arial"/>
                <w:spacing w:val="1"/>
              </w:rPr>
              <w:t>I-</w:t>
            </w:r>
            <w:r w:rsidRPr="002C27F8">
              <w:rPr>
                <w:rFonts w:eastAsia="Arial"/>
              </w:rPr>
              <w:t xml:space="preserve">1640 </w:t>
            </w:r>
            <w:r w:rsidRPr="002C27F8">
              <w:rPr>
                <w:rFonts w:eastAsia="Arial"/>
                <w:spacing w:val="1"/>
              </w:rPr>
              <w:t>m</w:t>
            </w:r>
            <w:r w:rsidRPr="002C27F8">
              <w:rPr>
                <w:rFonts w:eastAsia="Arial"/>
              </w:rPr>
              <w:t>ed</w:t>
            </w:r>
            <w:r w:rsidRPr="002C27F8">
              <w:rPr>
                <w:rFonts w:eastAsia="Arial"/>
                <w:spacing w:val="-1"/>
              </w:rPr>
              <w:t>i</w:t>
            </w:r>
            <w:r w:rsidRPr="002C27F8">
              <w:rPr>
                <w:rFonts w:eastAsia="Arial"/>
              </w:rPr>
              <w:t>u</w:t>
            </w:r>
            <w:r w:rsidRPr="002C27F8">
              <w:rPr>
                <w:rFonts w:eastAsia="Arial"/>
                <w:spacing w:val="1"/>
              </w:rPr>
              <w:t>m</w:t>
            </w:r>
            <w:r w:rsidRPr="002C27F8">
              <w:rPr>
                <w:rFonts w:eastAsia="Arial"/>
              </w:rPr>
              <w:t>, 1</w:t>
            </w:r>
            <w:r w:rsidRPr="002C27F8">
              <w:rPr>
                <w:rFonts w:eastAsia="Arial"/>
                <w:spacing w:val="-3"/>
              </w:rPr>
              <w:t>0</w:t>
            </w:r>
            <w:r w:rsidRPr="002C27F8">
              <w:rPr>
                <w:rFonts w:eastAsia="Arial"/>
              </w:rPr>
              <w:t xml:space="preserve">% </w:t>
            </w:r>
            <w:r w:rsidRPr="002C27F8">
              <w:rPr>
                <w:rFonts w:eastAsia="Arial"/>
                <w:spacing w:val="1"/>
              </w:rPr>
              <w:t>f</w:t>
            </w:r>
            <w:r w:rsidRPr="002C27F8">
              <w:rPr>
                <w:rFonts w:eastAsia="Arial"/>
              </w:rPr>
              <w:t>oe</w:t>
            </w:r>
            <w:r w:rsidRPr="002C27F8">
              <w:rPr>
                <w:rFonts w:eastAsia="Arial"/>
                <w:spacing w:val="1"/>
              </w:rPr>
              <w:t>t</w:t>
            </w:r>
            <w:r w:rsidRPr="002C27F8">
              <w:rPr>
                <w:rFonts w:eastAsia="Arial"/>
              </w:rPr>
              <w:t>al bo</w:t>
            </w:r>
            <w:r w:rsidRPr="002C27F8">
              <w:rPr>
                <w:rFonts w:eastAsia="Arial"/>
                <w:spacing w:val="-2"/>
              </w:rPr>
              <w:t>v</w:t>
            </w:r>
            <w:r w:rsidRPr="002C27F8">
              <w:rPr>
                <w:rFonts w:eastAsia="Arial"/>
                <w:spacing w:val="-1"/>
              </w:rPr>
              <w:t>i</w:t>
            </w:r>
            <w:r w:rsidRPr="002C27F8">
              <w:rPr>
                <w:rFonts w:eastAsia="Arial"/>
              </w:rPr>
              <w:t>ne</w:t>
            </w:r>
            <w:r w:rsidRPr="002C27F8">
              <w:rPr>
                <w:rFonts w:eastAsia="Arial"/>
                <w:spacing w:val="1"/>
              </w:rPr>
              <w:t xml:space="preserve"> </w:t>
            </w:r>
            <w:r w:rsidRPr="002C27F8">
              <w:rPr>
                <w:rFonts w:eastAsia="Arial"/>
              </w:rPr>
              <w:t>se</w:t>
            </w:r>
            <w:r w:rsidRPr="002C27F8">
              <w:rPr>
                <w:rFonts w:eastAsia="Arial"/>
                <w:spacing w:val="1"/>
              </w:rPr>
              <w:t>r</w:t>
            </w:r>
            <w:r w:rsidRPr="002C27F8">
              <w:rPr>
                <w:rFonts w:eastAsia="Arial"/>
                <w:spacing w:val="-3"/>
              </w:rPr>
              <w:t>u</w:t>
            </w:r>
            <w:r w:rsidRPr="002C27F8">
              <w:rPr>
                <w:rFonts w:eastAsia="Arial"/>
              </w:rPr>
              <w:t>m</w:t>
            </w:r>
          </w:p>
        </w:tc>
      </w:tr>
      <w:tr w:rsidR="00B34796" w:rsidRPr="002C27F8" w14:paraId="7D0CBF27" w14:textId="77777777" w:rsidTr="00126B64">
        <w:trPr>
          <w:trHeight w:hRule="exact" w:val="653"/>
          <w:jc w:val="center"/>
        </w:trPr>
        <w:tc>
          <w:tcPr>
            <w:tcW w:w="870" w:type="pct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AE17C89" w14:textId="77777777" w:rsidR="00B34796" w:rsidRPr="002C27F8" w:rsidRDefault="00B34796" w:rsidP="00126B64">
            <w:pPr>
              <w:ind w:right="-20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-1"/>
              </w:rPr>
              <w:t>HANK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7734D8B" w14:textId="77777777" w:rsidR="00B34796" w:rsidRPr="002C27F8" w:rsidRDefault="00B34796" w:rsidP="00126B64">
            <w:pPr>
              <w:ind w:right="523"/>
              <w:jc w:val="center"/>
              <w:rPr>
                <w:rFonts w:eastAsia="Arial"/>
              </w:rPr>
            </w:pPr>
            <w:r w:rsidRPr="002C27F8">
              <w:rPr>
                <w:rFonts w:eastAsia="Arial"/>
                <w:spacing w:val="1"/>
              </w:rPr>
              <w:t>I</w:t>
            </w:r>
            <w:r w:rsidRPr="002C27F8">
              <w:rPr>
                <w:rFonts w:eastAsia="Arial"/>
              </w:rPr>
              <w:t>L</w:t>
            </w:r>
            <w:r w:rsidRPr="002C27F8">
              <w:rPr>
                <w:rFonts w:eastAsia="Arial"/>
                <w:spacing w:val="1"/>
              </w:rPr>
              <w:t>-</w:t>
            </w:r>
            <w:r w:rsidRPr="002C27F8">
              <w:rPr>
                <w:rFonts w:eastAsia="Arial"/>
              </w:rPr>
              <w:t>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D7282B3" w14:textId="77777777" w:rsidR="00B34796" w:rsidRPr="002C27F8" w:rsidRDefault="00B34796" w:rsidP="00126B64">
            <w:pPr>
              <w:spacing w:before="81"/>
              <w:ind w:left="176" w:right="-20"/>
              <w:jc w:val="center"/>
              <w:rPr>
                <w:rFonts w:eastAsia="Arial"/>
                <w:lang w:val="de-DE"/>
              </w:rPr>
            </w:pPr>
            <w:r w:rsidRPr="002C27F8">
              <w:rPr>
                <w:rFonts w:eastAsia="Arial"/>
                <w:spacing w:val="-1"/>
              </w:rPr>
              <w:t>α</w:t>
            </w:r>
            <w:r w:rsidRPr="002C27F8">
              <w:rPr>
                <w:rFonts w:eastAsia="Arial"/>
                <w:spacing w:val="-1"/>
                <w:lang w:val="de-DE"/>
              </w:rPr>
              <w:t>-MEM</w:t>
            </w:r>
            <w:r w:rsidRPr="002C27F8">
              <w:rPr>
                <w:rFonts w:eastAsia="Arial"/>
                <w:spacing w:val="-3"/>
                <w:lang w:val="de-DE"/>
              </w:rPr>
              <w:t>,</w:t>
            </w:r>
            <w:r w:rsidRPr="002C27F8">
              <w:rPr>
                <w:rFonts w:eastAsia="Arial"/>
                <w:lang w:val="de-DE"/>
              </w:rPr>
              <w:t xml:space="preserve"> 20%</w:t>
            </w:r>
            <w:r w:rsidRPr="002C27F8">
              <w:rPr>
                <w:rFonts w:eastAsia="Arial"/>
                <w:spacing w:val="2"/>
                <w:lang w:val="de-DE"/>
              </w:rPr>
              <w:t xml:space="preserve"> </w:t>
            </w:r>
            <w:proofErr w:type="spellStart"/>
            <w:r w:rsidRPr="002C27F8">
              <w:rPr>
                <w:rFonts w:eastAsia="Arial"/>
                <w:spacing w:val="1"/>
                <w:lang w:val="de-DE"/>
              </w:rPr>
              <w:t>f</w:t>
            </w:r>
            <w:r w:rsidRPr="002C27F8">
              <w:rPr>
                <w:rFonts w:eastAsia="Arial"/>
                <w:lang w:val="de-DE"/>
              </w:rPr>
              <w:t>oe</w:t>
            </w:r>
            <w:r w:rsidRPr="002C27F8">
              <w:rPr>
                <w:rFonts w:eastAsia="Arial"/>
                <w:spacing w:val="1"/>
                <w:lang w:val="de-DE"/>
              </w:rPr>
              <w:t>t</w:t>
            </w:r>
            <w:r w:rsidRPr="002C27F8">
              <w:rPr>
                <w:rFonts w:eastAsia="Arial"/>
                <w:lang w:val="de-DE"/>
              </w:rPr>
              <w:t>al</w:t>
            </w:r>
            <w:proofErr w:type="spellEnd"/>
            <w:r w:rsidRPr="002C27F8">
              <w:rPr>
                <w:rFonts w:eastAsia="Arial"/>
                <w:lang w:val="de-DE"/>
              </w:rPr>
              <w:t xml:space="preserve"> bo</w:t>
            </w:r>
            <w:r w:rsidRPr="002C27F8">
              <w:rPr>
                <w:rFonts w:eastAsia="Arial"/>
                <w:spacing w:val="-2"/>
                <w:lang w:val="de-DE"/>
              </w:rPr>
              <w:t>v</w:t>
            </w:r>
            <w:r w:rsidRPr="002C27F8">
              <w:rPr>
                <w:rFonts w:eastAsia="Arial"/>
                <w:spacing w:val="-1"/>
                <w:lang w:val="de-DE"/>
              </w:rPr>
              <w:t>i</w:t>
            </w:r>
            <w:r w:rsidRPr="002C27F8">
              <w:rPr>
                <w:rFonts w:eastAsia="Arial"/>
                <w:lang w:val="de-DE"/>
              </w:rPr>
              <w:t>ne</w:t>
            </w:r>
            <w:r w:rsidRPr="002C27F8">
              <w:rPr>
                <w:rFonts w:eastAsia="Arial"/>
                <w:spacing w:val="1"/>
                <w:lang w:val="de-DE"/>
              </w:rPr>
              <w:t xml:space="preserve"> </w:t>
            </w:r>
            <w:proofErr w:type="spellStart"/>
            <w:r w:rsidRPr="002C27F8">
              <w:rPr>
                <w:rFonts w:eastAsia="Arial"/>
                <w:lang w:val="de-DE"/>
              </w:rPr>
              <w:t>se</w:t>
            </w:r>
            <w:r w:rsidRPr="002C27F8">
              <w:rPr>
                <w:rFonts w:eastAsia="Arial"/>
                <w:spacing w:val="1"/>
                <w:lang w:val="de-DE"/>
              </w:rPr>
              <w:t>r</w:t>
            </w:r>
            <w:r w:rsidRPr="002C27F8">
              <w:rPr>
                <w:rFonts w:eastAsia="Arial"/>
                <w:spacing w:val="-3"/>
                <w:lang w:val="de-DE"/>
              </w:rPr>
              <w:t>u</w:t>
            </w:r>
            <w:r w:rsidRPr="002C27F8">
              <w:rPr>
                <w:rFonts w:eastAsia="Arial"/>
                <w:lang w:val="de-DE"/>
              </w:rPr>
              <w:t>m</w:t>
            </w:r>
            <w:proofErr w:type="spellEnd"/>
          </w:p>
        </w:tc>
      </w:tr>
    </w:tbl>
    <w:p w14:paraId="72A601F6" w14:textId="7A367AC3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65A639F8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350AC5D2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7953E440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226858B9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18207339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2FF10628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4C860C10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4D89B25B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368C2028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38BA62DE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616FAB4C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140B7BD9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179AE344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2C0D5A5B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175026CF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78ED8D31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4C4E8145" w14:textId="77777777" w:rsidR="00731CE0" w:rsidRPr="002C27F8" w:rsidRDefault="00731CE0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17108128" w14:textId="77777777" w:rsidR="00AD562A" w:rsidRPr="002C27F8" w:rsidRDefault="00AD562A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6F3787D0" w14:textId="77777777" w:rsidR="00AD562A" w:rsidRPr="002C27F8" w:rsidRDefault="00AD562A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40621DD0" w14:textId="77777777" w:rsidR="00AD562A" w:rsidRPr="002C27F8" w:rsidRDefault="00AD562A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0F1E9A18" w14:textId="77777777" w:rsidR="00AD562A" w:rsidRPr="002C27F8" w:rsidRDefault="00AD562A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38B5EDB0" w14:textId="77777777" w:rsidR="00AD562A" w:rsidRPr="002C27F8" w:rsidRDefault="00AD562A" w:rsidP="002A617A">
      <w:pPr>
        <w:jc w:val="both"/>
        <w:rPr>
          <w:rFonts w:ascii="Arial" w:eastAsia="DengXian" w:hAnsi="Arial" w:cs="Arial"/>
          <w:sz w:val="22"/>
          <w:szCs w:val="22"/>
          <w:lang w:val="de-DE"/>
        </w:rPr>
      </w:pPr>
    </w:p>
    <w:p w14:paraId="620421D1" w14:textId="7E7E77ED" w:rsidR="002A617A" w:rsidRPr="002C27F8" w:rsidRDefault="002A617A" w:rsidP="00731CE0">
      <w:pPr>
        <w:jc w:val="center"/>
        <w:rPr>
          <w:rFonts w:eastAsia="DengXian"/>
          <w:sz w:val="22"/>
          <w:szCs w:val="22"/>
        </w:rPr>
      </w:pPr>
      <w:r w:rsidRPr="002C27F8">
        <w:rPr>
          <w:rFonts w:eastAsia="DengXian"/>
          <w:sz w:val="22"/>
          <w:szCs w:val="22"/>
        </w:rPr>
        <w:lastRenderedPageBreak/>
        <w:t xml:space="preserve">Table S2: List of qPCR primers </w:t>
      </w:r>
      <w:r w:rsidR="002A7F57" w:rsidRPr="002C27F8">
        <w:rPr>
          <w:rFonts w:eastAsia="DengXian"/>
          <w:sz w:val="22"/>
          <w:szCs w:val="22"/>
        </w:rPr>
        <w:t xml:space="preserve">and </w:t>
      </w:r>
      <w:r w:rsidR="009403D8" w:rsidRPr="002C27F8">
        <w:rPr>
          <w:rFonts w:eastAsia="DengXian"/>
          <w:sz w:val="22"/>
          <w:szCs w:val="22"/>
        </w:rPr>
        <w:t xml:space="preserve">siRNA sequences </w:t>
      </w:r>
      <w:r w:rsidRPr="002C27F8">
        <w:rPr>
          <w:rFonts w:eastAsia="DengXian"/>
          <w:sz w:val="22"/>
          <w:szCs w:val="22"/>
        </w:rPr>
        <w:t>used in this study</w:t>
      </w:r>
      <w:r w:rsidR="00731CE0" w:rsidRPr="002C27F8">
        <w:rPr>
          <w:rFonts w:eastAsia="DengXian"/>
          <w:sz w:val="22"/>
          <w:szCs w:val="22"/>
        </w:rPr>
        <w:t>.</w:t>
      </w:r>
    </w:p>
    <w:tbl>
      <w:tblPr>
        <w:tblStyle w:val="TableGrid"/>
        <w:tblW w:w="0" w:type="auto"/>
        <w:tblInd w:w="2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474"/>
        <w:gridCol w:w="3307"/>
      </w:tblGrid>
      <w:tr w:rsidR="002C27F8" w:rsidRPr="002C27F8" w14:paraId="49831A07" w14:textId="77777777" w:rsidTr="00AC60C5">
        <w:trPr>
          <w:trHeight w:val="4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464077" w14:textId="2ADF030E" w:rsidR="00930C7F" w:rsidRPr="002C27F8" w:rsidRDefault="00930C7F" w:rsidP="00AC60C5">
            <w:pPr>
              <w:spacing w:before="77"/>
              <w:ind w:right="202"/>
              <w:jc w:val="center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pacing w:val="-1"/>
                <w:sz w:val="20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23DD3D" w14:textId="5BC0DDE8" w:rsidR="00930C7F" w:rsidRPr="002C27F8" w:rsidRDefault="00B1797A" w:rsidP="00F45169">
            <w:pPr>
              <w:jc w:val="center"/>
              <w:rPr>
                <w:rFonts w:eastAsia="DengXian"/>
                <w:sz w:val="20"/>
                <w:szCs w:val="22"/>
              </w:rPr>
            </w:pPr>
            <w:r w:rsidRPr="002C27F8">
              <w:rPr>
                <w:rFonts w:eastAsia="DengXian"/>
                <w:sz w:val="20"/>
                <w:szCs w:val="22"/>
              </w:rPr>
              <w:t>Forward Primer (5' - 3')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EB35FE" w14:textId="316384E7" w:rsidR="00930C7F" w:rsidRPr="002C27F8" w:rsidRDefault="00B1797A" w:rsidP="00F45169">
            <w:pPr>
              <w:jc w:val="center"/>
              <w:rPr>
                <w:rFonts w:eastAsia="DengXian"/>
                <w:sz w:val="20"/>
                <w:szCs w:val="22"/>
              </w:rPr>
            </w:pPr>
            <w:r w:rsidRPr="002C27F8">
              <w:rPr>
                <w:rFonts w:eastAsia="DengXian"/>
                <w:sz w:val="20"/>
                <w:szCs w:val="22"/>
              </w:rPr>
              <w:t>Reverse Primer (3' - 5')</w:t>
            </w:r>
          </w:p>
        </w:tc>
      </w:tr>
      <w:tr w:rsidR="002C27F8" w:rsidRPr="002C27F8" w14:paraId="2DA35C3E" w14:textId="77777777" w:rsidTr="00F45169">
        <w:trPr>
          <w:trHeight w:val="382"/>
        </w:trPr>
        <w:tc>
          <w:tcPr>
            <w:tcW w:w="0" w:type="auto"/>
            <w:tcBorders>
              <w:top w:val="single" w:sz="4" w:space="0" w:color="auto"/>
            </w:tcBorders>
          </w:tcPr>
          <w:p w14:paraId="458A66B1" w14:textId="51EE62C4" w:rsidR="00930C7F" w:rsidRPr="002C27F8" w:rsidRDefault="00B1797A" w:rsidP="00B34796">
            <w:pPr>
              <w:spacing w:before="77"/>
              <w:ind w:right="202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pacing w:val="-1"/>
                <w:sz w:val="20"/>
              </w:rPr>
              <w:t>BCL11A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928092" w14:textId="12E95452" w:rsidR="00930C7F" w:rsidRPr="002C27F8" w:rsidRDefault="0019099B" w:rsidP="00F45169">
            <w:pPr>
              <w:spacing w:before="77"/>
              <w:ind w:right="202"/>
              <w:jc w:val="center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z w:val="20"/>
              </w:rPr>
              <w:t>CAGCACTTAAGCAAACGGGAAT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5B4CF0" w14:textId="398B7723" w:rsidR="00930C7F" w:rsidRPr="002C27F8" w:rsidRDefault="0019099B" w:rsidP="00F45169">
            <w:pPr>
              <w:spacing w:before="77"/>
              <w:ind w:right="202"/>
              <w:jc w:val="center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z w:val="20"/>
              </w:rPr>
              <w:t>TTGTTTCCGTTTGTGCTCGATA</w:t>
            </w:r>
          </w:p>
        </w:tc>
      </w:tr>
      <w:tr w:rsidR="002C27F8" w:rsidRPr="002C27F8" w14:paraId="23448FA1" w14:textId="77777777" w:rsidTr="00AC60C5">
        <w:trPr>
          <w:trHeight w:val="311"/>
        </w:trPr>
        <w:tc>
          <w:tcPr>
            <w:tcW w:w="0" w:type="auto"/>
          </w:tcPr>
          <w:p w14:paraId="6F16942E" w14:textId="6682A878" w:rsidR="00930C7F" w:rsidRPr="002C27F8" w:rsidRDefault="004056E4" w:rsidP="004056E4">
            <w:pPr>
              <w:jc w:val="both"/>
              <w:rPr>
                <w:rFonts w:eastAsia="DengXian"/>
                <w:sz w:val="20"/>
                <w:szCs w:val="22"/>
              </w:rPr>
            </w:pPr>
            <w:r w:rsidRPr="002C27F8">
              <w:rPr>
                <w:rFonts w:eastAsia="DengXian"/>
                <w:sz w:val="20"/>
                <w:szCs w:val="22"/>
              </w:rPr>
              <w:t>GAPDH</w:t>
            </w:r>
          </w:p>
        </w:tc>
        <w:tc>
          <w:tcPr>
            <w:tcW w:w="0" w:type="auto"/>
          </w:tcPr>
          <w:p w14:paraId="503FAADC" w14:textId="3F164036" w:rsidR="00930C7F" w:rsidRPr="002C27F8" w:rsidRDefault="004056E4" w:rsidP="00F45169">
            <w:pPr>
              <w:rPr>
                <w:rFonts w:eastAsia="DengXian"/>
                <w:sz w:val="20"/>
                <w:szCs w:val="22"/>
              </w:rPr>
            </w:pPr>
            <w:r w:rsidRPr="002C27F8">
              <w:rPr>
                <w:rFonts w:eastAsia="DengXian"/>
                <w:sz w:val="20"/>
                <w:szCs w:val="22"/>
              </w:rPr>
              <w:t>ACCCAGAAGACTGTGGATGG</w:t>
            </w:r>
          </w:p>
        </w:tc>
        <w:tc>
          <w:tcPr>
            <w:tcW w:w="0" w:type="auto"/>
          </w:tcPr>
          <w:p w14:paraId="358AA765" w14:textId="4D7FF64C" w:rsidR="00930C7F" w:rsidRPr="002C27F8" w:rsidRDefault="004056E4" w:rsidP="00F45169">
            <w:pPr>
              <w:rPr>
                <w:rFonts w:eastAsia="DengXian"/>
                <w:sz w:val="20"/>
                <w:szCs w:val="22"/>
              </w:rPr>
            </w:pPr>
            <w:r w:rsidRPr="002C27F8">
              <w:rPr>
                <w:rFonts w:eastAsia="DengXian"/>
                <w:sz w:val="20"/>
                <w:szCs w:val="22"/>
              </w:rPr>
              <w:t>TCTAGACGGCAGGTCAGGTC</w:t>
            </w:r>
          </w:p>
        </w:tc>
      </w:tr>
      <w:tr w:rsidR="002C27F8" w:rsidRPr="002C27F8" w14:paraId="3D5C6E18" w14:textId="77777777" w:rsidTr="00AC60C5">
        <w:tc>
          <w:tcPr>
            <w:tcW w:w="0" w:type="auto"/>
          </w:tcPr>
          <w:p w14:paraId="1846E756" w14:textId="77777777" w:rsidR="004056E4" w:rsidRPr="002C27F8" w:rsidRDefault="004056E4" w:rsidP="00B34796">
            <w:pPr>
              <w:spacing w:before="77"/>
              <w:ind w:right="202"/>
              <w:rPr>
                <w:rFonts w:eastAsia="Arial"/>
                <w:spacing w:val="-1"/>
                <w:sz w:val="20"/>
              </w:rPr>
            </w:pPr>
          </w:p>
        </w:tc>
        <w:tc>
          <w:tcPr>
            <w:tcW w:w="0" w:type="auto"/>
            <w:gridSpan w:val="2"/>
          </w:tcPr>
          <w:p w14:paraId="0266D094" w14:textId="1F1E794F" w:rsidR="004056E4" w:rsidRPr="002C27F8" w:rsidRDefault="00F45169" w:rsidP="00F45169">
            <w:pPr>
              <w:spacing w:before="77"/>
              <w:ind w:right="202"/>
              <w:jc w:val="center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pacing w:val="-1"/>
                <w:sz w:val="20"/>
              </w:rPr>
              <w:t>S</w:t>
            </w:r>
            <w:r w:rsidR="004056E4" w:rsidRPr="002C27F8">
              <w:rPr>
                <w:rFonts w:eastAsia="Arial"/>
                <w:spacing w:val="-1"/>
                <w:sz w:val="20"/>
              </w:rPr>
              <w:t xml:space="preserve">iRNA </w:t>
            </w:r>
            <w:r w:rsidRPr="002C27F8">
              <w:rPr>
                <w:rFonts w:eastAsia="Arial"/>
                <w:spacing w:val="-1"/>
                <w:sz w:val="20"/>
              </w:rPr>
              <w:t>S</w:t>
            </w:r>
            <w:r w:rsidR="004056E4" w:rsidRPr="002C27F8">
              <w:rPr>
                <w:rFonts w:eastAsia="Arial"/>
                <w:spacing w:val="-1"/>
                <w:sz w:val="20"/>
              </w:rPr>
              <w:t>equence</w:t>
            </w:r>
            <w:r w:rsidR="00DF2434" w:rsidRPr="002C27F8">
              <w:rPr>
                <w:rFonts w:eastAsia="Arial"/>
                <w:spacing w:val="-1"/>
                <w:sz w:val="20"/>
              </w:rPr>
              <w:t xml:space="preserve"> (sense)</w:t>
            </w:r>
          </w:p>
        </w:tc>
      </w:tr>
      <w:tr w:rsidR="002C27F8" w:rsidRPr="002C27F8" w14:paraId="292A5B41" w14:textId="77777777" w:rsidTr="00AC60C5">
        <w:trPr>
          <w:trHeight w:val="129"/>
        </w:trPr>
        <w:tc>
          <w:tcPr>
            <w:tcW w:w="0" w:type="auto"/>
          </w:tcPr>
          <w:p w14:paraId="1DF86EA2" w14:textId="185ADDA9" w:rsidR="001D7B33" w:rsidRPr="002C27F8" w:rsidRDefault="001D7B33" w:rsidP="00B34796">
            <w:pPr>
              <w:spacing w:before="77"/>
              <w:ind w:right="202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pacing w:val="-1"/>
                <w:sz w:val="20"/>
              </w:rPr>
              <w:t>BCL11A</w:t>
            </w:r>
          </w:p>
        </w:tc>
        <w:tc>
          <w:tcPr>
            <w:tcW w:w="0" w:type="auto"/>
            <w:gridSpan w:val="2"/>
          </w:tcPr>
          <w:p w14:paraId="787B3197" w14:textId="0BCDFE48" w:rsidR="001D7B33" w:rsidRPr="002C27F8" w:rsidRDefault="001D7B33" w:rsidP="00F45169">
            <w:pPr>
              <w:jc w:val="center"/>
              <w:rPr>
                <w:rFonts w:eastAsia="Times New Roman"/>
                <w:sz w:val="20"/>
              </w:rPr>
            </w:pPr>
            <w:r w:rsidRPr="002C27F8">
              <w:rPr>
                <w:rFonts w:eastAsia="Times New Roman"/>
                <w:sz w:val="20"/>
                <w:shd w:val="clear" w:color="auto" w:fill="FFFFFF"/>
              </w:rPr>
              <w:t>GAAUCUACUUAGAAAGCGATT</w:t>
            </w:r>
          </w:p>
        </w:tc>
      </w:tr>
      <w:tr w:rsidR="002C27F8" w:rsidRPr="002C27F8" w14:paraId="63592BCE" w14:textId="77777777" w:rsidTr="00AC60C5">
        <w:trPr>
          <w:trHeight w:val="479"/>
        </w:trPr>
        <w:tc>
          <w:tcPr>
            <w:tcW w:w="0" w:type="auto"/>
          </w:tcPr>
          <w:p w14:paraId="01CEEA6F" w14:textId="2E0C3656" w:rsidR="001D7B33" w:rsidRPr="002C27F8" w:rsidRDefault="00F45169" w:rsidP="00B34796">
            <w:pPr>
              <w:spacing w:before="77"/>
              <w:ind w:right="202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Arial"/>
                <w:spacing w:val="-1"/>
                <w:sz w:val="20"/>
              </w:rPr>
              <w:t>C</w:t>
            </w:r>
            <w:r w:rsidR="001D7B33" w:rsidRPr="002C27F8">
              <w:rPr>
                <w:rFonts w:eastAsia="Arial"/>
                <w:spacing w:val="-1"/>
                <w:sz w:val="20"/>
              </w:rPr>
              <w:t>ontrol</w:t>
            </w:r>
          </w:p>
        </w:tc>
        <w:tc>
          <w:tcPr>
            <w:tcW w:w="0" w:type="auto"/>
            <w:gridSpan w:val="2"/>
          </w:tcPr>
          <w:p w14:paraId="10E604F7" w14:textId="6F208F95" w:rsidR="001D7B33" w:rsidRPr="002C27F8" w:rsidRDefault="00F45169" w:rsidP="00F45169">
            <w:pPr>
              <w:spacing w:before="77"/>
              <w:ind w:right="202"/>
              <w:jc w:val="center"/>
              <w:rPr>
                <w:rFonts w:eastAsia="Arial"/>
                <w:spacing w:val="-1"/>
                <w:sz w:val="20"/>
              </w:rPr>
            </w:pPr>
            <w:r w:rsidRPr="002C27F8">
              <w:rPr>
                <w:rFonts w:eastAsia="Times New Roman"/>
                <w:sz w:val="20"/>
                <w:shd w:val="clear" w:color="auto" w:fill="FFFFFF"/>
              </w:rPr>
              <w:t xml:space="preserve">   </w:t>
            </w:r>
            <w:r w:rsidR="001D7B33" w:rsidRPr="002C27F8">
              <w:rPr>
                <w:rFonts w:eastAsia="Times New Roman"/>
                <w:sz w:val="20"/>
                <w:shd w:val="clear" w:color="auto" w:fill="FFFFFF"/>
              </w:rPr>
              <w:t>UUCUCCGAACGUGUCACGUTT</w:t>
            </w:r>
          </w:p>
        </w:tc>
      </w:tr>
    </w:tbl>
    <w:p w14:paraId="409C1AEC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3FC1A8AD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0370BFA1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1774419B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6205A109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0CFFCC49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4C4CC337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37EA05C0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27EB5864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0AAAAC4E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50A0D3BF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44E8350E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1B483ECB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3D9DAA05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6490451A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60650AB0" w14:textId="77777777" w:rsidR="00D86F08" w:rsidRPr="002C27F8" w:rsidRDefault="00D86F08" w:rsidP="00B34796">
      <w:pPr>
        <w:spacing w:before="77"/>
        <w:ind w:left="240" w:right="202"/>
        <w:rPr>
          <w:rFonts w:eastAsia="Arial"/>
          <w:spacing w:val="-1"/>
        </w:rPr>
      </w:pPr>
    </w:p>
    <w:p w14:paraId="0CF280CA" w14:textId="77777777" w:rsidR="00D86F08" w:rsidRPr="002C27F8" w:rsidRDefault="00D86F08" w:rsidP="00E16FEC">
      <w:pPr>
        <w:jc w:val="center"/>
        <w:rPr>
          <w:rFonts w:eastAsia="Arial"/>
          <w:spacing w:val="-1"/>
        </w:rPr>
      </w:pPr>
    </w:p>
    <w:p w14:paraId="54CBBC4D" w14:textId="77777777" w:rsidR="00731CE0" w:rsidRPr="002C27F8" w:rsidRDefault="00731CE0" w:rsidP="00E16FEC">
      <w:pPr>
        <w:jc w:val="center"/>
      </w:pPr>
    </w:p>
    <w:p w14:paraId="2703C3E5" w14:textId="77777777" w:rsidR="00731CE0" w:rsidRPr="002C27F8" w:rsidRDefault="00731CE0" w:rsidP="00E16FEC">
      <w:pPr>
        <w:jc w:val="center"/>
      </w:pPr>
    </w:p>
    <w:p w14:paraId="567EED93" w14:textId="77777777" w:rsidR="00731CE0" w:rsidRPr="002C27F8" w:rsidRDefault="00731CE0" w:rsidP="00E16FEC">
      <w:pPr>
        <w:jc w:val="center"/>
      </w:pPr>
    </w:p>
    <w:p w14:paraId="5E6D01E2" w14:textId="77777777" w:rsidR="00731CE0" w:rsidRPr="002C27F8" w:rsidRDefault="00731CE0" w:rsidP="00E16FEC">
      <w:pPr>
        <w:jc w:val="center"/>
      </w:pPr>
    </w:p>
    <w:p w14:paraId="5F6A0CD8" w14:textId="27FB98F8" w:rsidR="00E16FEC" w:rsidRPr="002C27F8" w:rsidRDefault="00332D15" w:rsidP="00E16FEC">
      <w:pPr>
        <w:jc w:val="center"/>
      </w:pPr>
      <w:r w:rsidRPr="002C27F8">
        <w:lastRenderedPageBreak/>
        <w:t>Table S3</w:t>
      </w:r>
      <w:r w:rsidR="00E16FEC" w:rsidRPr="002C27F8">
        <w:t xml:space="preserve"> The clinical characteristics and treatment modalities of validation group of NKTL patients.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190"/>
        <w:gridCol w:w="1678"/>
        <w:gridCol w:w="1839"/>
        <w:gridCol w:w="1637"/>
      </w:tblGrid>
      <w:tr w:rsidR="002C27F8" w:rsidRPr="002C27F8" w14:paraId="0D6573EE" w14:textId="77777777" w:rsidTr="00A10A57">
        <w:trPr>
          <w:trHeight w:val="661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B973C" w14:textId="6BCF6A9B" w:rsidR="00E16FEC" w:rsidRPr="002C27F8" w:rsidRDefault="00E16FEC" w:rsidP="00A10A57">
            <w:pPr>
              <w:jc w:val="center"/>
            </w:pPr>
            <w:r w:rsidRPr="002C27F8">
              <w:t>Parameters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A658753" w14:textId="77777777" w:rsidR="00E16FEC" w:rsidRPr="002C27F8" w:rsidRDefault="00E16FEC" w:rsidP="00A10A57">
            <w:pPr>
              <w:jc w:val="center"/>
            </w:pPr>
            <w:r w:rsidRPr="002C27F8">
              <w:t xml:space="preserve">Total </w:t>
            </w:r>
            <w:r w:rsidRPr="002C27F8">
              <w:rPr>
                <w:i/>
              </w:rPr>
              <w:t>n</w:t>
            </w:r>
            <w:r w:rsidRPr="002C27F8">
              <w:t>(%)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040573A5" w14:textId="77777777" w:rsidR="00E16FEC" w:rsidRPr="002C27F8" w:rsidRDefault="00E16FEC" w:rsidP="00A10A57">
            <w:pPr>
              <w:jc w:val="center"/>
            </w:pPr>
            <w:r w:rsidRPr="002C27F8">
              <w:t xml:space="preserve">BCL11A    low expression </w:t>
            </w:r>
            <w:r w:rsidRPr="002C27F8">
              <w:rPr>
                <w:i/>
              </w:rPr>
              <w:t>n</w:t>
            </w:r>
            <w:r w:rsidRPr="002C27F8">
              <w:t>(%)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6032280D" w14:textId="77777777" w:rsidR="00E16FEC" w:rsidRPr="002C27F8" w:rsidRDefault="00E16FEC" w:rsidP="00A10A57">
            <w:pPr>
              <w:jc w:val="center"/>
            </w:pPr>
            <w:r w:rsidRPr="002C27F8">
              <w:t xml:space="preserve">BCL11A    high expression </w:t>
            </w:r>
            <w:r w:rsidRPr="002C27F8">
              <w:rPr>
                <w:i/>
              </w:rPr>
              <w:t>n</w:t>
            </w:r>
            <w:r w:rsidRPr="002C27F8">
              <w:t>(%)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7F3773E1" w14:textId="77777777" w:rsidR="00E16FEC" w:rsidRPr="002C27F8" w:rsidRDefault="00E16FEC" w:rsidP="00A10A57">
            <w:pPr>
              <w:jc w:val="center"/>
            </w:pPr>
            <w:r w:rsidRPr="002C27F8">
              <w:rPr>
                <w:i/>
              </w:rPr>
              <w:t xml:space="preserve">P </w:t>
            </w:r>
            <w:r w:rsidRPr="002C27F8">
              <w:t>value</w:t>
            </w:r>
          </w:p>
        </w:tc>
      </w:tr>
      <w:tr w:rsidR="002C27F8" w:rsidRPr="002C27F8" w14:paraId="442AE713" w14:textId="77777777" w:rsidTr="00985FD8">
        <w:tc>
          <w:tcPr>
            <w:tcW w:w="1178" w:type="pct"/>
            <w:tcBorders>
              <w:top w:val="single" w:sz="4" w:space="0" w:color="auto"/>
            </w:tcBorders>
          </w:tcPr>
          <w:p w14:paraId="081D283D" w14:textId="77777777" w:rsidR="00E16FEC" w:rsidRPr="002C27F8" w:rsidRDefault="00E16FEC" w:rsidP="00985FD8">
            <w:r w:rsidRPr="002C27F8">
              <w:t xml:space="preserve">Overall 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619D572B" w14:textId="77777777" w:rsidR="00E16FEC" w:rsidRPr="002C27F8" w:rsidRDefault="00E16FEC" w:rsidP="00985FD8">
            <w:pPr>
              <w:jc w:val="center"/>
            </w:pPr>
            <w:r w:rsidRPr="002C27F8">
              <w:t>116(100)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6C25F080" w14:textId="77777777" w:rsidR="00E16FEC" w:rsidRPr="002C27F8" w:rsidRDefault="00E16FEC" w:rsidP="00985FD8">
            <w:pPr>
              <w:jc w:val="center"/>
            </w:pPr>
            <w:r w:rsidRPr="002C27F8">
              <w:t>66(56.9)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06883D37" w14:textId="77777777" w:rsidR="00E16FEC" w:rsidRPr="002C27F8" w:rsidRDefault="00E16FEC" w:rsidP="00985FD8">
            <w:pPr>
              <w:jc w:val="center"/>
            </w:pPr>
            <w:r w:rsidRPr="002C27F8">
              <w:t>50(43.1)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33A10ADF" w14:textId="77777777" w:rsidR="00E16FEC" w:rsidRPr="002C27F8" w:rsidRDefault="00E16FEC" w:rsidP="00985FD8">
            <w:pPr>
              <w:jc w:val="center"/>
            </w:pPr>
            <w:r w:rsidRPr="002C27F8">
              <w:t>-</w:t>
            </w:r>
          </w:p>
        </w:tc>
      </w:tr>
      <w:tr w:rsidR="002C27F8" w:rsidRPr="002C27F8" w14:paraId="4814F3FF" w14:textId="77777777" w:rsidTr="00985FD8">
        <w:tc>
          <w:tcPr>
            <w:tcW w:w="1178" w:type="pct"/>
          </w:tcPr>
          <w:p w14:paraId="3CEFAA7B" w14:textId="77777777" w:rsidR="00E16FEC" w:rsidRPr="002C27F8" w:rsidRDefault="00E16FEC" w:rsidP="00985FD8">
            <w:r w:rsidRPr="002C27F8">
              <w:t>Male gender</w:t>
            </w:r>
          </w:p>
        </w:tc>
        <w:tc>
          <w:tcPr>
            <w:tcW w:w="717" w:type="pct"/>
          </w:tcPr>
          <w:p w14:paraId="516BFDB6" w14:textId="77777777" w:rsidR="00E16FEC" w:rsidRPr="002C27F8" w:rsidRDefault="00E16FEC" w:rsidP="00985FD8">
            <w:pPr>
              <w:jc w:val="center"/>
            </w:pPr>
            <w:r w:rsidRPr="002C27F8">
              <w:t>75(64.7)</w:t>
            </w:r>
          </w:p>
        </w:tc>
        <w:tc>
          <w:tcPr>
            <w:tcW w:w="1011" w:type="pct"/>
          </w:tcPr>
          <w:p w14:paraId="36F0FE78" w14:textId="77777777" w:rsidR="00E16FEC" w:rsidRPr="002C27F8" w:rsidRDefault="00E16FEC" w:rsidP="00985FD8">
            <w:pPr>
              <w:jc w:val="center"/>
            </w:pPr>
            <w:r w:rsidRPr="002C27F8">
              <w:t>42(63.6)</w:t>
            </w:r>
          </w:p>
        </w:tc>
        <w:tc>
          <w:tcPr>
            <w:tcW w:w="1108" w:type="pct"/>
          </w:tcPr>
          <w:p w14:paraId="565F02C8" w14:textId="77777777" w:rsidR="00E16FEC" w:rsidRPr="002C27F8" w:rsidRDefault="00E16FEC" w:rsidP="00985FD8">
            <w:pPr>
              <w:jc w:val="center"/>
            </w:pPr>
            <w:r w:rsidRPr="002C27F8">
              <w:t>33(66.0)</w:t>
            </w:r>
          </w:p>
        </w:tc>
        <w:tc>
          <w:tcPr>
            <w:tcW w:w="986" w:type="pct"/>
          </w:tcPr>
          <w:p w14:paraId="15FA8D8C" w14:textId="77777777" w:rsidR="00E16FEC" w:rsidRPr="002C27F8" w:rsidRDefault="00E16FEC" w:rsidP="00985FD8">
            <w:pPr>
              <w:jc w:val="center"/>
            </w:pPr>
            <w:r w:rsidRPr="002C27F8">
              <w:t>0.792</w:t>
            </w:r>
          </w:p>
        </w:tc>
      </w:tr>
      <w:tr w:rsidR="002C27F8" w:rsidRPr="002C27F8" w14:paraId="187DA383" w14:textId="77777777" w:rsidTr="00985FD8">
        <w:tc>
          <w:tcPr>
            <w:tcW w:w="1178" w:type="pct"/>
          </w:tcPr>
          <w:p w14:paraId="66E16A0E" w14:textId="77777777" w:rsidR="00E16FEC" w:rsidRPr="002C27F8" w:rsidRDefault="00E16FEC" w:rsidP="00985FD8">
            <w:r w:rsidRPr="002C27F8">
              <w:t>Age &gt;60 years</w:t>
            </w:r>
          </w:p>
        </w:tc>
        <w:tc>
          <w:tcPr>
            <w:tcW w:w="717" w:type="pct"/>
          </w:tcPr>
          <w:p w14:paraId="70AE94EB" w14:textId="77777777" w:rsidR="00E16FEC" w:rsidRPr="002C27F8" w:rsidRDefault="00E16FEC" w:rsidP="00985FD8">
            <w:pPr>
              <w:jc w:val="center"/>
            </w:pPr>
            <w:r w:rsidRPr="002C27F8">
              <w:t>21(18.1)</w:t>
            </w:r>
          </w:p>
        </w:tc>
        <w:tc>
          <w:tcPr>
            <w:tcW w:w="1011" w:type="pct"/>
          </w:tcPr>
          <w:p w14:paraId="7493E28B" w14:textId="77777777" w:rsidR="00E16FEC" w:rsidRPr="002C27F8" w:rsidRDefault="00E16FEC" w:rsidP="00985FD8">
            <w:pPr>
              <w:jc w:val="center"/>
            </w:pPr>
            <w:r w:rsidRPr="002C27F8">
              <w:t>12(18.2)</w:t>
            </w:r>
          </w:p>
        </w:tc>
        <w:tc>
          <w:tcPr>
            <w:tcW w:w="1108" w:type="pct"/>
          </w:tcPr>
          <w:p w14:paraId="6866F358" w14:textId="77777777" w:rsidR="00E16FEC" w:rsidRPr="002C27F8" w:rsidRDefault="00E16FEC" w:rsidP="00985FD8">
            <w:pPr>
              <w:jc w:val="center"/>
            </w:pPr>
            <w:r w:rsidRPr="002C27F8">
              <w:t>9(18.0)</w:t>
            </w:r>
          </w:p>
        </w:tc>
        <w:tc>
          <w:tcPr>
            <w:tcW w:w="986" w:type="pct"/>
          </w:tcPr>
          <w:p w14:paraId="509252C1" w14:textId="77777777" w:rsidR="00E16FEC" w:rsidRPr="002C27F8" w:rsidRDefault="00E16FEC" w:rsidP="00985FD8">
            <w:pPr>
              <w:jc w:val="center"/>
            </w:pPr>
            <w:r w:rsidRPr="002C27F8">
              <w:t>0.980</w:t>
            </w:r>
          </w:p>
        </w:tc>
      </w:tr>
      <w:tr w:rsidR="002C27F8" w:rsidRPr="002C27F8" w14:paraId="4AF83F63" w14:textId="77777777" w:rsidTr="00985FD8">
        <w:trPr>
          <w:trHeight w:val="460"/>
        </w:trPr>
        <w:tc>
          <w:tcPr>
            <w:tcW w:w="1178" w:type="pct"/>
          </w:tcPr>
          <w:p w14:paraId="26F6938F" w14:textId="77777777" w:rsidR="00E16FEC" w:rsidRPr="002C27F8" w:rsidRDefault="00E16FEC" w:rsidP="00985FD8">
            <w:r w:rsidRPr="002C27F8">
              <w:t>ECOG score ≥2</w:t>
            </w:r>
          </w:p>
        </w:tc>
        <w:tc>
          <w:tcPr>
            <w:tcW w:w="717" w:type="pct"/>
          </w:tcPr>
          <w:p w14:paraId="5C87ACEA" w14:textId="77777777" w:rsidR="00E16FEC" w:rsidRPr="002C27F8" w:rsidRDefault="00E16FEC" w:rsidP="00985FD8">
            <w:pPr>
              <w:jc w:val="center"/>
            </w:pPr>
            <w:r w:rsidRPr="002C27F8">
              <w:t>11(9.5)</w:t>
            </w:r>
          </w:p>
        </w:tc>
        <w:tc>
          <w:tcPr>
            <w:tcW w:w="1011" w:type="pct"/>
          </w:tcPr>
          <w:p w14:paraId="5C017049" w14:textId="77777777" w:rsidR="00E16FEC" w:rsidRPr="002C27F8" w:rsidRDefault="00E16FEC" w:rsidP="00985FD8">
            <w:pPr>
              <w:jc w:val="center"/>
            </w:pPr>
            <w:r w:rsidRPr="002C27F8">
              <w:t>4(6.1)</w:t>
            </w:r>
          </w:p>
        </w:tc>
        <w:tc>
          <w:tcPr>
            <w:tcW w:w="1108" w:type="pct"/>
          </w:tcPr>
          <w:p w14:paraId="3E3D9436" w14:textId="77777777" w:rsidR="00E16FEC" w:rsidRPr="002C27F8" w:rsidRDefault="00E16FEC" w:rsidP="00985FD8">
            <w:pPr>
              <w:jc w:val="center"/>
            </w:pPr>
            <w:r w:rsidRPr="002C27F8">
              <w:t>7(14.0)</w:t>
            </w:r>
          </w:p>
        </w:tc>
        <w:tc>
          <w:tcPr>
            <w:tcW w:w="986" w:type="pct"/>
          </w:tcPr>
          <w:p w14:paraId="5B6BA07A" w14:textId="77777777" w:rsidR="00E16FEC" w:rsidRPr="002C27F8" w:rsidRDefault="00E16FEC" w:rsidP="00985FD8">
            <w:pPr>
              <w:jc w:val="center"/>
            </w:pPr>
            <w:r w:rsidRPr="002C27F8">
              <w:t>0.148</w:t>
            </w:r>
          </w:p>
        </w:tc>
      </w:tr>
      <w:tr w:rsidR="002C27F8" w:rsidRPr="002C27F8" w14:paraId="7520089B" w14:textId="77777777" w:rsidTr="00985FD8">
        <w:tc>
          <w:tcPr>
            <w:tcW w:w="1178" w:type="pct"/>
          </w:tcPr>
          <w:p w14:paraId="30A4955A" w14:textId="77777777" w:rsidR="00E16FEC" w:rsidRPr="002C27F8" w:rsidRDefault="00E16FEC" w:rsidP="00985FD8">
            <w:r w:rsidRPr="002C27F8">
              <w:t>Ann Arbor stage</w:t>
            </w:r>
          </w:p>
        </w:tc>
        <w:tc>
          <w:tcPr>
            <w:tcW w:w="717" w:type="pct"/>
          </w:tcPr>
          <w:p w14:paraId="3502761D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011" w:type="pct"/>
          </w:tcPr>
          <w:p w14:paraId="3A79F6E6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108" w:type="pct"/>
          </w:tcPr>
          <w:p w14:paraId="7401B084" w14:textId="77777777" w:rsidR="00E16FEC" w:rsidRPr="002C27F8" w:rsidRDefault="00E16FEC" w:rsidP="00985FD8">
            <w:pPr>
              <w:jc w:val="center"/>
            </w:pPr>
          </w:p>
        </w:tc>
        <w:tc>
          <w:tcPr>
            <w:tcW w:w="986" w:type="pct"/>
          </w:tcPr>
          <w:p w14:paraId="7FDDA56B" w14:textId="77777777" w:rsidR="00E16FEC" w:rsidRPr="002C27F8" w:rsidRDefault="00E16FEC" w:rsidP="00985FD8">
            <w:pPr>
              <w:jc w:val="center"/>
            </w:pPr>
          </w:p>
        </w:tc>
      </w:tr>
      <w:tr w:rsidR="002C27F8" w:rsidRPr="002C27F8" w14:paraId="3BC19C57" w14:textId="77777777" w:rsidTr="00985FD8">
        <w:tc>
          <w:tcPr>
            <w:tcW w:w="1178" w:type="pct"/>
          </w:tcPr>
          <w:p w14:paraId="68F7238F" w14:textId="77777777" w:rsidR="00E16FEC" w:rsidRPr="002C27F8" w:rsidRDefault="00E16FEC" w:rsidP="00985FD8">
            <w:r w:rsidRPr="002C27F8">
              <w:t xml:space="preserve"> I\II</w:t>
            </w:r>
          </w:p>
        </w:tc>
        <w:tc>
          <w:tcPr>
            <w:tcW w:w="717" w:type="pct"/>
          </w:tcPr>
          <w:p w14:paraId="6C1C0B86" w14:textId="77777777" w:rsidR="00E16FEC" w:rsidRPr="002C27F8" w:rsidRDefault="00E16FEC" w:rsidP="00985FD8">
            <w:pPr>
              <w:jc w:val="center"/>
            </w:pPr>
            <w:r w:rsidRPr="002C27F8">
              <w:t>90(77.6)</w:t>
            </w:r>
          </w:p>
        </w:tc>
        <w:tc>
          <w:tcPr>
            <w:tcW w:w="1011" w:type="pct"/>
          </w:tcPr>
          <w:p w14:paraId="0AF30713" w14:textId="77777777" w:rsidR="00E16FEC" w:rsidRPr="002C27F8" w:rsidRDefault="00E16FEC" w:rsidP="00985FD8">
            <w:pPr>
              <w:jc w:val="center"/>
            </w:pPr>
            <w:r w:rsidRPr="002C27F8">
              <w:t>56(84.8)</w:t>
            </w:r>
          </w:p>
        </w:tc>
        <w:tc>
          <w:tcPr>
            <w:tcW w:w="1108" w:type="pct"/>
          </w:tcPr>
          <w:p w14:paraId="28630CE4" w14:textId="77777777" w:rsidR="00E16FEC" w:rsidRPr="002C27F8" w:rsidRDefault="00E16FEC" w:rsidP="00985FD8">
            <w:pPr>
              <w:jc w:val="center"/>
            </w:pPr>
            <w:r w:rsidRPr="002C27F8">
              <w:t>34(68.0)</w:t>
            </w:r>
          </w:p>
        </w:tc>
        <w:tc>
          <w:tcPr>
            <w:tcW w:w="986" w:type="pct"/>
          </w:tcPr>
          <w:p w14:paraId="7AF24803" w14:textId="77777777" w:rsidR="00E16FEC" w:rsidRPr="002C27F8" w:rsidRDefault="00E16FEC" w:rsidP="00985FD8">
            <w:pPr>
              <w:jc w:val="center"/>
            </w:pPr>
            <w:r w:rsidRPr="002C27F8">
              <w:t>0.031</w:t>
            </w:r>
          </w:p>
        </w:tc>
      </w:tr>
      <w:tr w:rsidR="002C27F8" w:rsidRPr="002C27F8" w14:paraId="4567E7A3" w14:textId="77777777" w:rsidTr="00985FD8">
        <w:tc>
          <w:tcPr>
            <w:tcW w:w="1178" w:type="pct"/>
          </w:tcPr>
          <w:p w14:paraId="0D979C30" w14:textId="77777777" w:rsidR="00E16FEC" w:rsidRPr="002C27F8" w:rsidRDefault="00E16FEC" w:rsidP="00985FD8">
            <w:r w:rsidRPr="002C27F8">
              <w:t xml:space="preserve"> III\IV</w:t>
            </w:r>
          </w:p>
        </w:tc>
        <w:tc>
          <w:tcPr>
            <w:tcW w:w="717" w:type="pct"/>
          </w:tcPr>
          <w:p w14:paraId="0C4F841B" w14:textId="77777777" w:rsidR="00E16FEC" w:rsidRPr="002C27F8" w:rsidRDefault="00E16FEC" w:rsidP="00985FD8">
            <w:pPr>
              <w:jc w:val="center"/>
            </w:pPr>
            <w:r w:rsidRPr="002C27F8">
              <w:t>26(22.4)</w:t>
            </w:r>
          </w:p>
        </w:tc>
        <w:tc>
          <w:tcPr>
            <w:tcW w:w="1011" w:type="pct"/>
          </w:tcPr>
          <w:p w14:paraId="618BA8CB" w14:textId="77777777" w:rsidR="00E16FEC" w:rsidRPr="002C27F8" w:rsidRDefault="00E16FEC" w:rsidP="00985FD8">
            <w:pPr>
              <w:jc w:val="center"/>
            </w:pPr>
            <w:r w:rsidRPr="002C27F8">
              <w:t>10(15.2)</w:t>
            </w:r>
          </w:p>
        </w:tc>
        <w:tc>
          <w:tcPr>
            <w:tcW w:w="1108" w:type="pct"/>
          </w:tcPr>
          <w:p w14:paraId="45D75B4C" w14:textId="77777777" w:rsidR="00E16FEC" w:rsidRPr="002C27F8" w:rsidRDefault="00E16FEC" w:rsidP="00985FD8">
            <w:pPr>
              <w:jc w:val="center"/>
            </w:pPr>
            <w:r w:rsidRPr="002C27F8">
              <w:t>16(32.0)</w:t>
            </w:r>
          </w:p>
        </w:tc>
        <w:tc>
          <w:tcPr>
            <w:tcW w:w="986" w:type="pct"/>
          </w:tcPr>
          <w:p w14:paraId="71D64D7F" w14:textId="77777777" w:rsidR="00E16FEC" w:rsidRPr="002C27F8" w:rsidRDefault="00E16FEC" w:rsidP="00985FD8">
            <w:pPr>
              <w:jc w:val="center"/>
            </w:pPr>
          </w:p>
        </w:tc>
      </w:tr>
      <w:tr w:rsidR="002C27F8" w:rsidRPr="002C27F8" w14:paraId="117764C4" w14:textId="77777777" w:rsidTr="00985FD8">
        <w:tc>
          <w:tcPr>
            <w:tcW w:w="1178" w:type="pct"/>
          </w:tcPr>
          <w:p w14:paraId="3E2E44A3" w14:textId="77777777" w:rsidR="00E16FEC" w:rsidRPr="002C27F8" w:rsidRDefault="00E16FEC" w:rsidP="00985FD8">
            <w:r w:rsidRPr="002C27F8">
              <w:t>B symptoms</w:t>
            </w:r>
          </w:p>
        </w:tc>
        <w:tc>
          <w:tcPr>
            <w:tcW w:w="717" w:type="pct"/>
          </w:tcPr>
          <w:p w14:paraId="100BF4B0" w14:textId="26F1B20A" w:rsidR="00E16FEC" w:rsidRPr="002C27F8" w:rsidRDefault="007E410E" w:rsidP="007E410E">
            <w:pPr>
              <w:jc w:val="center"/>
            </w:pPr>
            <w:r w:rsidRPr="002C27F8">
              <w:t>4</w:t>
            </w:r>
            <w:r w:rsidR="00E16FEC" w:rsidRPr="002C27F8">
              <w:t>8(4</w:t>
            </w:r>
            <w:r w:rsidRPr="002C27F8">
              <w:t>1.4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35B6C4C0" w14:textId="4753542D" w:rsidR="00E16FEC" w:rsidRPr="002C27F8" w:rsidRDefault="007E410E" w:rsidP="00985FD8">
            <w:pPr>
              <w:jc w:val="center"/>
            </w:pPr>
            <w:r w:rsidRPr="002C27F8">
              <w:t>23(34.8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3FA6D829" w14:textId="35B9EA87" w:rsidR="00E16FEC" w:rsidRPr="002C27F8" w:rsidRDefault="007E410E" w:rsidP="007E410E">
            <w:pPr>
              <w:jc w:val="center"/>
            </w:pPr>
            <w:r w:rsidRPr="002C27F8">
              <w:t>25</w:t>
            </w:r>
            <w:r w:rsidR="00E16FEC" w:rsidRPr="002C27F8">
              <w:t>(5</w:t>
            </w:r>
            <w:r w:rsidRPr="002C27F8">
              <w:t>0.0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7EBF71A3" w14:textId="67279F49" w:rsidR="00E16FEC" w:rsidRPr="002C27F8" w:rsidRDefault="007E410E" w:rsidP="00985FD8">
            <w:pPr>
              <w:jc w:val="center"/>
            </w:pPr>
            <w:r w:rsidRPr="002C27F8">
              <w:t>0.10</w:t>
            </w:r>
            <w:r w:rsidR="00E16FEC" w:rsidRPr="002C27F8">
              <w:t>1</w:t>
            </w:r>
          </w:p>
        </w:tc>
      </w:tr>
      <w:tr w:rsidR="002C27F8" w:rsidRPr="002C27F8" w14:paraId="6FEB85DE" w14:textId="77777777" w:rsidTr="00985FD8">
        <w:tc>
          <w:tcPr>
            <w:tcW w:w="1178" w:type="pct"/>
          </w:tcPr>
          <w:p w14:paraId="2C617212" w14:textId="77777777" w:rsidR="00E16FEC" w:rsidRPr="002C27F8" w:rsidRDefault="00E16FEC" w:rsidP="00985FD8">
            <w:r w:rsidRPr="002C27F8">
              <w:t>LDH&gt;245U/L</w:t>
            </w:r>
          </w:p>
        </w:tc>
        <w:tc>
          <w:tcPr>
            <w:tcW w:w="717" w:type="pct"/>
          </w:tcPr>
          <w:p w14:paraId="3161DF3A" w14:textId="156A2647" w:rsidR="00E16FEC" w:rsidRPr="002C27F8" w:rsidRDefault="005165F2" w:rsidP="005165F2">
            <w:pPr>
              <w:jc w:val="center"/>
            </w:pPr>
            <w:r w:rsidRPr="002C27F8">
              <w:t>36</w:t>
            </w:r>
            <w:r w:rsidR="00E16FEC" w:rsidRPr="002C27F8">
              <w:t>(3</w:t>
            </w:r>
            <w:r w:rsidRPr="002C27F8">
              <w:t>1.0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12BD80E0" w14:textId="06757B30" w:rsidR="00E16FEC" w:rsidRPr="002C27F8" w:rsidRDefault="005165F2" w:rsidP="005165F2">
            <w:pPr>
              <w:jc w:val="center"/>
            </w:pPr>
            <w:r w:rsidRPr="002C27F8">
              <w:t>15</w:t>
            </w:r>
            <w:r w:rsidR="00E16FEC" w:rsidRPr="002C27F8">
              <w:t>(2</w:t>
            </w:r>
            <w:r w:rsidRPr="002C27F8">
              <w:t>2.7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0B05CBD3" w14:textId="232C39CB" w:rsidR="00E16FEC" w:rsidRPr="002C27F8" w:rsidRDefault="005165F2" w:rsidP="00985FD8">
            <w:pPr>
              <w:jc w:val="center"/>
            </w:pPr>
            <w:r w:rsidRPr="002C27F8">
              <w:t>21(42.0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786904D6" w14:textId="2B63BDAA" w:rsidR="00E16FEC" w:rsidRPr="002C27F8" w:rsidRDefault="00E16FEC" w:rsidP="005165F2">
            <w:pPr>
              <w:jc w:val="center"/>
            </w:pPr>
            <w:r w:rsidRPr="002C27F8">
              <w:t>0.0</w:t>
            </w:r>
            <w:r w:rsidR="005165F2" w:rsidRPr="002C27F8">
              <w:t>26</w:t>
            </w:r>
          </w:p>
        </w:tc>
      </w:tr>
      <w:tr w:rsidR="002C27F8" w:rsidRPr="002C27F8" w14:paraId="01BA59E9" w14:textId="77777777" w:rsidTr="00985FD8">
        <w:tc>
          <w:tcPr>
            <w:tcW w:w="1178" w:type="pct"/>
          </w:tcPr>
          <w:p w14:paraId="397B86DE" w14:textId="77777777" w:rsidR="00E16FEC" w:rsidRPr="002C27F8" w:rsidRDefault="00E16FEC" w:rsidP="00985FD8">
            <w:r w:rsidRPr="002C27F8">
              <w:t>Chemotherapy regimen</w:t>
            </w:r>
          </w:p>
        </w:tc>
        <w:tc>
          <w:tcPr>
            <w:tcW w:w="717" w:type="pct"/>
          </w:tcPr>
          <w:p w14:paraId="52F1B7CE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011" w:type="pct"/>
          </w:tcPr>
          <w:p w14:paraId="1E254CC7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108" w:type="pct"/>
          </w:tcPr>
          <w:p w14:paraId="17FF3A33" w14:textId="77777777" w:rsidR="00E16FEC" w:rsidRPr="002C27F8" w:rsidRDefault="00E16FEC" w:rsidP="00985FD8">
            <w:pPr>
              <w:jc w:val="center"/>
            </w:pPr>
          </w:p>
        </w:tc>
        <w:tc>
          <w:tcPr>
            <w:tcW w:w="986" w:type="pct"/>
          </w:tcPr>
          <w:p w14:paraId="35686A14" w14:textId="77777777" w:rsidR="00E16FEC" w:rsidRPr="002C27F8" w:rsidRDefault="00E16FEC" w:rsidP="00985FD8">
            <w:pPr>
              <w:jc w:val="center"/>
            </w:pPr>
          </w:p>
        </w:tc>
      </w:tr>
      <w:tr w:rsidR="002C27F8" w:rsidRPr="002C27F8" w14:paraId="5D4B09A9" w14:textId="77777777" w:rsidTr="00985FD8">
        <w:tc>
          <w:tcPr>
            <w:tcW w:w="1178" w:type="pct"/>
          </w:tcPr>
          <w:p w14:paraId="6517EE8C" w14:textId="58CEC063" w:rsidR="00E16FEC" w:rsidRPr="002C27F8" w:rsidRDefault="00C530EE" w:rsidP="00985FD8">
            <w:r w:rsidRPr="002C27F8">
              <w:t xml:space="preserve"> GEL</w:t>
            </w:r>
            <w:r w:rsidR="00E16FEC" w:rsidRPr="002C27F8">
              <w:t>OX</w:t>
            </w:r>
          </w:p>
        </w:tc>
        <w:tc>
          <w:tcPr>
            <w:tcW w:w="717" w:type="pct"/>
          </w:tcPr>
          <w:p w14:paraId="622765D3" w14:textId="4F451703" w:rsidR="00E16FEC" w:rsidRPr="002C27F8" w:rsidRDefault="005165F2" w:rsidP="005165F2">
            <w:pPr>
              <w:jc w:val="center"/>
            </w:pPr>
            <w:r w:rsidRPr="002C27F8">
              <w:t>43</w:t>
            </w:r>
            <w:r w:rsidR="00E16FEC" w:rsidRPr="002C27F8">
              <w:t>(</w:t>
            </w:r>
            <w:r w:rsidRPr="002C27F8">
              <w:t>37.1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1C7A2EE4" w14:textId="64DC91E2" w:rsidR="00E16FEC" w:rsidRPr="002C27F8" w:rsidRDefault="005569E9" w:rsidP="005569E9">
            <w:pPr>
              <w:jc w:val="center"/>
            </w:pPr>
            <w:r w:rsidRPr="002C27F8">
              <w:t>30</w:t>
            </w:r>
            <w:r w:rsidR="00E16FEC" w:rsidRPr="002C27F8">
              <w:t>(</w:t>
            </w:r>
            <w:r w:rsidRPr="002C27F8">
              <w:t>45.5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16658F23" w14:textId="00454540" w:rsidR="00E16FEC" w:rsidRPr="002C27F8" w:rsidRDefault="005569E9" w:rsidP="005569E9">
            <w:pPr>
              <w:jc w:val="center"/>
            </w:pPr>
            <w:r w:rsidRPr="002C27F8">
              <w:t>13</w:t>
            </w:r>
            <w:r w:rsidR="00E16FEC" w:rsidRPr="002C27F8">
              <w:t>(</w:t>
            </w:r>
            <w:r w:rsidRPr="002C27F8">
              <w:t>26.0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5130EEEE" w14:textId="30B1C2B6" w:rsidR="00E16FEC" w:rsidRPr="002C27F8" w:rsidRDefault="00E16FEC" w:rsidP="005569E9">
            <w:pPr>
              <w:jc w:val="center"/>
            </w:pPr>
            <w:r w:rsidRPr="002C27F8">
              <w:t>0.</w:t>
            </w:r>
            <w:r w:rsidR="005569E9" w:rsidRPr="002C27F8">
              <w:t>032</w:t>
            </w:r>
          </w:p>
        </w:tc>
      </w:tr>
      <w:tr w:rsidR="002C27F8" w:rsidRPr="002C27F8" w14:paraId="17695353" w14:textId="77777777" w:rsidTr="00985FD8">
        <w:tc>
          <w:tcPr>
            <w:tcW w:w="1178" w:type="pct"/>
          </w:tcPr>
          <w:p w14:paraId="22BE7323" w14:textId="77777777" w:rsidR="00E16FEC" w:rsidRPr="002C27F8" w:rsidRDefault="00E16FEC" w:rsidP="00985FD8">
            <w:r w:rsidRPr="002C27F8">
              <w:t xml:space="preserve"> EPOCH</w:t>
            </w:r>
          </w:p>
        </w:tc>
        <w:tc>
          <w:tcPr>
            <w:tcW w:w="717" w:type="pct"/>
          </w:tcPr>
          <w:p w14:paraId="7F53B7EA" w14:textId="6C935734" w:rsidR="00E16FEC" w:rsidRPr="002C27F8" w:rsidRDefault="005165F2" w:rsidP="005569E9">
            <w:pPr>
              <w:jc w:val="center"/>
            </w:pPr>
            <w:r w:rsidRPr="002C27F8">
              <w:t>73</w:t>
            </w:r>
            <w:r w:rsidR="00E16FEC" w:rsidRPr="002C27F8">
              <w:t>(</w:t>
            </w:r>
            <w:r w:rsidR="005569E9" w:rsidRPr="002C27F8">
              <w:t>62.9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49C380AC" w14:textId="25238DAC" w:rsidR="00E16FEC" w:rsidRPr="002C27F8" w:rsidRDefault="005569E9" w:rsidP="005569E9">
            <w:pPr>
              <w:jc w:val="center"/>
            </w:pPr>
            <w:r w:rsidRPr="002C27F8">
              <w:t>36</w:t>
            </w:r>
            <w:r w:rsidR="00E16FEC" w:rsidRPr="002C27F8">
              <w:t>(</w:t>
            </w:r>
            <w:r w:rsidRPr="002C27F8">
              <w:t>54.5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6C2C1947" w14:textId="11A54A4F" w:rsidR="00E16FEC" w:rsidRPr="002C27F8" w:rsidRDefault="005569E9" w:rsidP="005569E9">
            <w:pPr>
              <w:jc w:val="center"/>
            </w:pPr>
            <w:r w:rsidRPr="002C27F8">
              <w:t>37</w:t>
            </w:r>
            <w:r w:rsidR="00E16FEC" w:rsidRPr="002C27F8">
              <w:t>(</w:t>
            </w:r>
            <w:r w:rsidRPr="002C27F8">
              <w:t>74.0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72D2ADFA" w14:textId="77777777" w:rsidR="00E16FEC" w:rsidRPr="002C27F8" w:rsidRDefault="00E16FEC" w:rsidP="00985FD8">
            <w:pPr>
              <w:jc w:val="center"/>
            </w:pPr>
          </w:p>
        </w:tc>
      </w:tr>
      <w:tr w:rsidR="002C27F8" w:rsidRPr="002C27F8" w14:paraId="51360289" w14:textId="77777777" w:rsidTr="00985FD8">
        <w:trPr>
          <w:trHeight w:val="870"/>
        </w:trPr>
        <w:tc>
          <w:tcPr>
            <w:tcW w:w="1178" w:type="pct"/>
          </w:tcPr>
          <w:p w14:paraId="3EAE423D" w14:textId="77777777" w:rsidR="00E16FEC" w:rsidRPr="002C27F8" w:rsidRDefault="00E16FEC" w:rsidP="00985FD8">
            <w:r w:rsidRPr="002C27F8">
              <w:t>Treatment response</w:t>
            </w:r>
          </w:p>
        </w:tc>
        <w:tc>
          <w:tcPr>
            <w:tcW w:w="717" w:type="pct"/>
          </w:tcPr>
          <w:p w14:paraId="3E2FE2A5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011" w:type="pct"/>
          </w:tcPr>
          <w:p w14:paraId="4E16AE87" w14:textId="77777777" w:rsidR="00E16FEC" w:rsidRPr="002C27F8" w:rsidRDefault="00E16FEC" w:rsidP="00985FD8">
            <w:pPr>
              <w:jc w:val="center"/>
            </w:pPr>
          </w:p>
        </w:tc>
        <w:tc>
          <w:tcPr>
            <w:tcW w:w="1108" w:type="pct"/>
          </w:tcPr>
          <w:p w14:paraId="57326209" w14:textId="77777777" w:rsidR="00E16FEC" w:rsidRPr="002C27F8" w:rsidRDefault="00E16FEC" w:rsidP="00985FD8">
            <w:pPr>
              <w:jc w:val="center"/>
            </w:pPr>
          </w:p>
        </w:tc>
        <w:tc>
          <w:tcPr>
            <w:tcW w:w="986" w:type="pct"/>
          </w:tcPr>
          <w:p w14:paraId="42E7C9D0" w14:textId="77777777" w:rsidR="00E16FEC" w:rsidRPr="002C27F8" w:rsidRDefault="00E16FEC" w:rsidP="00985FD8">
            <w:pPr>
              <w:jc w:val="center"/>
            </w:pPr>
          </w:p>
        </w:tc>
      </w:tr>
      <w:tr w:rsidR="002C27F8" w:rsidRPr="002C27F8" w14:paraId="028DEC17" w14:textId="77777777" w:rsidTr="00985FD8">
        <w:tc>
          <w:tcPr>
            <w:tcW w:w="1178" w:type="pct"/>
          </w:tcPr>
          <w:p w14:paraId="200C10AC" w14:textId="77777777" w:rsidR="00E16FEC" w:rsidRPr="002C27F8" w:rsidRDefault="00E16FEC" w:rsidP="00985FD8">
            <w:r w:rsidRPr="002C27F8">
              <w:t xml:space="preserve"> CR</w:t>
            </w:r>
          </w:p>
        </w:tc>
        <w:tc>
          <w:tcPr>
            <w:tcW w:w="717" w:type="pct"/>
          </w:tcPr>
          <w:p w14:paraId="09E8543B" w14:textId="79244C51" w:rsidR="00E16FEC" w:rsidRPr="002C27F8" w:rsidRDefault="004A6D3A" w:rsidP="004A6D3A">
            <w:pPr>
              <w:jc w:val="center"/>
            </w:pPr>
            <w:r w:rsidRPr="002C27F8">
              <w:t>52</w:t>
            </w:r>
            <w:r w:rsidR="00E16FEC" w:rsidRPr="002C27F8">
              <w:t>(</w:t>
            </w:r>
            <w:r w:rsidRPr="002C27F8">
              <w:t>44.8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30F40253" w14:textId="094271A9" w:rsidR="00E16FEC" w:rsidRPr="002C27F8" w:rsidRDefault="004A6D3A" w:rsidP="004A6D3A">
            <w:pPr>
              <w:jc w:val="center"/>
            </w:pPr>
            <w:r w:rsidRPr="002C27F8">
              <w:t>39</w:t>
            </w:r>
            <w:r w:rsidR="00E16FEC" w:rsidRPr="002C27F8">
              <w:t>(</w:t>
            </w:r>
            <w:r w:rsidRPr="002C27F8">
              <w:t>59.1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1C09E80C" w14:textId="53A77791" w:rsidR="00E16FEC" w:rsidRPr="002C27F8" w:rsidRDefault="004A6D3A" w:rsidP="004A6D3A">
            <w:pPr>
              <w:jc w:val="center"/>
            </w:pPr>
            <w:r w:rsidRPr="002C27F8">
              <w:t>13</w:t>
            </w:r>
            <w:r w:rsidR="00E16FEC" w:rsidRPr="002C27F8">
              <w:t>(</w:t>
            </w:r>
            <w:r w:rsidRPr="002C27F8">
              <w:t>26.0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4317C92F" w14:textId="77777777" w:rsidR="00E16FEC" w:rsidRPr="002C27F8" w:rsidRDefault="00E16FEC" w:rsidP="00985FD8">
            <w:pPr>
              <w:jc w:val="center"/>
            </w:pPr>
            <w:r w:rsidRPr="002C27F8">
              <w:t>&lt;0.001</w:t>
            </w:r>
          </w:p>
        </w:tc>
      </w:tr>
      <w:tr w:rsidR="002C27F8" w:rsidRPr="002C27F8" w14:paraId="1E2CF2D4" w14:textId="77777777" w:rsidTr="00985FD8">
        <w:tc>
          <w:tcPr>
            <w:tcW w:w="1178" w:type="pct"/>
          </w:tcPr>
          <w:p w14:paraId="19A6E3EF" w14:textId="77777777" w:rsidR="00E16FEC" w:rsidRPr="002C27F8" w:rsidRDefault="00E16FEC" w:rsidP="00985FD8">
            <w:r w:rsidRPr="002C27F8">
              <w:t xml:space="preserve"> Non-CR</w:t>
            </w:r>
          </w:p>
        </w:tc>
        <w:tc>
          <w:tcPr>
            <w:tcW w:w="717" w:type="pct"/>
          </w:tcPr>
          <w:p w14:paraId="3282F66F" w14:textId="7B7BB5BD" w:rsidR="00E16FEC" w:rsidRPr="002C27F8" w:rsidRDefault="004A6D3A" w:rsidP="004A6D3A">
            <w:pPr>
              <w:jc w:val="center"/>
            </w:pPr>
            <w:r w:rsidRPr="002C27F8">
              <w:t>64</w:t>
            </w:r>
            <w:r w:rsidR="00E16FEC" w:rsidRPr="002C27F8">
              <w:t>(</w:t>
            </w:r>
            <w:r w:rsidRPr="002C27F8">
              <w:t>55.2</w:t>
            </w:r>
            <w:r w:rsidR="00E16FEC" w:rsidRPr="002C27F8">
              <w:t>)</w:t>
            </w:r>
          </w:p>
        </w:tc>
        <w:tc>
          <w:tcPr>
            <w:tcW w:w="1011" w:type="pct"/>
          </w:tcPr>
          <w:p w14:paraId="6534CA0D" w14:textId="19EB2F3C" w:rsidR="00E16FEC" w:rsidRPr="002C27F8" w:rsidRDefault="004A6D3A" w:rsidP="004A6D3A">
            <w:pPr>
              <w:jc w:val="center"/>
            </w:pPr>
            <w:r w:rsidRPr="002C27F8">
              <w:t>27</w:t>
            </w:r>
            <w:r w:rsidR="00E16FEC" w:rsidRPr="002C27F8">
              <w:t>(</w:t>
            </w:r>
            <w:r w:rsidRPr="002C27F8">
              <w:t>40.1</w:t>
            </w:r>
            <w:r w:rsidR="00E16FEC" w:rsidRPr="002C27F8">
              <w:t>)</w:t>
            </w:r>
          </w:p>
        </w:tc>
        <w:tc>
          <w:tcPr>
            <w:tcW w:w="1108" w:type="pct"/>
          </w:tcPr>
          <w:p w14:paraId="35384ABC" w14:textId="622A71A3" w:rsidR="00E16FEC" w:rsidRPr="002C27F8" w:rsidRDefault="004A6D3A" w:rsidP="004A6D3A">
            <w:pPr>
              <w:jc w:val="center"/>
            </w:pPr>
            <w:r w:rsidRPr="002C27F8">
              <w:t>37</w:t>
            </w:r>
            <w:r w:rsidR="00E16FEC" w:rsidRPr="002C27F8">
              <w:t>(</w:t>
            </w:r>
            <w:r w:rsidRPr="002C27F8">
              <w:t>74.0</w:t>
            </w:r>
            <w:r w:rsidR="00E16FEC" w:rsidRPr="002C27F8">
              <w:t>)</w:t>
            </w:r>
          </w:p>
        </w:tc>
        <w:tc>
          <w:tcPr>
            <w:tcW w:w="986" w:type="pct"/>
          </w:tcPr>
          <w:p w14:paraId="4B97EB5C" w14:textId="77777777" w:rsidR="00E16FEC" w:rsidRPr="002C27F8" w:rsidRDefault="00E16FEC" w:rsidP="00985FD8">
            <w:pPr>
              <w:jc w:val="center"/>
            </w:pPr>
          </w:p>
        </w:tc>
      </w:tr>
    </w:tbl>
    <w:p w14:paraId="3D6C70A7" w14:textId="5F3061CD" w:rsidR="00E16FEC" w:rsidRPr="002C27F8" w:rsidRDefault="003E09D3" w:rsidP="00E16FEC">
      <w:r w:rsidRPr="002C27F8">
        <w:t xml:space="preserve">NKTL, </w:t>
      </w:r>
      <w:r w:rsidR="00B1797A" w:rsidRPr="002C27F8">
        <w:t xml:space="preserve">natural killer </w:t>
      </w:r>
      <w:r w:rsidR="004C7396" w:rsidRPr="002C27F8">
        <w:t xml:space="preserve">/T-cell lymphoma; </w:t>
      </w:r>
      <w:r w:rsidR="00E16FEC" w:rsidRPr="002C27F8">
        <w:t>BCL11A, B</w:t>
      </w:r>
      <w:r w:rsidR="00E16FEC" w:rsidRPr="002C27F8">
        <w:rPr>
          <w:rFonts w:ascii="Calibri" w:eastAsia="Calibri" w:hAnsi="Calibri" w:cs="Calibri"/>
        </w:rPr>
        <w:t>‐</w:t>
      </w:r>
      <w:r w:rsidR="00E16FEC" w:rsidRPr="002C27F8">
        <w:t>cell chronic ly</w:t>
      </w:r>
      <w:r w:rsidR="00B1797A" w:rsidRPr="002C27F8">
        <w:t>mphocytic leukemia/lymphoma 11 A</w:t>
      </w:r>
      <w:r w:rsidR="00E16FEC" w:rsidRPr="002C27F8">
        <w:t xml:space="preserve">; ECOG, Eastern Cooperative Oncology Group, LDH, lactate dehydrogenase, </w:t>
      </w:r>
      <w:r w:rsidR="00E16FEC" w:rsidRPr="002C27F8">
        <w:rPr>
          <w:rFonts w:eastAsia="Arial"/>
        </w:rPr>
        <w:t>GELOX, gemcitabine, L-asparaginase, and oxaliplatin; EPOCH, cyclophosphamide, doxorubicin, vincristine, prednisone, and</w:t>
      </w:r>
      <w:r w:rsidR="00E16FEC" w:rsidRPr="002C27F8">
        <w:t xml:space="preserve"> </w:t>
      </w:r>
      <w:r w:rsidR="00E16FEC" w:rsidRPr="002C27F8">
        <w:rPr>
          <w:rFonts w:eastAsia="Arial"/>
        </w:rPr>
        <w:t xml:space="preserve">etoposide; </w:t>
      </w:r>
      <w:r w:rsidR="00E16FEC" w:rsidRPr="002C27F8">
        <w:t>CR, complete remission.</w:t>
      </w:r>
    </w:p>
    <w:p w14:paraId="042A9502" w14:textId="77777777" w:rsidR="00E16FEC" w:rsidRPr="002C27F8" w:rsidRDefault="00E16FEC" w:rsidP="00E16FEC"/>
    <w:p w14:paraId="70A31523" w14:textId="77777777" w:rsidR="00E16FEC" w:rsidRPr="002C27F8" w:rsidRDefault="00E16FEC" w:rsidP="00E16FEC"/>
    <w:p w14:paraId="3B6ECE62" w14:textId="77777777" w:rsidR="00E16FEC" w:rsidRPr="002C27F8" w:rsidRDefault="00E16FEC" w:rsidP="00E16FEC"/>
    <w:p w14:paraId="24F06A62" w14:textId="77777777" w:rsidR="00E16FEC" w:rsidRPr="002C27F8" w:rsidRDefault="00E16FEC" w:rsidP="00E16FEC"/>
    <w:p w14:paraId="055384D4" w14:textId="77777777" w:rsidR="00E16FEC" w:rsidRPr="002C27F8" w:rsidRDefault="00E16FEC" w:rsidP="00E16FEC"/>
    <w:p w14:paraId="701B74F5" w14:textId="708DDFAA" w:rsidR="00E16FEC" w:rsidRPr="002C27F8" w:rsidRDefault="00E16FEC" w:rsidP="00E16FEC">
      <w:pPr>
        <w:jc w:val="center"/>
      </w:pPr>
      <w:r w:rsidRPr="002C27F8">
        <w:lastRenderedPageBreak/>
        <w:t xml:space="preserve">Table </w:t>
      </w:r>
      <w:r w:rsidR="00332D15" w:rsidRPr="002C27F8">
        <w:t>S4</w:t>
      </w:r>
      <w:r w:rsidRPr="002C27F8">
        <w:t xml:space="preserve"> Univariate and multivariate analyses of prognostic factors in </w:t>
      </w:r>
      <w:r w:rsidR="003E09D3" w:rsidRPr="002C27F8">
        <w:t xml:space="preserve">the validation group of NKTL </w:t>
      </w:r>
      <w:r w:rsidRPr="002C27F8">
        <w:t>patients.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419"/>
        <w:gridCol w:w="1273"/>
        <w:gridCol w:w="681"/>
        <w:gridCol w:w="1419"/>
        <w:gridCol w:w="1195"/>
        <w:gridCol w:w="677"/>
      </w:tblGrid>
      <w:tr w:rsidR="002C27F8" w:rsidRPr="002C27F8" w14:paraId="29640E27" w14:textId="77777777" w:rsidTr="00A10A57"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14:paraId="6862C0D4" w14:textId="2D690652" w:rsidR="00E16FEC" w:rsidRPr="002C27F8" w:rsidRDefault="00E16FEC" w:rsidP="00EA0232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Parameters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C7F86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Overall survival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510D8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Progression-free survival</w:t>
            </w:r>
          </w:p>
        </w:tc>
      </w:tr>
      <w:tr w:rsidR="002C27F8" w:rsidRPr="002C27F8" w14:paraId="4601E436" w14:textId="77777777" w:rsidTr="00A10A57">
        <w:tc>
          <w:tcPr>
            <w:tcW w:w="985" w:type="pct"/>
            <w:vMerge/>
          </w:tcPr>
          <w:p w14:paraId="7E7FC648" w14:textId="77777777" w:rsidR="00E16FEC" w:rsidRPr="002C27F8" w:rsidRDefault="00E16FEC" w:rsidP="00C43890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14:paraId="06E6A960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Univariate analysis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bottom w:val="nil"/>
            </w:tcBorders>
          </w:tcPr>
          <w:p w14:paraId="59FC8D08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Multivariate analysis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14:paraId="48BB5ED9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Univariate analysis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276BC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Multivariate analysis</w:t>
            </w:r>
          </w:p>
        </w:tc>
      </w:tr>
      <w:tr w:rsidR="002C27F8" w:rsidRPr="002C27F8" w14:paraId="21871647" w14:textId="77777777" w:rsidTr="00A10A57"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519CC442" w14:textId="77777777" w:rsidR="00E16FEC" w:rsidRPr="002C27F8" w:rsidRDefault="00E16FEC" w:rsidP="00C43890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621ED40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 value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14:paraId="5E97587C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HR (95 % CI)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6F2A7BA3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 value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BD62050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 value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70A27FE4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HR (95 % CI)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25113E13" w14:textId="77777777" w:rsidR="00E16FEC" w:rsidRPr="002C27F8" w:rsidRDefault="00E16FEC" w:rsidP="00C43890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P value</w:t>
            </w:r>
          </w:p>
        </w:tc>
      </w:tr>
      <w:tr w:rsidR="002C27F8" w:rsidRPr="002C27F8" w14:paraId="1119B8CA" w14:textId="77777777" w:rsidTr="00A10A57">
        <w:tc>
          <w:tcPr>
            <w:tcW w:w="985" w:type="pct"/>
            <w:tcBorders>
              <w:top w:val="single" w:sz="4" w:space="0" w:color="auto"/>
              <w:bottom w:val="nil"/>
            </w:tcBorders>
          </w:tcPr>
          <w:p w14:paraId="566E5E2F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>Gender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14:paraId="63201A59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nil"/>
            </w:tcBorders>
          </w:tcPr>
          <w:p w14:paraId="619FAA09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</w:tcPr>
          <w:p w14:paraId="454B161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14:paraId="6C9ACBF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</w:tcPr>
          <w:p w14:paraId="098EABC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</w:tcPr>
          <w:p w14:paraId="415FBE7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6C0D7374" w14:textId="77777777" w:rsidTr="00A10A57">
        <w:trPr>
          <w:trHeight w:val="292"/>
        </w:trPr>
        <w:tc>
          <w:tcPr>
            <w:tcW w:w="985" w:type="pct"/>
            <w:tcBorders>
              <w:top w:val="nil"/>
            </w:tcBorders>
          </w:tcPr>
          <w:p w14:paraId="22D2D8A7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Male vs. female</w:t>
            </w:r>
          </w:p>
        </w:tc>
        <w:tc>
          <w:tcPr>
            <w:tcW w:w="855" w:type="pct"/>
            <w:tcBorders>
              <w:top w:val="nil"/>
            </w:tcBorders>
          </w:tcPr>
          <w:p w14:paraId="0DCE4C26" w14:textId="059441A4" w:rsidR="00E16FEC" w:rsidRPr="002C27F8" w:rsidRDefault="00E16FEC" w:rsidP="00B47362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</w:t>
            </w:r>
            <w:r w:rsidR="00B47362" w:rsidRPr="002C27F8">
              <w:rPr>
                <w:sz w:val="15"/>
              </w:rPr>
              <w:t>731</w:t>
            </w:r>
          </w:p>
        </w:tc>
        <w:tc>
          <w:tcPr>
            <w:tcW w:w="767" w:type="pct"/>
            <w:tcBorders>
              <w:top w:val="nil"/>
            </w:tcBorders>
          </w:tcPr>
          <w:p w14:paraId="3E4BFA3D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14:paraId="03CBC4FD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14:paraId="3B50D4AF" w14:textId="44CD69A7" w:rsidR="00E16FEC" w:rsidRPr="002C27F8" w:rsidRDefault="00EA2D4F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0.625</w:t>
            </w:r>
          </w:p>
        </w:tc>
        <w:tc>
          <w:tcPr>
            <w:tcW w:w="720" w:type="pct"/>
            <w:tcBorders>
              <w:top w:val="nil"/>
            </w:tcBorders>
          </w:tcPr>
          <w:p w14:paraId="26FC0EF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14:paraId="2ED63DCB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01E949FB" w14:textId="77777777" w:rsidTr="00A10A57">
        <w:tc>
          <w:tcPr>
            <w:tcW w:w="985" w:type="pct"/>
          </w:tcPr>
          <w:p w14:paraId="5B1319C2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Age </w:t>
            </w:r>
          </w:p>
        </w:tc>
        <w:tc>
          <w:tcPr>
            <w:tcW w:w="855" w:type="pct"/>
          </w:tcPr>
          <w:p w14:paraId="06D0019E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74DAD19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09A70A0A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6838CB1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65D3362C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72D21E82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24D6BCEA" w14:textId="77777777" w:rsidTr="00A10A57">
        <w:tc>
          <w:tcPr>
            <w:tcW w:w="985" w:type="pct"/>
          </w:tcPr>
          <w:p w14:paraId="6DC7D342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&gt;60 vs.≤60years</w:t>
            </w:r>
          </w:p>
        </w:tc>
        <w:tc>
          <w:tcPr>
            <w:tcW w:w="855" w:type="pct"/>
          </w:tcPr>
          <w:p w14:paraId="26008A36" w14:textId="7D939BA4" w:rsidR="00E16FEC" w:rsidRPr="002C27F8" w:rsidRDefault="00E16FEC" w:rsidP="00E43143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</w:t>
            </w:r>
            <w:r w:rsidR="00E43143" w:rsidRPr="002C27F8">
              <w:rPr>
                <w:sz w:val="15"/>
              </w:rPr>
              <w:t>229</w:t>
            </w:r>
          </w:p>
        </w:tc>
        <w:tc>
          <w:tcPr>
            <w:tcW w:w="767" w:type="pct"/>
          </w:tcPr>
          <w:p w14:paraId="7DC2EE2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3A36C19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61AD372F" w14:textId="404D06B5" w:rsidR="00E16FEC" w:rsidRPr="002C27F8" w:rsidRDefault="000B560D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0.741</w:t>
            </w:r>
          </w:p>
        </w:tc>
        <w:tc>
          <w:tcPr>
            <w:tcW w:w="720" w:type="pct"/>
          </w:tcPr>
          <w:p w14:paraId="4D2AFFE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05A84E76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5159B583" w14:textId="77777777" w:rsidTr="00A10A57">
        <w:tc>
          <w:tcPr>
            <w:tcW w:w="985" w:type="pct"/>
          </w:tcPr>
          <w:p w14:paraId="5D1A31C0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>ECOG scores</w:t>
            </w:r>
          </w:p>
        </w:tc>
        <w:tc>
          <w:tcPr>
            <w:tcW w:w="855" w:type="pct"/>
          </w:tcPr>
          <w:p w14:paraId="50F37D4C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281AB1B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231F880D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0BB32FC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743C5242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492CA8EF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661EC7EE" w14:textId="77777777" w:rsidTr="00A10A57">
        <w:trPr>
          <w:trHeight w:val="446"/>
        </w:trPr>
        <w:tc>
          <w:tcPr>
            <w:tcW w:w="985" w:type="pct"/>
          </w:tcPr>
          <w:p w14:paraId="79953083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≥2 vs. 0-1</w:t>
            </w:r>
          </w:p>
        </w:tc>
        <w:tc>
          <w:tcPr>
            <w:tcW w:w="855" w:type="pct"/>
          </w:tcPr>
          <w:p w14:paraId="6B730E31" w14:textId="37A2F58C" w:rsidR="00E16FEC" w:rsidRPr="002C27F8" w:rsidRDefault="00D204BA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0,368</w:t>
            </w:r>
          </w:p>
        </w:tc>
        <w:tc>
          <w:tcPr>
            <w:tcW w:w="767" w:type="pct"/>
          </w:tcPr>
          <w:p w14:paraId="37F470B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3794697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539E6C98" w14:textId="3A059539" w:rsidR="00E16FEC" w:rsidRPr="002C27F8" w:rsidRDefault="000B560D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0.242</w:t>
            </w:r>
          </w:p>
        </w:tc>
        <w:tc>
          <w:tcPr>
            <w:tcW w:w="720" w:type="pct"/>
          </w:tcPr>
          <w:p w14:paraId="7FB8DACE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71AF1E0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663E71BA" w14:textId="77777777" w:rsidTr="00A10A57">
        <w:tc>
          <w:tcPr>
            <w:tcW w:w="985" w:type="pct"/>
          </w:tcPr>
          <w:p w14:paraId="45E8DEE3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Stage </w:t>
            </w:r>
          </w:p>
        </w:tc>
        <w:tc>
          <w:tcPr>
            <w:tcW w:w="855" w:type="pct"/>
          </w:tcPr>
          <w:p w14:paraId="11BB73BF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5F543296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3C259A4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099C845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548CC7D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37DAF6E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1B290FD7" w14:textId="77777777" w:rsidTr="00A10A57">
        <w:tc>
          <w:tcPr>
            <w:tcW w:w="985" w:type="pct"/>
          </w:tcPr>
          <w:p w14:paraId="049DD1CD" w14:textId="77777777" w:rsidR="00E16FEC" w:rsidRPr="002C27F8" w:rsidRDefault="00E16FEC" w:rsidP="00985FD8">
            <w:pPr>
              <w:rPr>
                <w:sz w:val="15"/>
                <w:lang w:val="it-IT"/>
              </w:rPr>
            </w:pPr>
            <w:r w:rsidRPr="002C27F8">
              <w:rPr>
                <w:sz w:val="15"/>
                <w:lang w:val="it-IT"/>
              </w:rPr>
              <w:t xml:space="preserve"> III\IV vs. I\II</w:t>
            </w:r>
          </w:p>
        </w:tc>
        <w:tc>
          <w:tcPr>
            <w:tcW w:w="855" w:type="pct"/>
          </w:tcPr>
          <w:p w14:paraId="35866829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67" w:type="pct"/>
          </w:tcPr>
          <w:p w14:paraId="0056B9B3" w14:textId="248E8ACB" w:rsidR="00E16FEC" w:rsidRPr="002C27F8" w:rsidRDefault="00440B2A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2.00</w:t>
            </w:r>
            <w:r w:rsidR="009F6525" w:rsidRPr="002C27F8">
              <w:rPr>
                <w:sz w:val="15"/>
              </w:rPr>
              <w:t>(1.03-2.91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1A1EC279" w14:textId="1463AA3E" w:rsidR="00E16FEC" w:rsidRPr="002C27F8" w:rsidRDefault="009F6525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0.042</w:t>
            </w:r>
          </w:p>
        </w:tc>
        <w:tc>
          <w:tcPr>
            <w:tcW w:w="855" w:type="pct"/>
          </w:tcPr>
          <w:p w14:paraId="29176983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20" w:type="pct"/>
          </w:tcPr>
          <w:p w14:paraId="0237885D" w14:textId="67795FE5" w:rsidR="00E16FEC" w:rsidRPr="002C27F8" w:rsidRDefault="000B242A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2.06(1.07-3.97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2776FF33" w14:textId="1929CF8C" w:rsidR="00E16FEC" w:rsidRPr="002C27F8" w:rsidRDefault="00C008E6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0.030</w:t>
            </w:r>
          </w:p>
        </w:tc>
      </w:tr>
      <w:tr w:rsidR="002C27F8" w:rsidRPr="002C27F8" w14:paraId="78413A9C" w14:textId="77777777" w:rsidTr="00A10A57">
        <w:tc>
          <w:tcPr>
            <w:tcW w:w="985" w:type="pct"/>
          </w:tcPr>
          <w:p w14:paraId="11515A17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B symptoms </w:t>
            </w:r>
          </w:p>
        </w:tc>
        <w:tc>
          <w:tcPr>
            <w:tcW w:w="855" w:type="pct"/>
          </w:tcPr>
          <w:p w14:paraId="78F9D38F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2335FF6D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6994B06B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0840DF1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3BBAAC7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03769BBC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23AAF665" w14:textId="77777777" w:rsidTr="00A10A57">
        <w:tc>
          <w:tcPr>
            <w:tcW w:w="985" w:type="pct"/>
          </w:tcPr>
          <w:p w14:paraId="79725F2A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Yes vs. no</w:t>
            </w:r>
          </w:p>
        </w:tc>
        <w:tc>
          <w:tcPr>
            <w:tcW w:w="855" w:type="pct"/>
          </w:tcPr>
          <w:p w14:paraId="33B9CF10" w14:textId="151BF2FD" w:rsidR="00E16FEC" w:rsidRPr="002C27F8" w:rsidRDefault="00042155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0.036</w:t>
            </w:r>
          </w:p>
        </w:tc>
        <w:tc>
          <w:tcPr>
            <w:tcW w:w="767" w:type="pct"/>
          </w:tcPr>
          <w:p w14:paraId="7A49559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6A64F48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3E055F91" w14:textId="7D8529C0" w:rsidR="00E16FEC" w:rsidRPr="002C27F8" w:rsidRDefault="00E16FEC" w:rsidP="00E82ED7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</w:t>
            </w:r>
            <w:r w:rsidR="00E82ED7" w:rsidRPr="002C27F8">
              <w:rPr>
                <w:sz w:val="15"/>
              </w:rPr>
              <w:t>025</w:t>
            </w:r>
          </w:p>
        </w:tc>
        <w:tc>
          <w:tcPr>
            <w:tcW w:w="720" w:type="pct"/>
          </w:tcPr>
          <w:p w14:paraId="6F3021ED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249282A7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204C58F1" w14:textId="77777777" w:rsidTr="00A10A57">
        <w:tc>
          <w:tcPr>
            <w:tcW w:w="985" w:type="pct"/>
          </w:tcPr>
          <w:p w14:paraId="70BB3D3B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LDH </w:t>
            </w:r>
          </w:p>
        </w:tc>
        <w:tc>
          <w:tcPr>
            <w:tcW w:w="855" w:type="pct"/>
          </w:tcPr>
          <w:p w14:paraId="5A28F7A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70B14E7A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5D1CA0D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2E53687E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50DC847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36D18E49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6AE29898" w14:textId="77777777" w:rsidTr="00A10A57">
        <w:tc>
          <w:tcPr>
            <w:tcW w:w="985" w:type="pct"/>
          </w:tcPr>
          <w:p w14:paraId="2BFCE7E6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Elevated vs. normal</w:t>
            </w:r>
          </w:p>
        </w:tc>
        <w:tc>
          <w:tcPr>
            <w:tcW w:w="855" w:type="pct"/>
          </w:tcPr>
          <w:p w14:paraId="20592DEF" w14:textId="6C45811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0.001</w:t>
            </w:r>
          </w:p>
        </w:tc>
        <w:tc>
          <w:tcPr>
            <w:tcW w:w="767" w:type="pct"/>
          </w:tcPr>
          <w:p w14:paraId="1843F95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02C0B44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35D0DA71" w14:textId="4653B62B" w:rsidR="00E16FEC" w:rsidRPr="002C27F8" w:rsidRDefault="00E82ED7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0.002</w:t>
            </w:r>
          </w:p>
        </w:tc>
        <w:tc>
          <w:tcPr>
            <w:tcW w:w="720" w:type="pct"/>
          </w:tcPr>
          <w:p w14:paraId="2858E1F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74E0B09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1B987A57" w14:textId="77777777" w:rsidTr="00A10A57">
        <w:tc>
          <w:tcPr>
            <w:tcW w:w="985" w:type="pct"/>
          </w:tcPr>
          <w:p w14:paraId="1204EB0B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>Chemotherapy</w:t>
            </w:r>
          </w:p>
        </w:tc>
        <w:tc>
          <w:tcPr>
            <w:tcW w:w="855" w:type="pct"/>
          </w:tcPr>
          <w:p w14:paraId="61B9C72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2F1A324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1B07CB73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1514C5B5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58F17CCE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434DD2B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639B720C" w14:textId="77777777" w:rsidTr="00A10A57">
        <w:tc>
          <w:tcPr>
            <w:tcW w:w="985" w:type="pct"/>
          </w:tcPr>
          <w:p w14:paraId="439A0B43" w14:textId="3E002D99" w:rsidR="00E16FEC" w:rsidRPr="002C27F8" w:rsidRDefault="005D6F4D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GEL</w:t>
            </w:r>
            <w:r w:rsidR="00E16FEC" w:rsidRPr="002C27F8">
              <w:rPr>
                <w:sz w:val="15"/>
              </w:rPr>
              <w:t>OX vs. EPOCH</w:t>
            </w:r>
          </w:p>
        </w:tc>
        <w:tc>
          <w:tcPr>
            <w:tcW w:w="855" w:type="pct"/>
          </w:tcPr>
          <w:p w14:paraId="07AED0E6" w14:textId="6D298FA0" w:rsidR="00E16FEC" w:rsidRPr="002C27F8" w:rsidRDefault="007246A6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0.006</w:t>
            </w:r>
          </w:p>
        </w:tc>
        <w:tc>
          <w:tcPr>
            <w:tcW w:w="767" w:type="pct"/>
          </w:tcPr>
          <w:p w14:paraId="5890CCF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4612F4AB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60412A06" w14:textId="1BD0D742" w:rsidR="00E16FEC" w:rsidRPr="002C27F8" w:rsidRDefault="00E82ED7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0.013</w:t>
            </w:r>
          </w:p>
        </w:tc>
        <w:tc>
          <w:tcPr>
            <w:tcW w:w="720" w:type="pct"/>
          </w:tcPr>
          <w:p w14:paraId="3EF60338" w14:textId="3660CC4D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7EE6496A" w14:textId="3A8A8655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25FB64AC" w14:textId="77777777" w:rsidTr="00A10A57">
        <w:tc>
          <w:tcPr>
            <w:tcW w:w="985" w:type="pct"/>
          </w:tcPr>
          <w:p w14:paraId="5D733104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>Treatment response</w:t>
            </w:r>
          </w:p>
        </w:tc>
        <w:tc>
          <w:tcPr>
            <w:tcW w:w="855" w:type="pct"/>
          </w:tcPr>
          <w:p w14:paraId="272C4D8E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69A81806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70AE9D68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75D988F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3567E15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6D3BB0D2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2C9E03FB" w14:textId="77777777" w:rsidTr="00A10A57">
        <w:tc>
          <w:tcPr>
            <w:tcW w:w="985" w:type="pct"/>
          </w:tcPr>
          <w:p w14:paraId="3851E20B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Non-CR vs. CR</w:t>
            </w:r>
          </w:p>
        </w:tc>
        <w:tc>
          <w:tcPr>
            <w:tcW w:w="855" w:type="pct"/>
          </w:tcPr>
          <w:p w14:paraId="38598561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67" w:type="pct"/>
          </w:tcPr>
          <w:p w14:paraId="5D5EBBB8" w14:textId="12FBC866" w:rsidR="00E16FEC" w:rsidRPr="002C27F8" w:rsidRDefault="009F6525" w:rsidP="009F6525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5.18</w:t>
            </w:r>
            <w:r w:rsidR="00E16FEC" w:rsidRPr="002C27F8">
              <w:rPr>
                <w:sz w:val="15"/>
              </w:rPr>
              <w:t>(1.</w:t>
            </w:r>
            <w:r w:rsidRPr="002C27F8">
              <w:rPr>
                <w:sz w:val="15"/>
              </w:rPr>
              <w:t>88</w:t>
            </w:r>
            <w:r w:rsidR="00E16FEC" w:rsidRPr="002C27F8">
              <w:rPr>
                <w:sz w:val="15"/>
              </w:rPr>
              <w:t>-</w:t>
            </w:r>
            <w:r w:rsidRPr="002C27F8">
              <w:rPr>
                <w:sz w:val="15"/>
              </w:rPr>
              <w:t>14.31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165467C0" w14:textId="4E86C000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0.001</w:t>
            </w:r>
          </w:p>
        </w:tc>
        <w:tc>
          <w:tcPr>
            <w:tcW w:w="855" w:type="pct"/>
          </w:tcPr>
          <w:p w14:paraId="3F1CE56D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20" w:type="pct"/>
          </w:tcPr>
          <w:p w14:paraId="529A54AC" w14:textId="087F9605" w:rsidR="00E16FEC" w:rsidRPr="002C27F8" w:rsidRDefault="000B242A" w:rsidP="000B242A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2.29(1.09</w:t>
            </w:r>
            <w:r w:rsidR="00E16FEC" w:rsidRPr="002C27F8">
              <w:rPr>
                <w:sz w:val="15"/>
              </w:rPr>
              <w:t>-</w:t>
            </w:r>
            <w:r w:rsidRPr="002C27F8">
              <w:rPr>
                <w:sz w:val="15"/>
              </w:rPr>
              <w:t>4.82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05AF2EAB" w14:textId="730D73AC" w:rsidR="00E16FEC" w:rsidRPr="002C27F8" w:rsidRDefault="000B242A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0.02</w:t>
            </w:r>
            <w:r w:rsidR="00E16FEC" w:rsidRPr="002C27F8">
              <w:rPr>
                <w:sz w:val="15"/>
              </w:rPr>
              <w:t>9</w:t>
            </w:r>
          </w:p>
        </w:tc>
      </w:tr>
      <w:tr w:rsidR="002C27F8" w:rsidRPr="002C27F8" w14:paraId="0F8192D0" w14:textId="77777777" w:rsidTr="00A10A57">
        <w:tc>
          <w:tcPr>
            <w:tcW w:w="985" w:type="pct"/>
          </w:tcPr>
          <w:p w14:paraId="450B6DF4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>BCL11A expression</w:t>
            </w:r>
          </w:p>
        </w:tc>
        <w:tc>
          <w:tcPr>
            <w:tcW w:w="855" w:type="pct"/>
          </w:tcPr>
          <w:p w14:paraId="62860534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67" w:type="pct"/>
          </w:tcPr>
          <w:p w14:paraId="4A827461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09B79AF0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855" w:type="pct"/>
          </w:tcPr>
          <w:p w14:paraId="63BF99AA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720" w:type="pct"/>
          </w:tcPr>
          <w:p w14:paraId="4876FC9A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  <w:tc>
          <w:tcPr>
            <w:tcW w:w="410" w:type="pct"/>
          </w:tcPr>
          <w:p w14:paraId="17C584BA" w14:textId="77777777" w:rsidR="00E16FEC" w:rsidRPr="002C27F8" w:rsidRDefault="00E16FEC" w:rsidP="00985FD8">
            <w:pPr>
              <w:jc w:val="center"/>
              <w:rPr>
                <w:sz w:val="15"/>
              </w:rPr>
            </w:pPr>
          </w:p>
        </w:tc>
      </w:tr>
      <w:tr w:rsidR="002C27F8" w:rsidRPr="002C27F8" w14:paraId="4FAD90CE" w14:textId="77777777" w:rsidTr="00A10A57">
        <w:tc>
          <w:tcPr>
            <w:tcW w:w="985" w:type="pct"/>
          </w:tcPr>
          <w:p w14:paraId="78E9F4B9" w14:textId="77777777" w:rsidR="00E16FEC" w:rsidRPr="002C27F8" w:rsidRDefault="00E16FEC" w:rsidP="00985FD8">
            <w:pPr>
              <w:rPr>
                <w:sz w:val="15"/>
              </w:rPr>
            </w:pPr>
            <w:r w:rsidRPr="002C27F8">
              <w:rPr>
                <w:sz w:val="15"/>
              </w:rPr>
              <w:t xml:space="preserve"> High vs. low</w:t>
            </w:r>
          </w:p>
        </w:tc>
        <w:tc>
          <w:tcPr>
            <w:tcW w:w="855" w:type="pct"/>
          </w:tcPr>
          <w:p w14:paraId="425E6221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67" w:type="pct"/>
          </w:tcPr>
          <w:p w14:paraId="39E76ED2" w14:textId="2B31B94E" w:rsidR="00E16FEC" w:rsidRPr="002C27F8" w:rsidRDefault="004F16B1" w:rsidP="004F16B1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3.22</w:t>
            </w:r>
            <w:r w:rsidR="00E16FEC" w:rsidRPr="002C27F8">
              <w:rPr>
                <w:sz w:val="15"/>
              </w:rPr>
              <w:t>(1.</w:t>
            </w:r>
            <w:r w:rsidRPr="002C27F8">
              <w:rPr>
                <w:sz w:val="15"/>
              </w:rPr>
              <w:t>58</w:t>
            </w:r>
            <w:r w:rsidR="00E16FEC" w:rsidRPr="002C27F8">
              <w:rPr>
                <w:sz w:val="15"/>
              </w:rPr>
              <w:t>-</w:t>
            </w:r>
            <w:r w:rsidRPr="002C27F8">
              <w:rPr>
                <w:sz w:val="15"/>
              </w:rPr>
              <w:t>6.58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7E93382A" w14:textId="7E011929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0.001</w:t>
            </w:r>
          </w:p>
        </w:tc>
        <w:tc>
          <w:tcPr>
            <w:tcW w:w="855" w:type="pct"/>
          </w:tcPr>
          <w:p w14:paraId="70DEA734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  <w:tc>
          <w:tcPr>
            <w:tcW w:w="720" w:type="pct"/>
          </w:tcPr>
          <w:p w14:paraId="28C17126" w14:textId="7F932FFD" w:rsidR="00E16FEC" w:rsidRPr="002C27F8" w:rsidRDefault="00FA096E" w:rsidP="00FA096E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3.98</w:t>
            </w:r>
            <w:r w:rsidR="00E16FEC" w:rsidRPr="002C27F8">
              <w:rPr>
                <w:sz w:val="15"/>
              </w:rPr>
              <w:t>(</w:t>
            </w:r>
            <w:r w:rsidRPr="002C27F8">
              <w:rPr>
                <w:sz w:val="15"/>
              </w:rPr>
              <w:t>2.08</w:t>
            </w:r>
            <w:r w:rsidR="00E16FEC" w:rsidRPr="002C27F8">
              <w:rPr>
                <w:sz w:val="15"/>
              </w:rPr>
              <w:t>-</w:t>
            </w:r>
            <w:r w:rsidRPr="002C27F8">
              <w:rPr>
                <w:sz w:val="15"/>
              </w:rPr>
              <w:t>7.58</w:t>
            </w:r>
            <w:r w:rsidR="00E16FEC" w:rsidRPr="002C27F8">
              <w:rPr>
                <w:sz w:val="15"/>
              </w:rPr>
              <w:t>)</w:t>
            </w:r>
          </w:p>
        </w:tc>
        <w:tc>
          <w:tcPr>
            <w:tcW w:w="410" w:type="pct"/>
          </w:tcPr>
          <w:p w14:paraId="201E9101" w14:textId="77777777" w:rsidR="00E16FEC" w:rsidRPr="002C27F8" w:rsidRDefault="00E16FEC" w:rsidP="00985FD8">
            <w:pPr>
              <w:jc w:val="center"/>
              <w:rPr>
                <w:sz w:val="15"/>
              </w:rPr>
            </w:pPr>
            <w:r w:rsidRPr="002C27F8">
              <w:rPr>
                <w:sz w:val="15"/>
              </w:rPr>
              <w:t>&lt;0.001</w:t>
            </w:r>
          </w:p>
        </w:tc>
      </w:tr>
    </w:tbl>
    <w:p w14:paraId="50990694" w14:textId="28CE81B2" w:rsidR="00E16FEC" w:rsidRPr="002C27F8" w:rsidRDefault="00B1797A" w:rsidP="00E16FEC">
      <w:r w:rsidRPr="002C27F8">
        <w:t xml:space="preserve">NKTL, natural killer </w:t>
      </w:r>
      <w:r w:rsidR="004C7396" w:rsidRPr="002C27F8">
        <w:t xml:space="preserve">/T-cell lymphoma; </w:t>
      </w:r>
      <w:r w:rsidR="00E16FEC" w:rsidRPr="002C27F8">
        <w:t xml:space="preserve">HR, hazard ratio; CI, confidence interval; ECOG, Eastern Cooperative Oncology Group; LDH, lactate dehydrogenase; </w:t>
      </w:r>
      <w:r w:rsidR="00E16FEC" w:rsidRPr="002C27F8">
        <w:rPr>
          <w:rFonts w:eastAsia="Arial"/>
        </w:rPr>
        <w:t>GELOX, gemcitabine, L-asparaginase, and oxaliplatin; EPOCH, cyclophosphamide, doxorubicin, vincristine, prednisone, and</w:t>
      </w:r>
      <w:r w:rsidR="00E16FEC" w:rsidRPr="002C27F8">
        <w:t xml:space="preserve"> </w:t>
      </w:r>
      <w:r w:rsidR="00E16FEC" w:rsidRPr="002C27F8">
        <w:rPr>
          <w:rFonts w:eastAsia="Arial"/>
        </w:rPr>
        <w:t xml:space="preserve">etoposide; </w:t>
      </w:r>
      <w:r w:rsidR="00E16FEC" w:rsidRPr="002C27F8">
        <w:t>CR, complete remission; BCL11A, B</w:t>
      </w:r>
      <w:r w:rsidR="00E16FEC" w:rsidRPr="002C27F8">
        <w:rPr>
          <w:rFonts w:ascii="Calibri" w:eastAsia="Calibri" w:hAnsi="Calibri" w:cs="Calibri"/>
        </w:rPr>
        <w:t>‐</w:t>
      </w:r>
      <w:r w:rsidR="00FA096E" w:rsidRPr="002C27F8">
        <w:t>cell chronic lymphocytic leuk</w:t>
      </w:r>
      <w:r w:rsidRPr="002C27F8">
        <w:t>emia/lymphoma 11 A</w:t>
      </w:r>
      <w:r w:rsidR="00E16FEC" w:rsidRPr="002C27F8">
        <w:t>.</w:t>
      </w:r>
    </w:p>
    <w:p w14:paraId="53427D20" w14:textId="77777777" w:rsidR="000D7D1E" w:rsidRPr="002C27F8" w:rsidRDefault="000D7D1E" w:rsidP="000D7D1E"/>
    <w:sectPr w:rsidR="000D7D1E" w:rsidRPr="002C27F8" w:rsidSect="007B7FC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C9"/>
    <w:rsid w:val="000333F0"/>
    <w:rsid w:val="00037BD9"/>
    <w:rsid w:val="00042155"/>
    <w:rsid w:val="000426F3"/>
    <w:rsid w:val="00046B72"/>
    <w:rsid w:val="00062B3C"/>
    <w:rsid w:val="000B242A"/>
    <w:rsid w:val="000B560D"/>
    <w:rsid w:val="000D7D1E"/>
    <w:rsid w:val="00124CD4"/>
    <w:rsid w:val="00134052"/>
    <w:rsid w:val="00136D35"/>
    <w:rsid w:val="00174B92"/>
    <w:rsid w:val="0019099B"/>
    <w:rsid w:val="001A370F"/>
    <w:rsid w:val="001D7B33"/>
    <w:rsid w:val="00224B23"/>
    <w:rsid w:val="002A617A"/>
    <w:rsid w:val="002A7F57"/>
    <w:rsid w:val="002B151F"/>
    <w:rsid w:val="002C27F8"/>
    <w:rsid w:val="00305095"/>
    <w:rsid w:val="00323D2A"/>
    <w:rsid w:val="00332D15"/>
    <w:rsid w:val="00343E8A"/>
    <w:rsid w:val="0035080B"/>
    <w:rsid w:val="003555A9"/>
    <w:rsid w:val="003854A6"/>
    <w:rsid w:val="00386B10"/>
    <w:rsid w:val="003A112F"/>
    <w:rsid w:val="003B049D"/>
    <w:rsid w:val="003E09D3"/>
    <w:rsid w:val="003E0CFB"/>
    <w:rsid w:val="0040383B"/>
    <w:rsid w:val="004054FC"/>
    <w:rsid w:val="004056E4"/>
    <w:rsid w:val="00430EA6"/>
    <w:rsid w:val="00440B2A"/>
    <w:rsid w:val="00467100"/>
    <w:rsid w:val="004A21B3"/>
    <w:rsid w:val="004A6D3A"/>
    <w:rsid w:val="004A6EC9"/>
    <w:rsid w:val="004A7F56"/>
    <w:rsid w:val="004C4658"/>
    <w:rsid w:val="004C5616"/>
    <w:rsid w:val="004C7396"/>
    <w:rsid w:val="004C74DA"/>
    <w:rsid w:val="004F16B1"/>
    <w:rsid w:val="005165F2"/>
    <w:rsid w:val="005214E6"/>
    <w:rsid w:val="00525EC8"/>
    <w:rsid w:val="005569E9"/>
    <w:rsid w:val="00577A9C"/>
    <w:rsid w:val="005C150C"/>
    <w:rsid w:val="005C66D4"/>
    <w:rsid w:val="005D6F4D"/>
    <w:rsid w:val="0063262E"/>
    <w:rsid w:val="00637317"/>
    <w:rsid w:val="0066308E"/>
    <w:rsid w:val="00686A95"/>
    <w:rsid w:val="006B5253"/>
    <w:rsid w:val="006C4A84"/>
    <w:rsid w:val="00714644"/>
    <w:rsid w:val="00715CC8"/>
    <w:rsid w:val="007246A6"/>
    <w:rsid w:val="00731CE0"/>
    <w:rsid w:val="00783401"/>
    <w:rsid w:val="007B7FCA"/>
    <w:rsid w:val="007E1DFA"/>
    <w:rsid w:val="007E410E"/>
    <w:rsid w:val="00805349"/>
    <w:rsid w:val="00811BC7"/>
    <w:rsid w:val="00820769"/>
    <w:rsid w:val="008219DA"/>
    <w:rsid w:val="00862D8E"/>
    <w:rsid w:val="00882DDB"/>
    <w:rsid w:val="00895DBD"/>
    <w:rsid w:val="00930C7F"/>
    <w:rsid w:val="009403D8"/>
    <w:rsid w:val="00962C52"/>
    <w:rsid w:val="00964B44"/>
    <w:rsid w:val="009660E3"/>
    <w:rsid w:val="00970790"/>
    <w:rsid w:val="009A60BE"/>
    <w:rsid w:val="009B5710"/>
    <w:rsid w:val="009F6525"/>
    <w:rsid w:val="00A10A57"/>
    <w:rsid w:val="00A536A5"/>
    <w:rsid w:val="00A5655E"/>
    <w:rsid w:val="00AC02B2"/>
    <w:rsid w:val="00AC60C5"/>
    <w:rsid w:val="00AD562A"/>
    <w:rsid w:val="00AF071E"/>
    <w:rsid w:val="00B12E18"/>
    <w:rsid w:val="00B1797A"/>
    <w:rsid w:val="00B34796"/>
    <w:rsid w:val="00B47362"/>
    <w:rsid w:val="00B96903"/>
    <w:rsid w:val="00BB1363"/>
    <w:rsid w:val="00BC6B0B"/>
    <w:rsid w:val="00BF7796"/>
    <w:rsid w:val="00C008E6"/>
    <w:rsid w:val="00C075A4"/>
    <w:rsid w:val="00C366C9"/>
    <w:rsid w:val="00C43890"/>
    <w:rsid w:val="00C43F8F"/>
    <w:rsid w:val="00C5197E"/>
    <w:rsid w:val="00C530EE"/>
    <w:rsid w:val="00CA3A9B"/>
    <w:rsid w:val="00CA7CA2"/>
    <w:rsid w:val="00D204BA"/>
    <w:rsid w:val="00D7120B"/>
    <w:rsid w:val="00D831E7"/>
    <w:rsid w:val="00D86F08"/>
    <w:rsid w:val="00DA6BC2"/>
    <w:rsid w:val="00DB645F"/>
    <w:rsid w:val="00DF2434"/>
    <w:rsid w:val="00DF3976"/>
    <w:rsid w:val="00E11436"/>
    <w:rsid w:val="00E16FEC"/>
    <w:rsid w:val="00E43143"/>
    <w:rsid w:val="00E82ED7"/>
    <w:rsid w:val="00E82FE2"/>
    <w:rsid w:val="00EA0232"/>
    <w:rsid w:val="00EA2D4F"/>
    <w:rsid w:val="00EE302D"/>
    <w:rsid w:val="00F45169"/>
    <w:rsid w:val="00F53FAD"/>
    <w:rsid w:val="00FA096E"/>
    <w:rsid w:val="00FB527B"/>
    <w:rsid w:val="00FC3F14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A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2434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Florine Lièvre</cp:lastModifiedBy>
  <cp:revision>34</cp:revision>
  <dcterms:created xsi:type="dcterms:W3CDTF">2019-09-04T07:54:00Z</dcterms:created>
  <dcterms:modified xsi:type="dcterms:W3CDTF">2020-05-20T06:48:00Z</dcterms:modified>
</cp:coreProperties>
</file>