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5205F" w14:textId="77777777" w:rsidR="00F87462" w:rsidRPr="006B7EBD" w:rsidRDefault="00F87462" w:rsidP="00F87462">
      <w:pPr>
        <w:spacing w:line="480" w:lineRule="auto"/>
        <w:contextualSpacing/>
        <w:rPr>
          <w:rFonts w:ascii="Arial" w:hAnsi="Arial" w:cs="Arial"/>
          <w:iCs/>
        </w:rPr>
      </w:pPr>
      <w:r w:rsidRPr="006B7EBD">
        <w:rPr>
          <w:rFonts w:ascii="Arial" w:hAnsi="Arial" w:cs="Arial"/>
          <w:iCs/>
        </w:rPr>
        <w:t>Research Article</w:t>
      </w:r>
    </w:p>
    <w:p w14:paraId="22A7BFCB" w14:textId="77777777" w:rsidR="00F87462" w:rsidRPr="006B7EBD" w:rsidRDefault="00F87462" w:rsidP="00F87462">
      <w:pPr>
        <w:spacing w:line="480" w:lineRule="auto"/>
        <w:contextualSpacing/>
        <w:jc w:val="both"/>
        <w:rPr>
          <w:rFonts w:ascii="Arial" w:hAnsi="Arial" w:cs="Arial"/>
          <w:b/>
          <w:bCs/>
          <w:iCs/>
        </w:rPr>
      </w:pPr>
    </w:p>
    <w:p w14:paraId="72F149C2" w14:textId="41B96EF0" w:rsidR="00F87462" w:rsidRPr="006B7EBD" w:rsidRDefault="000356F2" w:rsidP="00F87462">
      <w:pPr>
        <w:spacing w:line="480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GROWTH AND BREAK-UP OF METHANOGENIC GRANULES SUGGESTS MECHANISMS FOR BIOFILM AND COMMUNITY DEVELOPMENT</w:t>
      </w:r>
    </w:p>
    <w:p w14:paraId="4FC23083" w14:textId="77777777" w:rsidR="000356F2" w:rsidRDefault="000356F2" w:rsidP="00F87462">
      <w:pPr>
        <w:spacing w:line="480" w:lineRule="auto"/>
        <w:contextualSpacing/>
        <w:rPr>
          <w:rFonts w:ascii="Arial" w:hAnsi="Arial" w:cs="Arial"/>
        </w:rPr>
      </w:pPr>
    </w:p>
    <w:p w14:paraId="2DA794E8" w14:textId="01E1D558" w:rsidR="00F87462" w:rsidRPr="006B7EBD" w:rsidRDefault="00F87462" w:rsidP="00F87462">
      <w:pPr>
        <w:spacing w:line="480" w:lineRule="auto"/>
        <w:contextualSpacing/>
        <w:rPr>
          <w:rFonts w:ascii="Arial" w:hAnsi="Arial" w:cs="Arial"/>
        </w:rPr>
      </w:pPr>
      <w:bookmarkStart w:id="0" w:name="_GoBack"/>
      <w:bookmarkEnd w:id="0"/>
      <w:r w:rsidRPr="006B7EBD">
        <w:rPr>
          <w:rFonts w:ascii="Arial" w:hAnsi="Arial" w:cs="Arial"/>
        </w:rPr>
        <w:t>Trego et al.</w:t>
      </w:r>
    </w:p>
    <w:p w14:paraId="110864D2" w14:textId="77777777" w:rsidR="00F87462" w:rsidRPr="006B7EBD" w:rsidRDefault="00F87462" w:rsidP="00F87462">
      <w:pPr>
        <w:spacing w:line="480" w:lineRule="auto"/>
        <w:contextualSpacing/>
        <w:rPr>
          <w:rFonts w:ascii="Arial" w:hAnsi="Arial" w:cs="Arial"/>
        </w:rPr>
      </w:pPr>
    </w:p>
    <w:p w14:paraId="0A108C48" w14:textId="470C4235" w:rsidR="00F87462" w:rsidRPr="006B7EBD" w:rsidRDefault="00F87462" w:rsidP="00F87462">
      <w:pPr>
        <w:spacing w:line="480" w:lineRule="auto"/>
        <w:contextualSpacing/>
        <w:jc w:val="center"/>
        <w:rPr>
          <w:rFonts w:ascii="Arial" w:hAnsi="Arial" w:cs="Arial"/>
          <w:b/>
          <w:bCs/>
        </w:rPr>
      </w:pPr>
      <w:r w:rsidRPr="006B7EBD">
        <w:rPr>
          <w:rFonts w:ascii="Arial" w:hAnsi="Arial" w:cs="Arial"/>
          <w:b/>
          <w:bCs/>
        </w:rPr>
        <w:t xml:space="preserve">SUPPLEMENTAL </w:t>
      </w:r>
      <w:r>
        <w:rPr>
          <w:rFonts w:ascii="Arial" w:hAnsi="Arial" w:cs="Arial"/>
          <w:b/>
          <w:bCs/>
        </w:rPr>
        <w:t>FIGURES</w:t>
      </w:r>
    </w:p>
    <w:p w14:paraId="37E25E47" w14:textId="77777777" w:rsidR="00F87462" w:rsidRPr="006B7EBD" w:rsidRDefault="00F87462" w:rsidP="00F87462">
      <w:pPr>
        <w:spacing w:line="480" w:lineRule="auto"/>
        <w:contextualSpacing/>
        <w:rPr>
          <w:rFonts w:ascii="Arial" w:hAnsi="Arial" w:cs="Arial"/>
        </w:rPr>
      </w:pPr>
    </w:p>
    <w:p w14:paraId="2728A2EA" w14:textId="5B839349" w:rsidR="0053119A" w:rsidRDefault="0053119A" w:rsidP="0053119A">
      <w:pPr>
        <w:jc w:val="center"/>
        <w:rPr>
          <w:rFonts w:ascii="Times" w:hAnsi="Time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1B62D50" wp14:editId="24F52F14">
            <wp:extent cx="2738073" cy="41529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nular Sludge Bed pi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951" cy="42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BA772" w14:textId="701D7C3A" w:rsidR="0053119A" w:rsidRPr="0053119A" w:rsidRDefault="0053119A" w:rsidP="002408E5">
      <w:pPr>
        <w:jc w:val="both"/>
        <w:rPr>
          <w:rFonts w:ascii="Arial" w:hAnsi="Arial" w:cs="Arial"/>
        </w:rPr>
      </w:pPr>
      <w:r w:rsidRPr="0053119A">
        <w:rPr>
          <w:rFonts w:ascii="Arial" w:hAnsi="Arial" w:cs="Arial"/>
          <w:b/>
        </w:rPr>
        <w:t>Figure S1.</w:t>
      </w:r>
      <w:r w:rsidRPr="0053119A">
        <w:rPr>
          <w:rFonts w:ascii="Arial" w:hAnsi="Arial" w:cs="Arial"/>
        </w:rPr>
        <w:t xml:space="preserve"> </w:t>
      </w:r>
      <w:r w:rsidRPr="0053119A">
        <w:rPr>
          <w:rFonts w:ascii="Arial" w:hAnsi="Arial" w:cs="Arial"/>
          <w:bCs/>
          <w:iCs/>
        </w:rPr>
        <w:t>Schematic of the EGSB bioreactors employed during the 51-day trial.</w:t>
      </w:r>
    </w:p>
    <w:p w14:paraId="58050971" w14:textId="77777777" w:rsidR="002408E5" w:rsidRDefault="002408E5" w:rsidP="002408E5">
      <w:pPr>
        <w:jc w:val="both"/>
        <w:rPr>
          <w:rFonts w:ascii="Times" w:hAnsi="Times"/>
        </w:rPr>
      </w:pPr>
    </w:p>
    <w:p w14:paraId="17538A91" w14:textId="77777777" w:rsidR="002408E5" w:rsidRDefault="002408E5" w:rsidP="002408E5">
      <w:pPr>
        <w:jc w:val="center"/>
        <w:rPr>
          <w:rFonts w:ascii="Times" w:hAnsi="Times"/>
        </w:rPr>
      </w:pPr>
      <w:r>
        <w:rPr>
          <w:rFonts w:ascii="Times" w:hAnsi="Times"/>
          <w:noProof/>
          <w:lang w:val="en-GB" w:eastAsia="en-GB"/>
        </w:rPr>
        <w:lastRenderedPageBreak/>
        <w:drawing>
          <wp:inline distT="0" distB="0" distL="0" distR="0" wp14:anchorId="325DBAE0" wp14:editId="50D703E2">
            <wp:extent cx="4838997" cy="27219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omass Yield Ch 5 Fig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720" cy="273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7A1C2" w14:textId="7608A52E" w:rsidR="002408E5" w:rsidRPr="0053119A" w:rsidRDefault="002408E5" w:rsidP="002408E5">
      <w:pPr>
        <w:jc w:val="center"/>
        <w:rPr>
          <w:rFonts w:ascii="Arial" w:hAnsi="Arial" w:cs="Arial"/>
        </w:rPr>
      </w:pPr>
      <w:r w:rsidRPr="0053119A">
        <w:rPr>
          <w:rFonts w:ascii="Arial" w:hAnsi="Arial" w:cs="Arial"/>
          <w:b/>
          <w:sz w:val="22"/>
        </w:rPr>
        <w:t>Figure S</w:t>
      </w:r>
      <w:r w:rsidR="0053119A">
        <w:rPr>
          <w:rFonts w:ascii="Arial" w:hAnsi="Arial" w:cs="Arial"/>
          <w:b/>
          <w:sz w:val="22"/>
        </w:rPr>
        <w:t>2</w:t>
      </w:r>
      <w:r w:rsidRPr="0053119A">
        <w:rPr>
          <w:rFonts w:ascii="Arial" w:hAnsi="Arial" w:cs="Arial"/>
          <w:b/>
          <w:sz w:val="22"/>
        </w:rPr>
        <w:t>.</w:t>
      </w:r>
      <w:r w:rsidRPr="0053119A">
        <w:rPr>
          <w:rFonts w:ascii="Arial" w:hAnsi="Arial" w:cs="Arial"/>
          <w:sz w:val="22"/>
        </w:rPr>
        <w:t xml:space="preserve"> Bar plot of the biomass yield, calculated on d-51, for each bioreactor, where (*) indicates the bioreactor that was shut down after day 22 due to high biomass losses</w:t>
      </w:r>
    </w:p>
    <w:p w14:paraId="5B7C6369" w14:textId="77777777" w:rsidR="002408E5" w:rsidRDefault="002408E5" w:rsidP="002408E5">
      <w:pPr>
        <w:jc w:val="both"/>
        <w:rPr>
          <w:rFonts w:ascii="Times" w:hAnsi="Times"/>
        </w:rPr>
      </w:pPr>
    </w:p>
    <w:p w14:paraId="4DFEA410" w14:textId="77777777" w:rsidR="002408E5" w:rsidRDefault="002408E5" w:rsidP="002408E5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lastRenderedPageBreak/>
        <w:drawing>
          <wp:inline distT="0" distB="0" distL="0" distR="0" wp14:anchorId="35CF5AFA" wp14:editId="31C8B478">
            <wp:extent cx="4629150" cy="82296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INT Combined fig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C963" w14:textId="2D0F62F5" w:rsidR="002408E5" w:rsidRPr="0053119A" w:rsidRDefault="002408E5" w:rsidP="002408E5">
      <w:pPr>
        <w:jc w:val="both"/>
        <w:rPr>
          <w:rFonts w:ascii="Arial" w:hAnsi="Arial" w:cs="Arial"/>
        </w:rPr>
      </w:pPr>
      <w:r w:rsidRPr="0053119A">
        <w:rPr>
          <w:rFonts w:ascii="Arial" w:hAnsi="Arial" w:cs="Arial"/>
          <w:b/>
          <w:sz w:val="22"/>
        </w:rPr>
        <w:lastRenderedPageBreak/>
        <w:t>Figure S</w:t>
      </w:r>
      <w:r w:rsidR="0053119A">
        <w:rPr>
          <w:rFonts w:ascii="Arial" w:hAnsi="Arial" w:cs="Arial"/>
          <w:b/>
          <w:sz w:val="22"/>
        </w:rPr>
        <w:t>3</w:t>
      </w:r>
      <w:r w:rsidRPr="0053119A">
        <w:rPr>
          <w:rFonts w:ascii="Arial" w:hAnsi="Arial" w:cs="Arial"/>
          <w:b/>
          <w:sz w:val="22"/>
        </w:rPr>
        <w:t>.</w:t>
      </w:r>
      <w:r w:rsidRPr="0053119A">
        <w:rPr>
          <w:rFonts w:ascii="Arial" w:hAnsi="Arial" w:cs="Arial"/>
          <w:sz w:val="22"/>
        </w:rPr>
        <w:t xml:space="preserve"> MINT study-wise discriminant analysis where </w:t>
      </w:r>
      <w:r w:rsidRPr="0053119A">
        <w:rPr>
          <w:rFonts w:ascii="Arial" w:hAnsi="Arial" w:cs="Arial"/>
          <w:b/>
          <w:sz w:val="22"/>
        </w:rPr>
        <w:t>(</w:t>
      </w:r>
      <w:r w:rsidRPr="0053119A">
        <w:rPr>
          <w:rFonts w:ascii="Arial" w:hAnsi="Arial" w:cs="Arial"/>
          <w:b/>
          <w:sz w:val="22"/>
          <w:lang w:val="en-GB"/>
        </w:rPr>
        <w:t>a)</w:t>
      </w:r>
      <w:r w:rsidRPr="0053119A">
        <w:rPr>
          <w:rFonts w:ascii="Arial" w:hAnsi="Arial" w:cs="Arial"/>
          <w:sz w:val="22"/>
          <w:lang w:val="en-GB"/>
        </w:rPr>
        <w:t xml:space="preserve"> shows the first two components of samples (MINT PLS-DA) using all the OTUs with ellipse representing 95% confidence interval and percentage variations explained by these components in axes labels; </w:t>
      </w:r>
      <w:r w:rsidRPr="0053119A">
        <w:rPr>
          <w:rFonts w:ascii="Arial" w:hAnsi="Arial" w:cs="Arial"/>
          <w:b/>
          <w:sz w:val="22"/>
          <w:lang w:val="en-GB"/>
        </w:rPr>
        <w:t>(b)</w:t>
      </w:r>
      <w:r w:rsidRPr="0053119A">
        <w:rPr>
          <w:rFonts w:ascii="Arial" w:hAnsi="Arial" w:cs="Arial"/>
          <w:sz w:val="22"/>
          <w:lang w:val="en-GB"/>
        </w:rPr>
        <w:t xml:space="preserve"> shows the optimum number of discriminating OTUs found for these 2 components identified as diamonds; and </w:t>
      </w:r>
      <w:r w:rsidRPr="0053119A">
        <w:rPr>
          <w:rFonts w:ascii="Arial" w:hAnsi="Arial" w:cs="Arial"/>
          <w:b/>
          <w:sz w:val="22"/>
          <w:lang w:val="en-GB"/>
        </w:rPr>
        <w:t>(c)</w:t>
      </w:r>
      <w:r w:rsidRPr="0053119A">
        <w:rPr>
          <w:rFonts w:ascii="Arial" w:hAnsi="Arial" w:cs="Arial"/>
          <w:sz w:val="22"/>
          <w:lang w:val="en-GB"/>
        </w:rPr>
        <w:t xml:space="preserve"> is similar to </w:t>
      </w:r>
      <w:r w:rsidRPr="0053119A">
        <w:rPr>
          <w:rFonts w:ascii="Arial" w:hAnsi="Arial" w:cs="Arial"/>
          <w:b/>
          <w:sz w:val="22"/>
          <w:lang w:val="en-GB"/>
        </w:rPr>
        <w:t>(a)</w:t>
      </w:r>
      <w:r w:rsidRPr="0053119A">
        <w:rPr>
          <w:rFonts w:ascii="Arial" w:hAnsi="Arial" w:cs="Arial"/>
          <w:sz w:val="22"/>
          <w:lang w:val="en-GB"/>
        </w:rPr>
        <w:t xml:space="preserve"> but the samples are drawn only using the 38 discriminant OTUs (MINT </w:t>
      </w:r>
      <w:proofErr w:type="spellStart"/>
      <w:r w:rsidRPr="0053119A">
        <w:rPr>
          <w:rFonts w:ascii="Arial" w:hAnsi="Arial" w:cs="Arial"/>
          <w:sz w:val="22"/>
          <w:lang w:val="en-GB"/>
        </w:rPr>
        <w:t>sPLS</w:t>
      </w:r>
      <w:proofErr w:type="spellEnd"/>
      <w:r w:rsidRPr="0053119A">
        <w:rPr>
          <w:rFonts w:ascii="Arial" w:hAnsi="Arial" w:cs="Arial"/>
          <w:sz w:val="22"/>
          <w:lang w:val="en-GB"/>
        </w:rPr>
        <w:t xml:space="preserve">-DA); </w:t>
      </w:r>
      <w:r w:rsidRPr="0053119A">
        <w:rPr>
          <w:rFonts w:ascii="Arial" w:hAnsi="Arial" w:cs="Arial"/>
        </w:rPr>
        <w:t>(</w:t>
      </w:r>
      <w:r w:rsidRPr="0053119A">
        <w:rPr>
          <w:rFonts w:ascii="Arial" w:hAnsi="Arial" w:cs="Arial"/>
          <w:b/>
        </w:rPr>
        <w:t>d – g</w:t>
      </w:r>
      <w:r w:rsidRPr="0053119A">
        <w:rPr>
          <w:rFonts w:ascii="Arial" w:hAnsi="Arial" w:cs="Arial"/>
        </w:rPr>
        <w:t xml:space="preserve">) </w:t>
      </w:r>
      <w:r w:rsidRPr="0053119A">
        <w:rPr>
          <w:rFonts w:ascii="Arial" w:eastAsiaTheme="minorEastAsia" w:hAnsi="Arial" w:cs="Arial"/>
          <w:sz w:val="22"/>
          <w:szCs w:val="22"/>
        </w:rPr>
        <w:t xml:space="preserve">show the MINT </w:t>
      </w:r>
      <w:proofErr w:type="spellStart"/>
      <w:r w:rsidRPr="0053119A">
        <w:rPr>
          <w:rFonts w:ascii="Arial" w:eastAsiaTheme="minorEastAsia" w:hAnsi="Arial" w:cs="Arial"/>
          <w:sz w:val="22"/>
          <w:szCs w:val="22"/>
        </w:rPr>
        <w:t>sPLS</w:t>
      </w:r>
      <w:proofErr w:type="spellEnd"/>
      <w:r w:rsidRPr="0053119A">
        <w:rPr>
          <w:rFonts w:ascii="Arial" w:eastAsiaTheme="minorEastAsia" w:hAnsi="Arial" w:cs="Arial"/>
          <w:sz w:val="22"/>
          <w:szCs w:val="22"/>
        </w:rPr>
        <w:t xml:space="preserve"> loading vectors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sub>
        </m:sSub>
      </m:oMath>
      <w:r w:rsidRPr="0053119A">
        <w:rPr>
          <w:rFonts w:ascii="Arial" w:eastAsiaTheme="minorEastAsia" w:hAnsi="Arial" w:cs="Arial"/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b>
        </m:sSub>
      </m:oMath>
      <w:r w:rsidRPr="0053119A">
        <w:rPr>
          <w:rFonts w:ascii="Arial" w:eastAsiaTheme="minorEastAsia" w:hAnsi="Arial" w:cs="Arial"/>
          <w:sz w:val="22"/>
          <w:szCs w:val="22"/>
        </w:rPr>
        <w:t xml:space="preserve"> with non-zero weights for component 1 and component 2 where </w:t>
      </w:r>
      <w:r w:rsidRPr="0053119A">
        <w:rPr>
          <w:rFonts w:ascii="Arial" w:eastAsiaTheme="minorEastAsia" w:hAnsi="Arial" w:cs="Arial"/>
          <w:b/>
          <w:sz w:val="22"/>
          <w:szCs w:val="22"/>
        </w:rPr>
        <w:t>(d)</w:t>
      </w:r>
      <w:r w:rsidRPr="0053119A">
        <w:rPr>
          <w:rFonts w:ascii="Arial" w:eastAsiaTheme="minorEastAsia" w:hAnsi="Arial" w:cs="Arial"/>
          <w:sz w:val="22"/>
          <w:szCs w:val="22"/>
        </w:rPr>
        <w:t xml:space="preserve"> shows contributions by emerging granules from R</w:t>
      </w:r>
      <w:r w:rsidRPr="0053119A">
        <w:rPr>
          <w:rFonts w:ascii="Arial" w:eastAsiaTheme="minorEastAsia" w:hAnsi="Arial" w:cs="Arial"/>
          <w:sz w:val="22"/>
          <w:szCs w:val="22"/>
          <w:vertAlign w:val="subscript"/>
        </w:rPr>
        <w:t>S</w:t>
      </w:r>
      <w:r w:rsidRPr="0053119A">
        <w:rPr>
          <w:rFonts w:ascii="Arial" w:eastAsiaTheme="minorEastAsia" w:hAnsi="Arial" w:cs="Arial"/>
          <w:sz w:val="22"/>
          <w:szCs w:val="22"/>
        </w:rPr>
        <w:t xml:space="preserve">; </w:t>
      </w:r>
      <w:r w:rsidRPr="0053119A">
        <w:rPr>
          <w:rFonts w:ascii="Arial" w:eastAsiaTheme="minorEastAsia" w:hAnsi="Arial" w:cs="Arial"/>
          <w:b/>
          <w:sz w:val="22"/>
          <w:szCs w:val="22"/>
        </w:rPr>
        <w:t>(e)</w:t>
      </w:r>
      <w:r w:rsidRPr="0053119A">
        <w:rPr>
          <w:rFonts w:ascii="Arial" w:eastAsiaTheme="minorEastAsia" w:hAnsi="Arial" w:cs="Arial"/>
          <w:sz w:val="22"/>
          <w:szCs w:val="22"/>
        </w:rPr>
        <w:t xml:space="preserve"> from R</w:t>
      </w:r>
      <w:r w:rsidRPr="0053119A">
        <w:rPr>
          <w:rFonts w:ascii="Arial" w:eastAsiaTheme="minorEastAsia" w:hAnsi="Arial" w:cs="Arial"/>
          <w:sz w:val="22"/>
          <w:szCs w:val="22"/>
          <w:vertAlign w:val="subscript"/>
        </w:rPr>
        <w:t>M</w:t>
      </w:r>
      <w:r w:rsidRPr="0053119A">
        <w:rPr>
          <w:rFonts w:ascii="Arial" w:eastAsiaTheme="minorEastAsia" w:hAnsi="Arial" w:cs="Arial"/>
          <w:sz w:val="22"/>
          <w:szCs w:val="22"/>
        </w:rPr>
        <w:t xml:space="preserve">; </w:t>
      </w:r>
      <w:r w:rsidRPr="0053119A">
        <w:rPr>
          <w:rFonts w:ascii="Arial" w:eastAsiaTheme="minorEastAsia" w:hAnsi="Arial" w:cs="Arial"/>
          <w:b/>
          <w:sz w:val="22"/>
          <w:szCs w:val="22"/>
        </w:rPr>
        <w:t>(f)</w:t>
      </w:r>
      <w:r w:rsidRPr="0053119A">
        <w:rPr>
          <w:rFonts w:ascii="Arial" w:eastAsiaTheme="minorEastAsia" w:hAnsi="Arial" w:cs="Arial"/>
          <w:sz w:val="22"/>
          <w:szCs w:val="22"/>
        </w:rPr>
        <w:t xml:space="preserve"> from R</w:t>
      </w:r>
      <w:r w:rsidRPr="0053119A">
        <w:rPr>
          <w:rFonts w:ascii="Arial" w:eastAsiaTheme="minorEastAsia" w:hAnsi="Arial" w:cs="Arial"/>
          <w:sz w:val="22"/>
          <w:szCs w:val="22"/>
          <w:vertAlign w:val="subscript"/>
        </w:rPr>
        <w:t>L</w:t>
      </w:r>
      <w:r w:rsidRPr="0053119A">
        <w:rPr>
          <w:rFonts w:ascii="Arial" w:eastAsiaTheme="minorEastAsia" w:hAnsi="Arial" w:cs="Arial"/>
          <w:sz w:val="22"/>
          <w:szCs w:val="22"/>
        </w:rPr>
        <w:t xml:space="preserve"> and </w:t>
      </w:r>
      <w:r w:rsidRPr="0053119A">
        <w:rPr>
          <w:rFonts w:ascii="Arial" w:eastAsiaTheme="minorEastAsia" w:hAnsi="Arial" w:cs="Arial"/>
          <w:b/>
          <w:sz w:val="22"/>
          <w:szCs w:val="22"/>
        </w:rPr>
        <w:t>(g)</w:t>
      </w:r>
      <w:r w:rsidRPr="0053119A">
        <w:rPr>
          <w:rFonts w:ascii="Arial" w:eastAsiaTheme="minorEastAsia" w:hAnsi="Arial" w:cs="Arial"/>
          <w:sz w:val="22"/>
          <w:szCs w:val="22"/>
        </w:rPr>
        <w:t xml:space="preserve"> from R</w:t>
      </w:r>
      <w:r w:rsidRPr="0053119A">
        <w:rPr>
          <w:rFonts w:ascii="Arial" w:eastAsiaTheme="minorEastAsia" w:hAnsi="Arial" w:cs="Arial"/>
          <w:sz w:val="22"/>
          <w:szCs w:val="22"/>
          <w:vertAlign w:val="subscript"/>
        </w:rPr>
        <w:t>N</w:t>
      </w:r>
      <w:r w:rsidRPr="0053119A">
        <w:rPr>
          <w:rFonts w:ascii="Arial" w:eastAsiaTheme="minorEastAsia" w:hAnsi="Arial" w:cs="Arial"/>
          <w:sz w:val="22"/>
          <w:szCs w:val="22"/>
        </w:rPr>
        <w:t xml:space="preserve"> studies. Loading vectors are </w:t>
      </w:r>
      <w:proofErr w:type="spellStart"/>
      <w:r w:rsidRPr="0053119A">
        <w:rPr>
          <w:rFonts w:ascii="Arial" w:eastAsiaTheme="minorEastAsia" w:hAnsi="Arial" w:cs="Arial"/>
          <w:sz w:val="22"/>
          <w:szCs w:val="22"/>
        </w:rPr>
        <w:t>coloured</w:t>
      </w:r>
      <w:proofErr w:type="spellEnd"/>
      <w:r w:rsidRPr="0053119A">
        <w:rPr>
          <w:rFonts w:ascii="Arial" w:eastAsiaTheme="minorEastAsia" w:hAnsi="Arial" w:cs="Arial"/>
          <w:sz w:val="22"/>
          <w:szCs w:val="22"/>
        </w:rPr>
        <w:t xml:space="preserve"> by emerging size with maximal abundance (note: while interpreting this figure, focus should be on the </w:t>
      </w:r>
      <w:proofErr w:type="spellStart"/>
      <w:r w:rsidRPr="0053119A">
        <w:rPr>
          <w:rFonts w:ascii="Arial" w:eastAsiaTheme="minorEastAsia" w:hAnsi="Arial" w:cs="Arial"/>
          <w:sz w:val="22"/>
          <w:szCs w:val="22"/>
        </w:rPr>
        <w:t>colour</w:t>
      </w:r>
      <w:proofErr w:type="spellEnd"/>
      <w:r w:rsidRPr="0053119A">
        <w:rPr>
          <w:rFonts w:ascii="Arial" w:eastAsiaTheme="minorEastAsia" w:hAnsi="Arial" w:cs="Arial"/>
          <w:sz w:val="22"/>
          <w:szCs w:val="22"/>
        </w:rPr>
        <w:t xml:space="preserve"> of the bars and not the positive/negative projections);</w:t>
      </w:r>
      <w:r w:rsidRPr="0053119A">
        <w:rPr>
          <w:rFonts w:ascii="Arial" w:hAnsi="Arial" w:cs="Arial"/>
          <w:sz w:val="22"/>
          <w:lang w:val="en-GB"/>
        </w:rPr>
        <w:t xml:space="preserve"> </w:t>
      </w:r>
      <w:r w:rsidRPr="0053119A">
        <w:rPr>
          <w:rFonts w:ascii="Arial" w:hAnsi="Arial" w:cs="Arial"/>
          <w:b/>
          <w:sz w:val="22"/>
          <w:lang w:val="en-GB"/>
        </w:rPr>
        <w:t>(h)</w:t>
      </w:r>
      <w:r w:rsidR="00890F90">
        <w:rPr>
          <w:rFonts w:ascii="Arial" w:hAnsi="Arial" w:cs="Arial"/>
          <w:sz w:val="22"/>
          <w:lang w:val="en-GB"/>
        </w:rPr>
        <w:t xml:space="preserve"> </w:t>
      </w:r>
      <w:r w:rsidRPr="0053119A">
        <w:rPr>
          <w:rFonts w:ascii="Arial" w:hAnsi="Arial" w:cs="Arial"/>
          <w:sz w:val="22"/>
          <w:lang w:val="en-GB"/>
        </w:rPr>
        <w:t xml:space="preserve">the heatmap with mean relative abundance values (drawn using </w:t>
      </w:r>
      <w:proofErr w:type="spellStart"/>
      <w:r w:rsidRPr="0053119A">
        <w:rPr>
          <w:rFonts w:ascii="Arial" w:hAnsi="Arial" w:cs="Arial"/>
          <w:sz w:val="22"/>
          <w:lang w:val="en-GB"/>
        </w:rPr>
        <w:t>EvolView</w:t>
      </w:r>
      <w:proofErr w:type="spellEnd"/>
      <w:r w:rsidRPr="0053119A">
        <w:rPr>
          <w:rFonts w:ascii="Arial" w:hAnsi="Arial" w:cs="Arial"/>
          <w:sz w:val="22"/>
          <w:lang w:val="en-GB"/>
        </w:rPr>
        <w:t xml:space="preserve"> </w:t>
      </w:r>
      <w:hyperlink r:id="rId7" w:history="1">
        <w:r w:rsidRPr="0053119A">
          <w:rPr>
            <w:rStyle w:val="Hyperlink"/>
            <w:rFonts w:ascii="Arial" w:hAnsi="Arial" w:cs="Arial"/>
            <w:sz w:val="22"/>
            <w:lang w:val="en-GB"/>
          </w:rPr>
          <w:t>http://www.evolgenius.info/evolview/</w:t>
        </w:r>
      </w:hyperlink>
      <w:r w:rsidRPr="0053119A">
        <w:rPr>
          <w:rFonts w:ascii="Arial" w:hAnsi="Arial" w:cs="Arial"/>
          <w:sz w:val="22"/>
          <w:lang w:val="en-GB"/>
        </w:rPr>
        <w:t xml:space="preserve">); and </w:t>
      </w:r>
      <w:r w:rsidRPr="0053119A">
        <w:rPr>
          <w:rFonts w:ascii="Arial" w:hAnsi="Arial" w:cs="Arial"/>
          <w:b/>
          <w:sz w:val="22"/>
          <w:lang w:val="en-GB"/>
        </w:rPr>
        <w:t>(</w:t>
      </w:r>
      <w:proofErr w:type="spellStart"/>
      <w:r w:rsidR="00890F90">
        <w:rPr>
          <w:rFonts w:ascii="Arial" w:hAnsi="Arial" w:cs="Arial"/>
          <w:b/>
          <w:sz w:val="22"/>
          <w:lang w:val="en-GB"/>
        </w:rPr>
        <w:t>i</w:t>
      </w:r>
      <w:proofErr w:type="spellEnd"/>
      <w:r w:rsidRPr="0053119A">
        <w:rPr>
          <w:rFonts w:ascii="Arial" w:hAnsi="Arial" w:cs="Arial"/>
          <w:b/>
          <w:sz w:val="22"/>
          <w:lang w:val="en-GB"/>
        </w:rPr>
        <w:t>)</w:t>
      </w:r>
      <w:r w:rsidRPr="0053119A">
        <w:rPr>
          <w:rFonts w:ascii="Arial" w:hAnsi="Arial" w:cs="Arial"/>
          <w:sz w:val="22"/>
          <w:lang w:val="en-GB"/>
        </w:rPr>
        <w:t xml:space="preserve"> the taxonomic classification of discriminant OTUs coloured by unique phyla to which they belong </w:t>
      </w:r>
    </w:p>
    <w:p w14:paraId="4982B10F" w14:textId="4B01E1AB" w:rsidR="002408E5" w:rsidRDefault="002408E5" w:rsidP="002408E5">
      <w:pPr>
        <w:jc w:val="both"/>
        <w:rPr>
          <w:rFonts w:ascii="Times" w:hAnsi="Times"/>
        </w:rPr>
      </w:pPr>
    </w:p>
    <w:p w14:paraId="223B40B4" w14:textId="562DFC3A" w:rsidR="003D741F" w:rsidRDefault="003D741F" w:rsidP="002408E5">
      <w:pPr>
        <w:jc w:val="both"/>
        <w:rPr>
          <w:rFonts w:ascii="Times" w:hAnsi="Times"/>
        </w:rPr>
      </w:pPr>
    </w:p>
    <w:p w14:paraId="3D3217CF" w14:textId="77777777" w:rsidR="003D741F" w:rsidRDefault="003D741F" w:rsidP="002408E5">
      <w:pPr>
        <w:jc w:val="both"/>
        <w:rPr>
          <w:rFonts w:ascii="Times" w:hAnsi="Times"/>
        </w:rPr>
      </w:pPr>
    </w:p>
    <w:p w14:paraId="736A47B3" w14:textId="2D368581" w:rsidR="004921BA" w:rsidRDefault="003D741F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49C123EB" wp14:editId="5EBE70FF">
            <wp:extent cx="5943600" cy="247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XAplot_RS-XS_RM-XS_RL-XS_RN-XS_RS-S_RM-S_RL-S_RN-S_RS-M_RM-M_RL-M_R_Otus_Hypothesis18_ALLorderedbysize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7896" w14:textId="369ADA59" w:rsidR="003D741F" w:rsidRDefault="003D741F">
      <w:pPr>
        <w:rPr>
          <w:rFonts w:ascii="Times" w:hAnsi="Times"/>
        </w:rPr>
      </w:pPr>
    </w:p>
    <w:p w14:paraId="6DB76996" w14:textId="6E004E84" w:rsidR="003D741F" w:rsidRPr="0053119A" w:rsidRDefault="003D741F">
      <w:pPr>
        <w:rPr>
          <w:rFonts w:ascii="Arial" w:hAnsi="Arial" w:cs="Arial"/>
        </w:rPr>
      </w:pPr>
      <w:r w:rsidRPr="0053119A">
        <w:rPr>
          <w:rFonts w:ascii="Arial" w:hAnsi="Arial" w:cs="Arial"/>
          <w:b/>
          <w:sz w:val="22"/>
        </w:rPr>
        <w:t>Figure S</w:t>
      </w:r>
      <w:r w:rsidR="0053119A">
        <w:rPr>
          <w:rFonts w:ascii="Arial" w:hAnsi="Arial" w:cs="Arial"/>
          <w:b/>
          <w:sz w:val="22"/>
        </w:rPr>
        <w:t>4</w:t>
      </w:r>
      <w:r w:rsidRPr="0053119A">
        <w:rPr>
          <w:rFonts w:ascii="Arial" w:hAnsi="Arial" w:cs="Arial"/>
          <w:b/>
          <w:sz w:val="22"/>
        </w:rPr>
        <w:t>.</w:t>
      </w:r>
      <w:r w:rsidRPr="0053119A">
        <w:rPr>
          <w:rFonts w:ascii="Arial" w:hAnsi="Arial" w:cs="Arial"/>
          <w:sz w:val="22"/>
        </w:rPr>
        <w:t xml:space="preserve"> </w:t>
      </w:r>
      <w:r w:rsidRPr="0053119A">
        <w:rPr>
          <w:rFonts w:ascii="Arial" w:hAnsi="Arial" w:cs="Arial"/>
          <w:sz w:val="22"/>
          <w:szCs w:val="22"/>
        </w:rPr>
        <w:t>Top 25 most abundant taxa from the emerging sizes, ordered by size and based up on variances in the 16S rRNA gene</w:t>
      </w:r>
    </w:p>
    <w:sectPr w:rsidR="003D741F" w:rsidRPr="0053119A" w:rsidSect="007214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8E5"/>
    <w:rsid w:val="000356F2"/>
    <w:rsid w:val="000F2B09"/>
    <w:rsid w:val="002408E5"/>
    <w:rsid w:val="003D741F"/>
    <w:rsid w:val="004921BA"/>
    <w:rsid w:val="0053119A"/>
    <w:rsid w:val="007214EE"/>
    <w:rsid w:val="00890F90"/>
    <w:rsid w:val="00AF6789"/>
    <w:rsid w:val="00F8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942802"/>
  <w14:defaultImageDpi w14:val="32767"/>
  <w15:chartTrackingRefBased/>
  <w15:docId w15:val="{DAEADA28-40DF-1E40-B639-EFDC3FF30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40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08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hyperlink" Target="http://www.evolgenius.info/evolview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Trego</dc:creator>
  <cp:keywords/>
  <dc:description/>
  <cp:lastModifiedBy>Anna Trego</cp:lastModifiedBy>
  <cp:revision>5</cp:revision>
  <dcterms:created xsi:type="dcterms:W3CDTF">2019-11-20T10:20:00Z</dcterms:created>
  <dcterms:modified xsi:type="dcterms:W3CDTF">2020-03-16T14:41:00Z</dcterms:modified>
</cp:coreProperties>
</file>