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2A45B" w14:textId="622CB35C" w:rsidR="00177812" w:rsidRDefault="00172A31" w:rsidP="00177812">
      <w:pPr>
        <w:pStyle w:val="SupplementaryMaterial"/>
      </w:pPr>
      <w:r w:rsidRPr="001549D3">
        <w:t>Supplementary Material</w:t>
      </w:r>
      <w:r>
        <w:rPr>
          <w:noProof/>
        </w:rPr>
        <w:t xml:space="preserve"> </w:t>
      </w:r>
    </w:p>
    <w:p w14:paraId="48C2226D" w14:textId="4ADF2E74" w:rsidR="00177812" w:rsidRDefault="00172A31" w:rsidP="00172A31">
      <w:pPr>
        <w:tabs>
          <w:tab w:val="left" w:pos="8711"/>
        </w:tabs>
      </w:pPr>
      <w:r>
        <w:rPr>
          <w:noProof/>
        </w:rPr>
        <w:drawing>
          <wp:inline distT="0" distB="0" distL="0" distR="0" wp14:anchorId="189C4A1E" wp14:editId="782DE089">
            <wp:extent cx="2023697" cy="6153150"/>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7435" cy="6194921"/>
                    </a:xfrm>
                    <a:prstGeom prst="rect">
                      <a:avLst/>
                    </a:prstGeom>
                  </pic:spPr>
                </pic:pic>
              </a:graphicData>
            </a:graphic>
          </wp:inline>
        </w:drawing>
      </w:r>
      <w:r>
        <w:tab/>
      </w:r>
    </w:p>
    <w:p w14:paraId="5AAF8158" w14:textId="06E64484" w:rsidR="00177812" w:rsidRPr="00B35DB9" w:rsidRDefault="006203B5" w:rsidP="00162EAB">
      <w:pPr>
        <w:jc w:val="both"/>
      </w:pPr>
      <w:r w:rsidRPr="00B35DB9">
        <w:rPr>
          <w:b/>
          <w:bCs/>
        </w:rPr>
        <w:t>Supplementary Figure 1</w:t>
      </w:r>
      <w:r w:rsidRPr="00B35DB9">
        <w:t xml:space="preserve">. </w:t>
      </w:r>
      <w:r w:rsidR="00592324" w:rsidRPr="00B35DB9">
        <w:rPr>
          <w:b/>
        </w:rPr>
        <w:t xml:space="preserve">Treatment of C2C12 myoblasts with </w:t>
      </w:r>
      <w:r w:rsidRPr="00B35DB9">
        <w:rPr>
          <w:b/>
          <w:bCs/>
        </w:rPr>
        <w:t xml:space="preserve">50µM EPA, DPA </w:t>
      </w:r>
      <w:r w:rsidR="00592324" w:rsidRPr="00B35DB9">
        <w:rPr>
          <w:b/>
          <w:bCs/>
        </w:rPr>
        <w:t xml:space="preserve">or </w:t>
      </w:r>
      <w:r w:rsidRPr="00B35DB9">
        <w:rPr>
          <w:b/>
          <w:bCs/>
        </w:rPr>
        <w:t>DHA increase</w:t>
      </w:r>
      <w:r w:rsidR="00592324" w:rsidRPr="00B35DB9">
        <w:rPr>
          <w:b/>
          <w:bCs/>
        </w:rPr>
        <w:t>s</w:t>
      </w:r>
      <w:r w:rsidRPr="00B35DB9">
        <w:rPr>
          <w:b/>
          <w:bCs/>
        </w:rPr>
        <w:t xml:space="preserve"> the intracellular concentrations of</w:t>
      </w:r>
      <w:r w:rsidR="00A1026B" w:rsidRPr="00B35DB9">
        <w:rPr>
          <w:b/>
          <w:bCs/>
        </w:rPr>
        <w:t xml:space="preserve"> each respective n-3 PUFA</w:t>
      </w:r>
      <w:r w:rsidR="00172A31" w:rsidRPr="00B35DB9">
        <w:rPr>
          <w:b/>
          <w:bCs/>
        </w:rPr>
        <w:t xml:space="preserve">. </w:t>
      </w:r>
      <w:r w:rsidR="00592324" w:rsidRPr="00B35DB9">
        <w:t>Cellular</w:t>
      </w:r>
      <w:r w:rsidR="00FA7C42" w:rsidRPr="00B35DB9">
        <w:t xml:space="preserve"> concentrations of EPA, DPA and DHA following 16h </w:t>
      </w:r>
      <w:r w:rsidR="00592324" w:rsidRPr="00B35DB9">
        <w:t>treatment with</w:t>
      </w:r>
      <w:r w:rsidR="00FA7C42" w:rsidRPr="00B35DB9">
        <w:t xml:space="preserve"> </w:t>
      </w:r>
      <w:r w:rsidR="00592324" w:rsidRPr="00B35DB9">
        <w:t xml:space="preserve">either </w:t>
      </w:r>
      <w:r w:rsidR="00EF7964" w:rsidRPr="00B35DB9">
        <w:t xml:space="preserve">ethanol vehicle control (CON), </w:t>
      </w:r>
      <w:r w:rsidR="00FA7C42" w:rsidRPr="00B35DB9">
        <w:t xml:space="preserve">50 µM EPA </w:t>
      </w:r>
      <w:r w:rsidR="00177812" w:rsidRPr="00B35DB9">
        <w:t>(A)</w:t>
      </w:r>
      <w:r w:rsidR="00592324" w:rsidRPr="00B35DB9">
        <w:t xml:space="preserve">, </w:t>
      </w:r>
      <w:r w:rsidR="00FA7C42" w:rsidRPr="00B35DB9">
        <w:t xml:space="preserve">50 µM DPA </w:t>
      </w:r>
      <w:r w:rsidR="00177812" w:rsidRPr="00B35DB9">
        <w:t>(B)</w:t>
      </w:r>
      <w:r w:rsidR="00592324" w:rsidRPr="00B35DB9">
        <w:t xml:space="preserve"> or</w:t>
      </w:r>
      <w:r w:rsidR="00FA7C42" w:rsidRPr="00B35DB9">
        <w:t xml:space="preserve"> 50 µM DHA </w:t>
      </w:r>
      <w:r w:rsidR="00177812" w:rsidRPr="00B35DB9">
        <w:t>(C)</w:t>
      </w:r>
      <w:r w:rsidR="00FA7C42" w:rsidRPr="00B35DB9">
        <w:t>. Fatty acid analysis was carried out by fatty acid methyl esters (FAME) analysis and data are presented as absolute concentrations relative to cell number.</w:t>
      </w:r>
      <w:r w:rsidR="006E4FDC" w:rsidRPr="00B35DB9">
        <w:t xml:space="preserve"> </w:t>
      </w:r>
      <w:r w:rsidR="006924ED" w:rsidRPr="00B35DB9">
        <w:t>Treatments that do not share letters are considered statistically significant (p &lt;0.05).</w:t>
      </w:r>
      <w:r w:rsidR="00592324" w:rsidRPr="00B35DB9">
        <w:t xml:space="preserve"> </w:t>
      </w:r>
      <w:r w:rsidR="00177812" w:rsidRPr="00B35DB9">
        <w:t>Myoblasts were cultured to generate a total sample size of four technical replicates. Values are presented as mean ± SEM.</w:t>
      </w:r>
    </w:p>
    <w:p w14:paraId="621894E3" w14:textId="77777777" w:rsidR="00177812" w:rsidRDefault="00177812" w:rsidP="00177812"/>
    <w:p w14:paraId="6414B748" w14:textId="77777777" w:rsidR="00177812" w:rsidRPr="00177812" w:rsidRDefault="00177812" w:rsidP="00177812"/>
    <w:p w14:paraId="09C837CD" w14:textId="77777777" w:rsidR="006D4042" w:rsidRDefault="006D4042" w:rsidP="006D4042">
      <w:pPr>
        <w:jc w:val="both"/>
        <w:rPr>
          <w:b/>
          <w:bCs/>
        </w:rPr>
      </w:pPr>
    </w:p>
    <w:p w14:paraId="61116380" w14:textId="0543AF54" w:rsidR="006D4042" w:rsidRDefault="002B1774" w:rsidP="006D4042">
      <w:pPr>
        <w:jc w:val="both"/>
        <w:rPr>
          <w:b/>
          <w:bCs/>
        </w:rPr>
      </w:pPr>
      <w:r>
        <w:rPr>
          <w:b/>
          <w:bCs/>
          <w:noProof/>
          <w:lang w:val="en-AU" w:eastAsia="en-AU"/>
        </w:rPr>
        <w:drawing>
          <wp:inline distT="0" distB="0" distL="0" distR="0" wp14:anchorId="0E41D093" wp14:editId="496EE352">
            <wp:extent cx="6208395" cy="3079750"/>
            <wp:effectExtent l="0" t="0" r="1905"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 Figure 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3079750"/>
                    </a:xfrm>
                    <a:prstGeom prst="rect">
                      <a:avLst/>
                    </a:prstGeom>
                  </pic:spPr>
                </pic:pic>
              </a:graphicData>
            </a:graphic>
          </wp:inline>
        </w:drawing>
      </w:r>
    </w:p>
    <w:p w14:paraId="73230FE5" w14:textId="77777777" w:rsidR="006D4042" w:rsidRPr="00D64FA6" w:rsidRDefault="006D4042" w:rsidP="006D4042">
      <w:pPr>
        <w:jc w:val="both"/>
      </w:pPr>
      <w:r w:rsidRPr="00D64FA6">
        <w:rPr>
          <w:b/>
          <w:bCs/>
        </w:rPr>
        <w:t>Supplement</w:t>
      </w:r>
      <w:r>
        <w:rPr>
          <w:b/>
          <w:bCs/>
        </w:rPr>
        <w:t>ary</w:t>
      </w:r>
      <w:r w:rsidRPr="00D64FA6">
        <w:rPr>
          <w:b/>
          <w:bCs/>
        </w:rPr>
        <w:t xml:space="preserve"> </w:t>
      </w:r>
      <w:r w:rsidRPr="00B35DB9">
        <w:rPr>
          <w:b/>
          <w:bCs/>
        </w:rPr>
        <w:t xml:space="preserve">Figure </w:t>
      </w:r>
      <w:r w:rsidR="00177812" w:rsidRPr="00B35DB9">
        <w:rPr>
          <w:b/>
          <w:bCs/>
        </w:rPr>
        <w:t>2</w:t>
      </w:r>
      <w:r w:rsidRPr="00B35DB9">
        <w:t xml:space="preserve">. </w:t>
      </w:r>
      <w:r w:rsidRPr="00B35DB9">
        <w:rPr>
          <w:b/>
          <w:bCs/>
        </w:rPr>
        <w:t xml:space="preserve">Total </w:t>
      </w:r>
      <w:r w:rsidRPr="00D64FA6">
        <w:rPr>
          <w:b/>
          <w:bCs/>
        </w:rPr>
        <w:t xml:space="preserve">protein content and phosphorylation status of eIF2α is unchanged following PAL and/or n-3 PUFA treatment. </w:t>
      </w:r>
      <w:r w:rsidRPr="00D64FA6">
        <w:t xml:space="preserve">Representative images of total and phosphorylated eIF2α following 16h treatment with 500 </w:t>
      </w:r>
      <w:proofErr w:type="spellStart"/>
      <w:r w:rsidRPr="00D64FA6">
        <w:t>μM</w:t>
      </w:r>
      <w:proofErr w:type="spellEnd"/>
      <w:r w:rsidRPr="00D64FA6">
        <w:t xml:space="preserve"> PAL and/or 50 </w:t>
      </w:r>
      <w:proofErr w:type="spellStart"/>
      <w:r w:rsidRPr="00D64FA6">
        <w:t>μM</w:t>
      </w:r>
      <w:proofErr w:type="spellEnd"/>
      <w:r w:rsidRPr="00D64FA6">
        <w:t xml:space="preserve"> EPA, DPA or DHA, with a representative image of a stain free blot used for </w:t>
      </w:r>
      <w:r w:rsidR="00934BD6" w:rsidRPr="00D64FA6">
        <w:t>normali</w:t>
      </w:r>
      <w:r w:rsidR="00934BD6">
        <w:t>z</w:t>
      </w:r>
      <w:r w:rsidR="00934BD6" w:rsidRPr="00D64FA6">
        <w:t xml:space="preserve">ation </w:t>
      </w:r>
      <w:r w:rsidRPr="00D64FA6">
        <w:t xml:space="preserve">(A). Quantified phosphorylation of eIF2α (Ser51) (B) and total protein content of eIF2α (C). Levels of phosphorylation expressed relative to total protein content of eIF2α (D). All </w:t>
      </w:r>
      <w:r w:rsidR="00934BD6">
        <w:t xml:space="preserve">densitometry </w:t>
      </w:r>
      <w:r w:rsidRPr="00D64FA6">
        <w:t xml:space="preserve">values are expressed relative to protein content determined by stain free imaging and presented in arbitrary units relative to CON. Myoblasts were cultured and harvested independently to generate a total sample size of </w:t>
      </w:r>
      <w:r w:rsidR="003F562D">
        <w:t>six</w:t>
      </w:r>
      <w:r w:rsidRPr="00D64FA6">
        <w:t xml:space="preserve"> biological replicates. Values are presented as mean ± SEM.</w:t>
      </w:r>
    </w:p>
    <w:p w14:paraId="2325C1B3" w14:textId="4D849F46" w:rsidR="00DE23E8" w:rsidRDefault="00DE23E8" w:rsidP="00654E8F">
      <w:pPr>
        <w:spacing w:before="240"/>
      </w:pPr>
    </w:p>
    <w:p w14:paraId="73DF1ADE" w14:textId="511699B4" w:rsidR="00F410C1" w:rsidRDefault="00F410C1" w:rsidP="00654E8F">
      <w:pPr>
        <w:spacing w:before="240"/>
      </w:pPr>
    </w:p>
    <w:p w14:paraId="6B136D53" w14:textId="6355E84F" w:rsidR="00F410C1" w:rsidRDefault="00F410C1" w:rsidP="00654E8F">
      <w:pPr>
        <w:spacing w:before="240"/>
      </w:pPr>
    </w:p>
    <w:p w14:paraId="73FBE9E3" w14:textId="26576F55" w:rsidR="00F410C1" w:rsidRDefault="00F410C1" w:rsidP="00654E8F">
      <w:pPr>
        <w:spacing w:before="240"/>
        <w:rPr>
          <w:b/>
          <w:bCs/>
          <w:color w:val="FF0000"/>
        </w:rPr>
      </w:pPr>
      <w:r>
        <w:rPr>
          <w:rFonts w:eastAsia="Times New Roman" w:cstheme="minorHAnsi"/>
          <w:b/>
          <w:bCs/>
          <w:noProof/>
          <w:color w:val="000000" w:themeColor="text1"/>
          <w:sz w:val="20"/>
          <w:szCs w:val="20"/>
          <w:lang w:val="en-AU" w:eastAsia="en-GB"/>
        </w:rPr>
        <w:lastRenderedPageBreak/>
        <w:drawing>
          <wp:inline distT="0" distB="0" distL="0" distR="0" wp14:anchorId="57A7C20B" wp14:editId="491E3155">
            <wp:extent cx="5418667" cy="4130083"/>
            <wp:effectExtent l="0" t="0" r="4445" b="0"/>
            <wp:docPr id="3" name="Picture 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 for study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4192" cy="4149538"/>
                    </a:xfrm>
                    <a:prstGeom prst="rect">
                      <a:avLst/>
                    </a:prstGeom>
                  </pic:spPr>
                </pic:pic>
              </a:graphicData>
            </a:graphic>
          </wp:inline>
        </w:drawing>
      </w:r>
    </w:p>
    <w:p w14:paraId="71BE12E9" w14:textId="2D326E4D" w:rsidR="00F410C1" w:rsidRPr="00B35DB9" w:rsidRDefault="00F410C1" w:rsidP="00F410C1">
      <w:pPr>
        <w:spacing w:before="240"/>
        <w:jc w:val="both"/>
        <w:rPr>
          <w:szCs w:val="24"/>
        </w:rPr>
      </w:pPr>
      <w:r w:rsidRPr="00B35DB9">
        <w:rPr>
          <w:b/>
          <w:bCs/>
          <w:szCs w:val="24"/>
        </w:rPr>
        <w:t>Supplementary Figure 3</w:t>
      </w:r>
      <w:r w:rsidRPr="00B35DB9">
        <w:rPr>
          <w:szCs w:val="24"/>
        </w:rPr>
        <w:t>.</w:t>
      </w:r>
      <w:r w:rsidRPr="00B35DB9">
        <w:rPr>
          <w:rFonts w:cs="Times New Roman"/>
          <w:szCs w:val="24"/>
          <w:lang w:val="en-AU"/>
        </w:rPr>
        <w:t xml:space="preserve"> Schematic diagram of the major novel findings</w:t>
      </w:r>
      <w:r w:rsidR="009E6DF8" w:rsidRPr="00B35DB9">
        <w:rPr>
          <w:rFonts w:cs="Times New Roman"/>
          <w:szCs w:val="24"/>
          <w:lang w:val="en-AU"/>
        </w:rPr>
        <w:t xml:space="preserve"> and potential underlying mechanisms in this study</w:t>
      </w:r>
      <w:r w:rsidRPr="00B35DB9">
        <w:rPr>
          <w:rFonts w:cs="Times New Roman"/>
          <w:szCs w:val="24"/>
          <w:lang w:val="en-AU"/>
        </w:rPr>
        <w:t xml:space="preserve">. PAL reduces cell viability at 16 h and impairs myotube formation. All n-3 PUFAs (EPA, DPA and DHA) rescue myoblasts from the lipotoxic effects of PAL and allow myotube formation to occur. The maintenance of mitochondrial integrity is one possible mechanism, as depicted above for DPA, </w:t>
      </w:r>
      <w:r w:rsidR="009E6DF8" w:rsidRPr="00B35DB9">
        <w:rPr>
          <w:rFonts w:cs="Times New Roman"/>
          <w:szCs w:val="24"/>
          <w:lang w:val="en-AU"/>
        </w:rPr>
        <w:t xml:space="preserve">which may </w:t>
      </w:r>
      <w:r w:rsidRPr="00B35DB9">
        <w:rPr>
          <w:rFonts w:cs="Times New Roman"/>
          <w:szCs w:val="24"/>
          <w:lang w:val="en-AU"/>
        </w:rPr>
        <w:t>explain the protective effects of n-3 PUFAs against lipotoxic effects of PAL.</w:t>
      </w:r>
    </w:p>
    <w:sectPr w:rsidR="00F410C1" w:rsidRPr="00B35DB9"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41ACA" w14:textId="77777777" w:rsidR="002E0B36" w:rsidRDefault="002E0B36" w:rsidP="00117666">
      <w:pPr>
        <w:spacing w:after="0"/>
      </w:pPr>
      <w:r>
        <w:separator/>
      </w:r>
    </w:p>
  </w:endnote>
  <w:endnote w:type="continuationSeparator" w:id="0">
    <w:p w14:paraId="26A05803" w14:textId="77777777" w:rsidR="002E0B36" w:rsidRDefault="002E0B3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B4FB0" w14:textId="77777777" w:rsidR="00995F6A" w:rsidRPr="00577C4C" w:rsidRDefault="006B6B37">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14963AF5" wp14:editId="626072F6">
              <wp:simplePos x="0" y="0"/>
              <wp:positionH relativeFrom="margin">
                <wp:align>right</wp:align>
              </wp:positionH>
              <wp:positionV relativeFrom="bottomMargin">
                <wp:align>top</wp:align>
              </wp:positionV>
              <wp:extent cx="1508760" cy="3956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37F855C2" w14:textId="77777777" w:rsidR="00995F6A" w:rsidRPr="00577C4C" w:rsidRDefault="00710CA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E4FDC">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4963AF5"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" filled="f" stroked="f" strokeweight=".5pt">
              <v:textbox style="mso-fit-shape-to-text:t">
                <w:txbxContent>
                  <w:p w14:paraId="37F855C2" w14:textId="77777777" w:rsidR="00995F6A" w:rsidRPr="00577C4C" w:rsidRDefault="00710CA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E4FDC">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1C690" w14:textId="77777777" w:rsidR="00995F6A" w:rsidRPr="00577C4C" w:rsidRDefault="006B6B37">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9273CC8" wp14:editId="61539055">
              <wp:simplePos x="0" y="0"/>
              <wp:positionH relativeFrom="margin">
                <wp:align>right</wp:align>
              </wp:positionH>
              <wp:positionV relativeFrom="bottomMargin">
                <wp:align>top</wp:align>
              </wp:positionV>
              <wp:extent cx="1508760" cy="39560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65FD8F42" w14:textId="77777777" w:rsidR="00995F6A" w:rsidRPr="00577C4C" w:rsidRDefault="00710CA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E4FD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273CC8"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It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" filled="f" stroked="f" strokeweight=".5pt">
              <v:textbox style="mso-fit-shape-to-text:t">
                <w:txbxContent>
                  <w:p w14:paraId="65FD8F42" w14:textId="77777777" w:rsidR="00995F6A" w:rsidRPr="00577C4C" w:rsidRDefault="00710CA4">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6E4FD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819D3" w14:textId="77777777" w:rsidR="002E0B36" w:rsidRDefault="002E0B36" w:rsidP="00117666">
      <w:pPr>
        <w:spacing w:after="0"/>
      </w:pPr>
      <w:r>
        <w:separator/>
      </w:r>
    </w:p>
  </w:footnote>
  <w:footnote w:type="continuationSeparator" w:id="0">
    <w:p w14:paraId="5C987960" w14:textId="77777777" w:rsidR="002E0B36" w:rsidRDefault="002E0B3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4C59"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3905" w14:textId="77777777" w:rsidR="00995F6A" w:rsidRDefault="0093429D" w:rsidP="0093429D">
    <w:r w:rsidRPr="005A1D84">
      <w:rPr>
        <w:b/>
        <w:noProof/>
        <w:color w:val="A6A6A6" w:themeColor="background1" w:themeShade="A6"/>
        <w:lang w:val="en-AU" w:eastAsia="en-AU"/>
      </w:rPr>
      <w:drawing>
        <wp:inline distT="0" distB="0" distL="0" distR="0" wp14:anchorId="5DD4F840" wp14:editId="4E449441">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590C"/>
    <w:rsid w:val="0001436A"/>
    <w:rsid w:val="00034304"/>
    <w:rsid w:val="00035434"/>
    <w:rsid w:val="00052A14"/>
    <w:rsid w:val="00067CD2"/>
    <w:rsid w:val="000775BD"/>
    <w:rsid w:val="00077D53"/>
    <w:rsid w:val="0008510E"/>
    <w:rsid w:val="000D0437"/>
    <w:rsid w:val="00105FD9"/>
    <w:rsid w:val="00117666"/>
    <w:rsid w:val="001549D3"/>
    <w:rsid w:val="00160065"/>
    <w:rsid w:val="00162EAB"/>
    <w:rsid w:val="00172A31"/>
    <w:rsid w:val="00177812"/>
    <w:rsid w:val="00177D84"/>
    <w:rsid w:val="001E5CAB"/>
    <w:rsid w:val="00267D18"/>
    <w:rsid w:val="00274347"/>
    <w:rsid w:val="002868E2"/>
    <w:rsid w:val="002869C3"/>
    <w:rsid w:val="002936E4"/>
    <w:rsid w:val="002B1774"/>
    <w:rsid w:val="002B4A57"/>
    <w:rsid w:val="002C74CA"/>
    <w:rsid w:val="002E0B36"/>
    <w:rsid w:val="002E1B42"/>
    <w:rsid w:val="003123F4"/>
    <w:rsid w:val="00336479"/>
    <w:rsid w:val="003544FB"/>
    <w:rsid w:val="003D2F2D"/>
    <w:rsid w:val="003F562D"/>
    <w:rsid w:val="00401590"/>
    <w:rsid w:val="00447801"/>
    <w:rsid w:val="00452E9C"/>
    <w:rsid w:val="004713D8"/>
    <w:rsid w:val="004735C8"/>
    <w:rsid w:val="004947A6"/>
    <w:rsid w:val="004961FF"/>
    <w:rsid w:val="004B222D"/>
    <w:rsid w:val="004F0DCC"/>
    <w:rsid w:val="00517A89"/>
    <w:rsid w:val="00524C78"/>
    <w:rsid w:val="005250F2"/>
    <w:rsid w:val="00592324"/>
    <w:rsid w:val="00593EEA"/>
    <w:rsid w:val="005A5EEE"/>
    <w:rsid w:val="005F1A25"/>
    <w:rsid w:val="0060325A"/>
    <w:rsid w:val="006203B5"/>
    <w:rsid w:val="006375C7"/>
    <w:rsid w:val="006525BB"/>
    <w:rsid w:val="00654E8F"/>
    <w:rsid w:val="00655599"/>
    <w:rsid w:val="00660D05"/>
    <w:rsid w:val="006820B1"/>
    <w:rsid w:val="006924ED"/>
    <w:rsid w:val="006B6B37"/>
    <w:rsid w:val="006B7D14"/>
    <w:rsid w:val="006D4042"/>
    <w:rsid w:val="006D6E72"/>
    <w:rsid w:val="006E4FDC"/>
    <w:rsid w:val="00701727"/>
    <w:rsid w:val="0070566C"/>
    <w:rsid w:val="00710CA4"/>
    <w:rsid w:val="00714C50"/>
    <w:rsid w:val="007156EB"/>
    <w:rsid w:val="00725A7D"/>
    <w:rsid w:val="007501BE"/>
    <w:rsid w:val="00790BB3"/>
    <w:rsid w:val="007C206C"/>
    <w:rsid w:val="007D5A08"/>
    <w:rsid w:val="00817DD6"/>
    <w:rsid w:val="00824984"/>
    <w:rsid w:val="0083759F"/>
    <w:rsid w:val="00885156"/>
    <w:rsid w:val="008A199D"/>
    <w:rsid w:val="008B70CF"/>
    <w:rsid w:val="009151AA"/>
    <w:rsid w:val="0093429D"/>
    <w:rsid w:val="00934BD6"/>
    <w:rsid w:val="00943573"/>
    <w:rsid w:val="009570D2"/>
    <w:rsid w:val="00964134"/>
    <w:rsid w:val="00970F7D"/>
    <w:rsid w:val="00994A3D"/>
    <w:rsid w:val="009C2B12"/>
    <w:rsid w:val="009E6DF8"/>
    <w:rsid w:val="00A1026B"/>
    <w:rsid w:val="00A174D9"/>
    <w:rsid w:val="00A22FBB"/>
    <w:rsid w:val="00A839CC"/>
    <w:rsid w:val="00AA4D24"/>
    <w:rsid w:val="00AB6715"/>
    <w:rsid w:val="00AF31CB"/>
    <w:rsid w:val="00B0265D"/>
    <w:rsid w:val="00B1671E"/>
    <w:rsid w:val="00B25EB8"/>
    <w:rsid w:val="00B35DB9"/>
    <w:rsid w:val="00B37F4D"/>
    <w:rsid w:val="00C52A7B"/>
    <w:rsid w:val="00C56BAF"/>
    <w:rsid w:val="00C679AA"/>
    <w:rsid w:val="00C75972"/>
    <w:rsid w:val="00CC0DA9"/>
    <w:rsid w:val="00CD066B"/>
    <w:rsid w:val="00CE4FEE"/>
    <w:rsid w:val="00D060CF"/>
    <w:rsid w:val="00D56973"/>
    <w:rsid w:val="00DB59C3"/>
    <w:rsid w:val="00DC259A"/>
    <w:rsid w:val="00DE23E8"/>
    <w:rsid w:val="00E52377"/>
    <w:rsid w:val="00E537AD"/>
    <w:rsid w:val="00E57947"/>
    <w:rsid w:val="00E64E17"/>
    <w:rsid w:val="00E866C9"/>
    <w:rsid w:val="00EA3D3C"/>
    <w:rsid w:val="00EC090A"/>
    <w:rsid w:val="00ED20B5"/>
    <w:rsid w:val="00EF7964"/>
    <w:rsid w:val="00F410C1"/>
    <w:rsid w:val="00F46900"/>
    <w:rsid w:val="00F61D89"/>
    <w:rsid w:val="00FA506A"/>
    <w:rsid w:val="00FA7C42"/>
    <w:rsid w:val="00FB71F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D2AD5"/>
  <w15:docId w15:val="{B10909DE-4E08-EA4F-A800-6CAEACDC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17781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8A891A7-9FBA-4B46-91B0-3896E39A6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3</Pages>
  <Words>300</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Gonçalo Vargas</cp:lastModifiedBy>
  <cp:revision>3</cp:revision>
  <cp:lastPrinted>2013-10-03T12:51:00Z</cp:lastPrinted>
  <dcterms:created xsi:type="dcterms:W3CDTF">2020-04-29T02:04:00Z</dcterms:created>
  <dcterms:modified xsi:type="dcterms:W3CDTF">2020-05-07T15:56:00Z</dcterms:modified>
</cp:coreProperties>
</file>