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E538D" w14:textId="77777777" w:rsidR="00141B58" w:rsidRPr="00BD3E26" w:rsidRDefault="00141B58" w:rsidP="00BD3E26">
      <w:pPr>
        <w:spacing w:line="480" w:lineRule="auto"/>
        <w:jc w:val="center"/>
        <w:rPr>
          <w:rFonts w:ascii="Times New Roman" w:hAnsi="Times New Roman" w:cs="Times New Roman"/>
          <w:b/>
          <w:sz w:val="28"/>
          <w:szCs w:val="28"/>
        </w:rPr>
      </w:pPr>
      <w:r w:rsidRPr="00BD3E26">
        <w:rPr>
          <w:rFonts w:ascii="Times New Roman" w:hAnsi="Times New Roman" w:cs="Times New Roman"/>
          <w:b/>
          <w:sz w:val="28"/>
          <w:szCs w:val="28"/>
        </w:rPr>
        <w:t>Supplementary data</w:t>
      </w:r>
    </w:p>
    <w:p w14:paraId="3C37F495" w14:textId="77777777" w:rsidR="0017209F" w:rsidRPr="00BD3E26" w:rsidRDefault="0017209F" w:rsidP="00CC2E2E">
      <w:pPr>
        <w:spacing w:line="480" w:lineRule="auto"/>
        <w:rPr>
          <w:rFonts w:ascii="Times New Roman" w:hAnsi="Times New Roman" w:cs="Times New Roman"/>
          <w:b/>
          <w:sz w:val="24"/>
          <w:szCs w:val="24"/>
        </w:rPr>
      </w:pPr>
      <w:r w:rsidRPr="00BD3E26">
        <w:rPr>
          <w:rFonts w:ascii="Times New Roman" w:hAnsi="Times New Roman" w:cs="Times New Roman"/>
          <w:sz w:val="24"/>
          <w:szCs w:val="24"/>
        </w:rPr>
        <w:t>Three different models were used using IPTW-PS method. Model 1 only included age and gender, model 2 included major baseline factors (age, gender, weight, and MDS-UPDRS III) and model 3 included all considered baseline factors.  In addition, each regression model was also developed after adjusting for prognostic factors for H&amp;Y score ≥3.  In IPTW-PS method, we first developed propensity scores using logistic regression with baseline variables. After obtaining propensity score, weighted Cox regression model with robust variance estimate was used to evaluate the effect of cases on progression to postural instability compared to controls. Weight was allocated to each subject using inverse probability treatment approach.</w:t>
      </w:r>
    </w:p>
    <w:p w14:paraId="49AEBFFC" w14:textId="77777777" w:rsidR="009B53D7" w:rsidRPr="00BD3E26" w:rsidRDefault="009B53D7" w:rsidP="00CC2E2E">
      <w:pPr>
        <w:spacing w:line="480" w:lineRule="auto"/>
        <w:rPr>
          <w:rFonts w:ascii="Times New Roman" w:hAnsi="Times New Roman" w:cs="Times New Roman"/>
          <w:sz w:val="24"/>
          <w:szCs w:val="24"/>
        </w:rPr>
      </w:pPr>
      <w:r w:rsidRPr="00BD3E26">
        <w:rPr>
          <w:rFonts w:ascii="Times New Roman" w:hAnsi="Times New Roman" w:cs="Times New Roman"/>
          <w:b/>
          <w:sz w:val="24"/>
          <w:szCs w:val="24"/>
        </w:rPr>
        <w:t>Table 1:</w:t>
      </w:r>
      <w:r w:rsidRPr="00BD3E26">
        <w:rPr>
          <w:rFonts w:ascii="Times New Roman" w:hAnsi="Times New Roman" w:cs="Times New Roman"/>
          <w:sz w:val="24"/>
          <w:szCs w:val="24"/>
        </w:rPr>
        <w:t xml:space="preserve">  Effect of Cases on Progression to Postural Instability Compared to Controls- Propensity Score Validation analysis </w:t>
      </w:r>
    </w:p>
    <w:tbl>
      <w:tblPr>
        <w:tblW w:w="6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285"/>
        <w:gridCol w:w="960"/>
        <w:gridCol w:w="960"/>
        <w:gridCol w:w="960"/>
        <w:gridCol w:w="960"/>
      </w:tblGrid>
      <w:tr w:rsidR="009B53D7" w:rsidRPr="00BD3E26" w14:paraId="3AE5C444" w14:textId="77777777" w:rsidTr="00141B58">
        <w:trPr>
          <w:trHeight w:val="300"/>
        </w:trPr>
        <w:tc>
          <w:tcPr>
            <w:tcW w:w="1172" w:type="dxa"/>
            <w:shd w:val="clear" w:color="auto" w:fill="auto"/>
            <w:noWrap/>
            <w:vAlign w:val="bottom"/>
            <w:hideMark/>
          </w:tcPr>
          <w:p w14:paraId="500807CE" w14:textId="77777777" w:rsidR="009B53D7" w:rsidRPr="00BD3E26" w:rsidRDefault="009B53D7" w:rsidP="00CC2E2E">
            <w:pPr>
              <w:spacing w:after="0" w:line="480" w:lineRule="auto"/>
              <w:rPr>
                <w:rFonts w:ascii="Times New Roman" w:eastAsia="Times New Roman" w:hAnsi="Times New Roman" w:cs="Times New Roman"/>
                <w:sz w:val="24"/>
                <w:szCs w:val="24"/>
              </w:rPr>
            </w:pPr>
            <w:r w:rsidRPr="00BD3E26">
              <w:rPr>
                <w:rFonts w:ascii="Times New Roman" w:eastAsia="Times New Roman" w:hAnsi="Times New Roman" w:cs="Times New Roman"/>
                <w:sz w:val="24"/>
                <w:szCs w:val="24"/>
              </w:rPr>
              <w:t>Model</w:t>
            </w:r>
          </w:p>
        </w:tc>
        <w:tc>
          <w:tcPr>
            <w:tcW w:w="1196" w:type="dxa"/>
            <w:shd w:val="clear" w:color="auto" w:fill="auto"/>
            <w:noWrap/>
            <w:vAlign w:val="bottom"/>
            <w:hideMark/>
          </w:tcPr>
          <w:p w14:paraId="5F203AD5" w14:textId="77777777" w:rsidR="009B53D7" w:rsidRPr="00BD3E26" w:rsidRDefault="009B53D7" w:rsidP="00CC2E2E">
            <w:pPr>
              <w:spacing w:after="0" w:line="480" w:lineRule="auto"/>
              <w:rPr>
                <w:rFonts w:ascii="Times New Roman" w:eastAsia="Times New Roman" w:hAnsi="Times New Roman" w:cs="Times New Roman"/>
                <w:sz w:val="24"/>
                <w:szCs w:val="24"/>
              </w:rPr>
            </w:pPr>
            <w:r w:rsidRPr="00BD3E26">
              <w:rPr>
                <w:rFonts w:ascii="Times New Roman" w:eastAsia="Times New Roman" w:hAnsi="Times New Roman" w:cs="Times New Roman"/>
                <w:sz w:val="24"/>
                <w:szCs w:val="24"/>
              </w:rPr>
              <w:t>Group</w:t>
            </w:r>
          </w:p>
        </w:tc>
        <w:tc>
          <w:tcPr>
            <w:tcW w:w="960" w:type="dxa"/>
            <w:shd w:val="clear" w:color="auto" w:fill="auto"/>
            <w:noWrap/>
            <w:vAlign w:val="bottom"/>
            <w:hideMark/>
          </w:tcPr>
          <w:p w14:paraId="727DE4C7" w14:textId="77777777" w:rsidR="009B53D7" w:rsidRPr="00BD3E26" w:rsidRDefault="009B53D7" w:rsidP="00CC2E2E">
            <w:pPr>
              <w:spacing w:after="0" w:line="480" w:lineRule="auto"/>
              <w:rPr>
                <w:rFonts w:ascii="Times New Roman" w:eastAsia="Times New Roman" w:hAnsi="Times New Roman" w:cs="Times New Roman"/>
                <w:sz w:val="24"/>
                <w:szCs w:val="24"/>
              </w:rPr>
            </w:pPr>
            <w:r w:rsidRPr="00BD3E26">
              <w:rPr>
                <w:rFonts w:ascii="Times New Roman" w:eastAsia="Times New Roman" w:hAnsi="Times New Roman" w:cs="Times New Roman"/>
                <w:sz w:val="24"/>
                <w:szCs w:val="24"/>
              </w:rPr>
              <w:t>HR</w:t>
            </w:r>
          </w:p>
        </w:tc>
        <w:tc>
          <w:tcPr>
            <w:tcW w:w="1920" w:type="dxa"/>
            <w:gridSpan w:val="2"/>
            <w:shd w:val="clear" w:color="auto" w:fill="auto"/>
            <w:noWrap/>
            <w:vAlign w:val="bottom"/>
            <w:hideMark/>
          </w:tcPr>
          <w:p w14:paraId="62BE999B" w14:textId="77777777" w:rsidR="009B53D7" w:rsidRPr="00BD3E26" w:rsidRDefault="009B53D7" w:rsidP="00CC2E2E">
            <w:pPr>
              <w:spacing w:after="0" w:line="480" w:lineRule="auto"/>
              <w:rPr>
                <w:rFonts w:ascii="Times New Roman" w:eastAsia="Times New Roman" w:hAnsi="Times New Roman" w:cs="Times New Roman"/>
                <w:sz w:val="24"/>
                <w:szCs w:val="24"/>
              </w:rPr>
            </w:pPr>
            <w:r w:rsidRPr="00BD3E26">
              <w:rPr>
                <w:rFonts w:ascii="Times New Roman" w:eastAsia="Times New Roman" w:hAnsi="Times New Roman" w:cs="Times New Roman"/>
                <w:sz w:val="24"/>
                <w:szCs w:val="24"/>
              </w:rPr>
              <w:t>95%CI</w:t>
            </w:r>
          </w:p>
        </w:tc>
        <w:tc>
          <w:tcPr>
            <w:tcW w:w="960" w:type="dxa"/>
            <w:shd w:val="clear" w:color="auto" w:fill="auto"/>
            <w:noWrap/>
            <w:vAlign w:val="bottom"/>
            <w:hideMark/>
          </w:tcPr>
          <w:p w14:paraId="4517BE21" w14:textId="77777777" w:rsidR="009B53D7" w:rsidRPr="00BD3E26" w:rsidRDefault="009B53D7" w:rsidP="00CC2E2E">
            <w:pPr>
              <w:spacing w:after="0" w:line="480" w:lineRule="auto"/>
              <w:rPr>
                <w:rFonts w:ascii="Times New Roman" w:eastAsia="Times New Roman" w:hAnsi="Times New Roman" w:cs="Times New Roman"/>
                <w:sz w:val="24"/>
                <w:szCs w:val="24"/>
              </w:rPr>
            </w:pPr>
            <w:r w:rsidRPr="00BD3E26">
              <w:rPr>
                <w:rFonts w:ascii="Times New Roman" w:eastAsia="Times New Roman" w:hAnsi="Times New Roman" w:cs="Times New Roman"/>
                <w:sz w:val="24"/>
                <w:szCs w:val="24"/>
              </w:rPr>
              <w:t xml:space="preserve">p-value </w:t>
            </w:r>
          </w:p>
        </w:tc>
      </w:tr>
      <w:tr w:rsidR="009B53D7" w:rsidRPr="00BD3E26" w14:paraId="69C1F3EB" w14:textId="77777777" w:rsidTr="00141B58">
        <w:trPr>
          <w:trHeight w:val="300"/>
        </w:trPr>
        <w:tc>
          <w:tcPr>
            <w:tcW w:w="1172" w:type="dxa"/>
            <w:shd w:val="clear" w:color="auto" w:fill="auto"/>
            <w:noWrap/>
            <w:vAlign w:val="bottom"/>
            <w:hideMark/>
          </w:tcPr>
          <w:p w14:paraId="1BA73B19"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Model 1a</w:t>
            </w:r>
          </w:p>
        </w:tc>
        <w:tc>
          <w:tcPr>
            <w:tcW w:w="1196" w:type="dxa"/>
            <w:shd w:val="clear" w:color="auto" w:fill="auto"/>
            <w:noWrap/>
            <w:vAlign w:val="bottom"/>
            <w:hideMark/>
          </w:tcPr>
          <w:p w14:paraId="7992F21D"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proofErr w:type="spellStart"/>
            <w:r w:rsidRPr="00BD3E26">
              <w:rPr>
                <w:rFonts w:ascii="Times New Roman" w:eastAsia="Times New Roman" w:hAnsi="Times New Roman" w:cs="Times New Roman"/>
                <w:color w:val="000000"/>
                <w:sz w:val="24"/>
                <w:szCs w:val="24"/>
              </w:rPr>
              <w:t>PD+cancer</w:t>
            </w:r>
            <w:proofErr w:type="spellEnd"/>
          </w:p>
        </w:tc>
        <w:tc>
          <w:tcPr>
            <w:tcW w:w="960" w:type="dxa"/>
            <w:shd w:val="clear" w:color="auto" w:fill="auto"/>
            <w:noWrap/>
            <w:vAlign w:val="bottom"/>
            <w:hideMark/>
          </w:tcPr>
          <w:p w14:paraId="155F400B"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0.82</w:t>
            </w:r>
          </w:p>
        </w:tc>
        <w:tc>
          <w:tcPr>
            <w:tcW w:w="960" w:type="dxa"/>
            <w:shd w:val="clear" w:color="auto" w:fill="auto"/>
            <w:noWrap/>
            <w:vAlign w:val="bottom"/>
            <w:hideMark/>
          </w:tcPr>
          <w:p w14:paraId="0228A311"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0.51</w:t>
            </w:r>
          </w:p>
        </w:tc>
        <w:tc>
          <w:tcPr>
            <w:tcW w:w="960" w:type="dxa"/>
            <w:shd w:val="clear" w:color="auto" w:fill="auto"/>
            <w:noWrap/>
            <w:vAlign w:val="bottom"/>
            <w:hideMark/>
          </w:tcPr>
          <w:p w14:paraId="6C047813"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1.31</w:t>
            </w:r>
          </w:p>
        </w:tc>
        <w:tc>
          <w:tcPr>
            <w:tcW w:w="960" w:type="dxa"/>
            <w:shd w:val="clear" w:color="auto" w:fill="auto"/>
            <w:noWrap/>
            <w:vAlign w:val="bottom"/>
            <w:hideMark/>
          </w:tcPr>
          <w:p w14:paraId="027F53E4"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0.404</w:t>
            </w:r>
          </w:p>
        </w:tc>
      </w:tr>
      <w:tr w:rsidR="009B53D7" w:rsidRPr="00BD3E26" w14:paraId="57EB34EC" w14:textId="77777777" w:rsidTr="00141B58">
        <w:trPr>
          <w:trHeight w:val="300"/>
        </w:trPr>
        <w:tc>
          <w:tcPr>
            <w:tcW w:w="1172" w:type="dxa"/>
            <w:shd w:val="clear" w:color="auto" w:fill="auto"/>
            <w:noWrap/>
            <w:vAlign w:val="bottom"/>
          </w:tcPr>
          <w:p w14:paraId="50B77103"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Model 1b</w:t>
            </w:r>
          </w:p>
        </w:tc>
        <w:tc>
          <w:tcPr>
            <w:tcW w:w="1196" w:type="dxa"/>
            <w:shd w:val="clear" w:color="auto" w:fill="auto"/>
            <w:noWrap/>
            <w:vAlign w:val="bottom"/>
          </w:tcPr>
          <w:p w14:paraId="28776D7D"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proofErr w:type="spellStart"/>
            <w:r w:rsidRPr="00BD3E26">
              <w:rPr>
                <w:rFonts w:ascii="Times New Roman" w:eastAsia="Times New Roman" w:hAnsi="Times New Roman" w:cs="Times New Roman"/>
                <w:color w:val="000000"/>
                <w:sz w:val="24"/>
                <w:szCs w:val="24"/>
              </w:rPr>
              <w:t>PD+cancer</w:t>
            </w:r>
            <w:proofErr w:type="spellEnd"/>
          </w:p>
        </w:tc>
        <w:tc>
          <w:tcPr>
            <w:tcW w:w="960" w:type="dxa"/>
            <w:shd w:val="clear" w:color="auto" w:fill="auto"/>
            <w:noWrap/>
            <w:vAlign w:val="bottom"/>
          </w:tcPr>
          <w:p w14:paraId="08B00F62" w14:textId="77777777" w:rsidR="009B53D7" w:rsidRPr="00BD3E26" w:rsidRDefault="009B53D7" w:rsidP="00CC2E2E">
            <w:pPr>
              <w:spacing w:after="0" w:line="480" w:lineRule="auto"/>
              <w:jc w:val="right"/>
              <w:rPr>
                <w:rFonts w:ascii="Times New Roman" w:hAnsi="Times New Roman" w:cs="Times New Roman"/>
                <w:color w:val="000000"/>
                <w:sz w:val="24"/>
                <w:szCs w:val="24"/>
              </w:rPr>
            </w:pPr>
            <w:r w:rsidRPr="00BD3E26">
              <w:rPr>
                <w:rFonts w:ascii="Times New Roman" w:hAnsi="Times New Roman" w:cs="Times New Roman"/>
                <w:color w:val="000000"/>
                <w:sz w:val="24"/>
                <w:szCs w:val="24"/>
              </w:rPr>
              <w:t>0.81</w:t>
            </w:r>
          </w:p>
        </w:tc>
        <w:tc>
          <w:tcPr>
            <w:tcW w:w="960" w:type="dxa"/>
            <w:shd w:val="clear" w:color="auto" w:fill="auto"/>
            <w:noWrap/>
            <w:vAlign w:val="bottom"/>
          </w:tcPr>
          <w:p w14:paraId="654AD434" w14:textId="77777777" w:rsidR="009B53D7" w:rsidRPr="00BD3E26" w:rsidRDefault="009B53D7" w:rsidP="00CC2E2E">
            <w:pPr>
              <w:spacing w:after="0" w:line="480" w:lineRule="auto"/>
              <w:jc w:val="right"/>
              <w:rPr>
                <w:rFonts w:ascii="Times New Roman" w:hAnsi="Times New Roman" w:cs="Times New Roman"/>
                <w:color w:val="000000"/>
                <w:sz w:val="24"/>
                <w:szCs w:val="24"/>
              </w:rPr>
            </w:pPr>
            <w:r w:rsidRPr="00BD3E26">
              <w:rPr>
                <w:rFonts w:ascii="Times New Roman" w:hAnsi="Times New Roman" w:cs="Times New Roman"/>
                <w:color w:val="000000"/>
                <w:sz w:val="24"/>
                <w:szCs w:val="24"/>
              </w:rPr>
              <w:t>0.46</w:t>
            </w:r>
          </w:p>
        </w:tc>
        <w:tc>
          <w:tcPr>
            <w:tcW w:w="960" w:type="dxa"/>
            <w:shd w:val="clear" w:color="auto" w:fill="auto"/>
            <w:noWrap/>
            <w:vAlign w:val="bottom"/>
          </w:tcPr>
          <w:p w14:paraId="02BBB22D" w14:textId="77777777" w:rsidR="009B53D7" w:rsidRPr="00BD3E26" w:rsidRDefault="009B53D7" w:rsidP="00CC2E2E">
            <w:pPr>
              <w:spacing w:after="0" w:line="480" w:lineRule="auto"/>
              <w:jc w:val="right"/>
              <w:rPr>
                <w:rFonts w:ascii="Times New Roman" w:hAnsi="Times New Roman" w:cs="Times New Roman"/>
                <w:color w:val="000000"/>
                <w:sz w:val="24"/>
                <w:szCs w:val="24"/>
              </w:rPr>
            </w:pPr>
            <w:r w:rsidRPr="00BD3E26">
              <w:rPr>
                <w:rFonts w:ascii="Times New Roman" w:hAnsi="Times New Roman" w:cs="Times New Roman"/>
                <w:color w:val="000000"/>
                <w:sz w:val="24"/>
                <w:szCs w:val="24"/>
              </w:rPr>
              <w:t>1.41</w:t>
            </w:r>
          </w:p>
        </w:tc>
        <w:tc>
          <w:tcPr>
            <w:tcW w:w="960" w:type="dxa"/>
            <w:shd w:val="clear" w:color="auto" w:fill="auto"/>
            <w:noWrap/>
            <w:vAlign w:val="bottom"/>
          </w:tcPr>
          <w:p w14:paraId="75AF0F4F" w14:textId="77777777" w:rsidR="009B53D7" w:rsidRPr="00BD3E26" w:rsidRDefault="009B53D7" w:rsidP="00CC2E2E">
            <w:pPr>
              <w:spacing w:after="0" w:line="480" w:lineRule="auto"/>
              <w:jc w:val="right"/>
              <w:rPr>
                <w:rFonts w:ascii="Times New Roman" w:hAnsi="Times New Roman" w:cs="Times New Roman"/>
                <w:color w:val="000000"/>
                <w:sz w:val="24"/>
                <w:szCs w:val="24"/>
              </w:rPr>
            </w:pPr>
            <w:r w:rsidRPr="00BD3E26">
              <w:rPr>
                <w:rFonts w:ascii="Times New Roman" w:hAnsi="Times New Roman" w:cs="Times New Roman"/>
                <w:color w:val="000000"/>
                <w:sz w:val="24"/>
                <w:szCs w:val="24"/>
              </w:rPr>
              <w:t>0.45</w:t>
            </w:r>
          </w:p>
        </w:tc>
      </w:tr>
      <w:tr w:rsidR="009B53D7" w:rsidRPr="00BD3E26" w14:paraId="1F48D34F" w14:textId="77777777" w:rsidTr="00141B58">
        <w:trPr>
          <w:trHeight w:val="300"/>
        </w:trPr>
        <w:tc>
          <w:tcPr>
            <w:tcW w:w="1172" w:type="dxa"/>
            <w:shd w:val="clear" w:color="auto" w:fill="auto"/>
            <w:noWrap/>
            <w:vAlign w:val="bottom"/>
            <w:hideMark/>
          </w:tcPr>
          <w:p w14:paraId="755A2FCD"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Model 2a</w:t>
            </w:r>
          </w:p>
        </w:tc>
        <w:tc>
          <w:tcPr>
            <w:tcW w:w="1196" w:type="dxa"/>
            <w:shd w:val="clear" w:color="auto" w:fill="auto"/>
            <w:noWrap/>
            <w:vAlign w:val="bottom"/>
            <w:hideMark/>
          </w:tcPr>
          <w:p w14:paraId="1FE8C529"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proofErr w:type="spellStart"/>
            <w:r w:rsidRPr="00BD3E26">
              <w:rPr>
                <w:rFonts w:ascii="Times New Roman" w:eastAsia="Times New Roman" w:hAnsi="Times New Roman" w:cs="Times New Roman"/>
                <w:color w:val="000000"/>
                <w:sz w:val="24"/>
                <w:szCs w:val="24"/>
              </w:rPr>
              <w:t>PD+cancer</w:t>
            </w:r>
            <w:proofErr w:type="spellEnd"/>
          </w:p>
        </w:tc>
        <w:tc>
          <w:tcPr>
            <w:tcW w:w="960" w:type="dxa"/>
            <w:shd w:val="clear" w:color="auto" w:fill="auto"/>
            <w:noWrap/>
            <w:vAlign w:val="bottom"/>
            <w:hideMark/>
          </w:tcPr>
          <w:p w14:paraId="3FE068C5"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0.82</w:t>
            </w:r>
          </w:p>
        </w:tc>
        <w:tc>
          <w:tcPr>
            <w:tcW w:w="960" w:type="dxa"/>
            <w:shd w:val="clear" w:color="auto" w:fill="auto"/>
            <w:noWrap/>
            <w:vAlign w:val="bottom"/>
            <w:hideMark/>
          </w:tcPr>
          <w:p w14:paraId="1F203438"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0.50</w:t>
            </w:r>
          </w:p>
        </w:tc>
        <w:tc>
          <w:tcPr>
            <w:tcW w:w="960" w:type="dxa"/>
            <w:shd w:val="clear" w:color="auto" w:fill="auto"/>
            <w:noWrap/>
            <w:vAlign w:val="bottom"/>
            <w:hideMark/>
          </w:tcPr>
          <w:p w14:paraId="31801C57"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1.34</w:t>
            </w:r>
          </w:p>
        </w:tc>
        <w:tc>
          <w:tcPr>
            <w:tcW w:w="960" w:type="dxa"/>
            <w:shd w:val="clear" w:color="auto" w:fill="auto"/>
            <w:noWrap/>
            <w:vAlign w:val="bottom"/>
            <w:hideMark/>
          </w:tcPr>
          <w:p w14:paraId="1ACC00D6"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0.426</w:t>
            </w:r>
          </w:p>
        </w:tc>
      </w:tr>
      <w:tr w:rsidR="009B53D7" w:rsidRPr="00BD3E26" w14:paraId="1347A08C" w14:textId="77777777" w:rsidTr="00141B58">
        <w:trPr>
          <w:trHeight w:val="300"/>
        </w:trPr>
        <w:tc>
          <w:tcPr>
            <w:tcW w:w="1172" w:type="dxa"/>
            <w:shd w:val="clear" w:color="auto" w:fill="auto"/>
            <w:noWrap/>
            <w:vAlign w:val="bottom"/>
          </w:tcPr>
          <w:p w14:paraId="47DF2EB4"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Model 2b</w:t>
            </w:r>
          </w:p>
        </w:tc>
        <w:tc>
          <w:tcPr>
            <w:tcW w:w="1196" w:type="dxa"/>
            <w:shd w:val="clear" w:color="auto" w:fill="auto"/>
            <w:noWrap/>
            <w:vAlign w:val="bottom"/>
          </w:tcPr>
          <w:p w14:paraId="580F8149"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proofErr w:type="spellStart"/>
            <w:r w:rsidRPr="00BD3E26">
              <w:rPr>
                <w:rFonts w:ascii="Times New Roman" w:eastAsia="Times New Roman" w:hAnsi="Times New Roman" w:cs="Times New Roman"/>
                <w:color w:val="000000"/>
                <w:sz w:val="24"/>
                <w:szCs w:val="24"/>
              </w:rPr>
              <w:t>PD+cancer</w:t>
            </w:r>
            <w:proofErr w:type="spellEnd"/>
          </w:p>
        </w:tc>
        <w:tc>
          <w:tcPr>
            <w:tcW w:w="960" w:type="dxa"/>
            <w:shd w:val="clear" w:color="auto" w:fill="auto"/>
            <w:noWrap/>
            <w:vAlign w:val="bottom"/>
          </w:tcPr>
          <w:p w14:paraId="65DFBBD0" w14:textId="77777777" w:rsidR="009B53D7" w:rsidRPr="00BD3E26" w:rsidRDefault="009B53D7" w:rsidP="00CC2E2E">
            <w:pPr>
              <w:spacing w:after="0" w:line="480" w:lineRule="auto"/>
              <w:jc w:val="right"/>
              <w:rPr>
                <w:rFonts w:ascii="Times New Roman" w:hAnsi="Times New Roman" w:cs="Times New Roman"/>
                <w:color w:val="000000"/>
                <w:sz w:val="24"/>
                <w:szCs w:val="24"/>
              </w:rPr>
            </w:pPr>
            <w:r w:rsidRPr="00BD3E26">
              <w:rPr>
                <w:rFonts w:ascii="Times New Roman" w:hAnsi="Times New Roman" w:cs="Times New Roman"/>
                <w:color w:val="000000"/>
                <w:sz w:val="24"/>
                <w:szCs w:val="24"/>
              </w:rPr>
              <w:t>0.81</w:t>
            </w:r>
          </w:p>
        </w:tc>
        <w:tc>
          <w:tcPr>
            <w:tcW w:w="960" w:type="dxa"/>
            <w:shd w:val="clear" w:color="auto" w:fill="auto"/>
            <w:noWrap/>
            <w:vAlign w:val="bottom"/>
          </w:tcPr>
          <w:p w14:paraId="533502C9" w14:textId="77777777" w:rsidR="009B53D7" w:rsidRPr="00BD3E26" w:rsidRDefault="009B53D7" w:rsidP="00CC2E2E">
            <w:pPr>
              <w:spacing w:after="0" w:line="480" w:lineRule="auto"/>
              <w:jc w:val="right"/>
              <w:rPr>
                <w:rFonts w:ascii="Times New Roman" w:hAnsi="Times New Roman" w:cs="Times New Roman"/>
                <w:color w:val="000000"/>
                <w:sz w:val="24"/>
                <w:szCs w:val="24"/>
              </w:rPr>
            </w:pPr>
            <w:r w:rsidRPr="00BD3E26">
              <w:rPr>
                <w:rFonts w:ascii="Times New Roman" w:hAnsi="Times New Roman" w:cs="Times New Roman"/>
                <w:color w:val="000000"/>
                <w:sz w:val="24"/>
                <w:szCs w:val="24"/>
              </w:rPr>
              <w:t>0.46</w:t>
            </w:r>
          </w:p>
        </w:tc>
        <w:tc>
          <w:tcPr>
            <w:tcW w:w="960" w:type="dxa"/>
            <w:shd w:val="clear" w:color="auto" w:fill="auto"/>
            <w:noWrap/>
            <w:vAlign w:val="bottom"/>
          </w:tcPr>
          <w:p w14:paraId="33B8CC43" w14:textId="77777777" w:rsidR="009B53D7" w:rsidRPr="00BD3E26" w:rsidRDefault="009B53D7" w:rsidP="00CC2E2E">
            <w:pPr>
              <w:spacing w:after="0" w:line="480" w:lineRule="auto"/>
              <w:jc w:val="right"/>
              <w:rPr>
                <w:rFonts w:ascii="Times New Roman" w:hAnsi="Times New Roman" w:cs="Times New Roman"/>
                <w:color w:val="000000"/>
                <w:sz w:val="24"/>
                <w:szCs w:val="24"/>
              </w:rPr>
            </w:pPr>
            <w:r w:rsidRPr="00BD3E26">
              <w:rPr>
                <w:rFonts w:ascii="Times New Roman" w:hAnsi="Times New Roman" w:cs="Times New Roman"/>
                <w:color w:val="000000"/>
                <w:sz w:val="24"/>
                <w:szCs w:val="24"/>
              </w:rPr>
              <w:t>1.42</w:t>
            </w:r>
          </w:p>
        </w:tc>
        <w:tc>
          <w:tcPr>
            <w:tcW w:w="960" w:type="dxa"/>
            <w:shd w:val="clear" w:color="auto" w:fill="auto"/>
            <w:noWrap/>
            <w:vAlign w:val="bottom"/>
          </w:tcPr>
          <w:p w14:paraId="5380E7C0" w14:textId="77777777" w:rsidR="009B53D7" w:rsidRPr="00BD3E26" w:rsidRDefault="009B53D7" w:rsidP="00CC2E2E">
            <w:pPr>
              <w:spacing w:after="0" w:line="480" w:lineRule="auto"/>
              <w:jc w:val="right"/>
              <w:rPr>
                <w:rFonts w:ascii="Times New Roman" w:hAnsi="Times New Roman" w:cs="Times New Roman"/>
                <w:color w:val="000000"/>
                <w:sz w:val="24"/>
                <w:szCs w:val="24"/>
              </w:rPr>
            </w:pPr>
            <w:r w:rsidRPr="00BD3E26">
              <w:rPr>
                <w:rFonts w:ascii="Times New Roman" w:hAnsi="Times New Roman" w:cs="Times New Roman"/>
                <w:color w:val="000000"/>
                <w:sz w:val="24"/>
                <w:szCs w:val="24"/>
              </w:rPr>
              <w:t>0.46</w:t>
            </w:r>
          </w:p>
        </w:tc>
      </w:tr>
      <w:tr w:rsidR="009B53D7" w:rsidRPr="00BD3E26" w14:paraId="66042643" w14:textId="77777777" w:rsidTr="00141B58">
        <w:trPr>
          <w:trHeight w:val="300"/>
        </w:trPr>
        <w:tc>
          <w:tcPr>
            <w:tcW w:w="1172" w:type="dxa"/>
            <w:shd w:val="clear" w:color="auto" w:fill="auto"/>
            <w:noWrap/>
            <w:vAlign w:val="bottom"/>
            <w:hideMark/>
          </w:tcPr>
          <w:p w14:paraId="3DE6CEA3"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Model 3a</w:t>
            </w:r>
          </w:p>
        </w:tc>
        <w:tc>
          <w:tcPr>
            <w:tcW w:w="1196" w:type="dxa"/>
            <w:shd w:val="clear" w:color="auto" w:fill="auto"/>
            <w:noWrap/>
            <w:vAlign w:val="bottom"/>
            <w:hideMark/>
          </w:tcPr>
          <w:p w14:paraId="5A920A65"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proofErr w:type="spellStart"/>
            <w:r w:rsidRPr="00BD3E26">
              <w:rPr>
                <w:rFonts w:ascii="Times New Roman" w:eastAsia="Times New Roman" w:hAnsi="Times New Roman" w:cs="Times New Roman"/>
                <w:color w:val="000000"/>
                <w:sz w:val="24"/>
                <w:szCs w:val="24"/>
              </w:rPr>
              <w:t>PD+cancer</w:t>
            </w:r>
            <w:proofErr w:type="spellEnd"/>
          </w:p>
        </w:tc>
        <w:tc>
          <w:tcPr>
            <w:tcW w:w="960" w:type="dxa"/>
            <w:shd w:val="clear" w:color="auto" w:fill="auto"/>
            <w:noWrap/>
            <w:vAlign w:val="bottom"/>
            <w:hideMark/>
          </w:tcPr>
          <w:p w14:paraId="2FA5B3F6"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0.83</w:t>
            </w:r>
          </w:p>
        </w:tc>
        <w:tc>
          <w:tcPr>
            <w:tcW w:w="960" w:type="dxa"/>
            <w:shd w:val="clear" w:color="auto" w:fill="auto"/>
            <w:noWrap/>
            <w:vAlign w:val="bottom"/>
            <w:hideMark/>
          </w:tcPr>
          <w:p w14:paraId="02F5B418"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0.48</w:t>
            </w:r>
          </w:p>
        </w:tc>
        <w:tc>
          <w:tcPr>
            <w:tcW w:w="960" w:type="dxa"/>
            <w:shd w:val="clear" w:color="auto" w:fill="auto"/>
            <w:noWrap/>
            <w:vAlign w:val="bottom"/>
            <w:hideMark/>
          </w:tcPr>
          <w:p w14:paraId="270ABA63"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1.42</w:t>
            </w:r>
          </w:p>
        </w:tc>
        <w:tc>
          <w:tcPr>
            <w:tcW w:w="960" w:type="dxa"/>
            <w:shd w:val="clear" w:color="auto" w:fill="auto"/>
            <w:noWrap/>
            <w:vAlign w:val="bottom"/>
            <w:hideMark/>
          </w:tcPr>
          <w:p w14:paraId="619D2E40"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0.495</w:t>
            </w:r>
          </w:p>
        </w:tc>
      </w:tr>
      <w:tr w:rsidR="009B53D7" w:rsidRPr="00BD3E26" w14:paraId="012B0D24" w14:textId="77777777" w:rsidTr="00141B58">
        <w:trPr>
          <w:trHeight w:val="300"/>
        </w:trPr>
        <w:tc>
          <w:tcPr>
            <w:tcW w:w="1172" w:type="dxa"/>
            <w:shd w:val="clear" w:color="auto" w:fill="auto"/>
            <w:noWrap/>
            <w:vAlign w:val="bottom"/>
          </w:tcPr>
          <w:p w14:paraId="483CD073"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Model 3b</w:t>
            </w:r>
          </w:p>
        </w:tc>
        <w:tc>
          <w:tcPr>
            <w:tcW w:w="1196" w:type="dxa"/>
            <w:shd w:val="clear" w:color="auto" w:fill="auto"/>
            <w:noWrap/>
            <w:vAlign w:val="bottom"/>
          </w:tcPr>
          <w:p w14:paraId="6015AC22"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proofErr w:type="spellStart"/>
            <w:r w:rsidRPr="00BD3E26">
              <w:rPr>
                <w:rFonts w:ascii="Times New Roman" w:eastAsia="Times New Roman" w:hAnsi="Times New Roman" w:cs="Times New Roman"/>
                <w:color w:val="000000"/>
                <w:sz w:val="24"/>
                <w:szCs w:val="24"/>
              </w:rPr>
              <w:t>PD+cancer</w:t>
            </w:r>
            <w:proofErr w:type="spellEnd"/>
          </w:p>
        </w:tc>
        <w:tc>
          <w:tcPr>
            <w:tcW w:w="960" w:type="dxa"/>
            <w:shd w:val="clear" w:color="auto" w:fill="auto"/>
            <w:noWrap/>
            <w:vAlign w:val="bottom"/>
          </w:tcPr>
          <w:p w14:paraId="3A7984D2" w14:textId="77777777" w:rsidR="009B53D7" w:rsidRPr="00BD3E26" w:rsidRDefault="009B53D7" w:rsidP="00CC2E2E">
            <w:pPr>
              <w:spacing w:after="0" w:line="480" w:lineRule="auto"/>
              <w:jc w:val="right"/>
              <w:rPr>
                <w:rFonts w:ascii="Times New Roman" w:hAnsi="Times New Roman" w:cs="Times New Roman"/>
                <w:color w:val="000000"/>
                <w:sz w:val="24"/>
                <w:szCs w:val="24"/>
              </w:rPr>
            </w:pPr>
            <w:r w:rsidRPr="00BD3E26">
              <w:rPr>
                <w:rFonts w:ascii="Times New Roman" w:hAnsi="Times New Roman" w:cs="Times New Roman"/>
                <w:color w:val="000000"/>
                <w:sz w:val="24"/>
                <w:szCs w:val="24"/>
              </w:rPr>
              <w:t>0.84</w:t>
            </w:r>
          </w:p>
        </w:tc>
        <w:tc>
          <w:tcPr>
            <w:tcW w:w="960" w:type="dxa"/>
            <w:shd w:val="clear" w:color="auto" w:fill="auto"/>
            <w:noWrap/>
            <w:vAlign w:val="bottom"/>
          </w:tcPr>
          <w:p w14:paraId="62E9386A" w14:textId="77777777" w:rsidR="009B53D7" w:rsidRPr="00BD3E26" w:rsidRDefault="009B53D7" w:rsidP="00CC2E2E">
            <w:pPr>
              <w:spacing w:after="0" w:line="480" w:lineRule="auto"/>
              <w:jc w:val="right"/>
              <w:rPr>
                <w:rFonts w:ascii="Times New Roman" w:hAnsi="Times New Roman" w:cs="Times New Roman"/>
                <w:color w:val="000000"/>
                <w:sz w:val="24"/>
                <w:szCs w:val="24"/>
              </w:rPr>
            </w:pPr>
            <w:r w:rsidRPr="00BD3E26">
              <w:rPr>
                <w:rFonts w:ascii="Times New Roman" w:hAnsi="Times New Roman" w:cs="Times New Roman"/>
                <w:color w:val="000000"/>
                <w:sz w:val="24"/>
                <w:szCs w:val="24"/>
              </w:rPr>
              <w:t>0.51</w:t>
            </w:r>
          </w:p>
        </w:tc>
        <w:tc>
          <w:tcPr>
            <w:tcW w:w="960" w:type="dxa"/>
            <w:shd w:val="clear" w:color="auto" w:fill="auto"/>
            <w:noWrap/>
            <w:vAlign w:val="bottom"/>
          </w:tcPr>
          <w:p w14:paraId="28262954" w14:textId="77777777" w:rsidR="009B53D7" w:rsidRPr="00BD3E26" w:rsidRDefault="009B53D7" w:rsidP="00CC2E2E">
            <w:pPr>
              <w:spacing w:after="0" w:line="480" w:lineRule="auto"/>
              <w:jc w:val="right"/>
              <w:rPr>
                <w:rFonts w:ascii="Times New Roman" w:hAnsi="Times New Roman" w:cs="Times New Roman"/>
                <w:color w:val="000000"/>
                <w:sz w:val="24"/>
                <w:szCs w:val="24"/>
              </w:rPr>
            </w:pPr>
            <w:r w:rsidRPr="00BD3E26">
              <w:rPr>
                <w:rFonts w:ascii="Times New Roman" w:hAnsi="Times New Roman" w:cs="Times New Roman"/>
                <w:color w:val="000000"/>
                <w:sz w:val="24"/>
                <w:szCs w:val="24"/>
              </w:rPr>
              <w:t>1.39</w:t>
            </w:r>
          </w:p>
        </w:tc>
        <w:tc>
          <w:tcPr>
            <w:tcW w:w="960" w:type="dxa"/>
            <w:shd w:val="clear" w:color="auto" w:fill="auto"/>
            <w:noWrap/>
            <w:vAlign w:val="bottom"/>
          </w:tcPr>
          <w:p w14:paraId="5B0C47CB" w14:textId="77777777" w:rsidR="009B53D7" w:rsidRPr="00BD3E26" w:rsidRDefault="009B53D7" w:rsidP="00CC2E2E">
            <w:pPr>
              <w:spacing w:after="0" w:line="480" w:lineRule="auto"/>
              <w:jc w:val="right"/>
              <w:rPr>
                <w:rFonts w:ascii="Times New Roman" w:hAnsi="Times New Roman" w:cs="Times New Roman"/>
                <w:color w:val="000000"/>
                <w:sz w:val="24"/>
                <w:szCs w:val="24"/>
              </w:rPr>
            </w:pPr>
            <w:r w:rsidRPr="00BD3E26">
              <w:rPr>
                <w:rFonts w:ascii="Times New Roman" w:hAnsi="Times New Roman" w:cs="Times New Roman"/>
                <w:color w:val="000000"/>
                <w:sz w:val="24"/>
                <w:szCs w:val="24"/>
              </w:rPr>
              <w:t>0.49</w:t>
            </w:r>
          </w:p>
        </w:tc>
      </w:tr>
    </w:tbl>
    <w:p w14:paraId="6BA3E21C" w14:textId="77777777" w:rsidR="009B53D7" w:rsidRPr="00BD3E26" w:rsidRDefault="009B53D7" w:rsidP="00CC2E2E">
      <w:pPr>
        <w:spacing w:line="480" w:lineRule="auto"/>
        <w:rPr>
          <w:rFonts w:ascii="Times New Roman" w:hAnsi="Times New Roman" w:cs="Times New Roman"/>
          <w:sz w:val="24"/>
          <w:szCs w:val="24"/>
        </w:rPr>
      </w:pPr>
      <w:r w:rsidRPr="00BD3E26">
        <w:rPr>
          <w:rFonts w:ascii="Times New Roman" w:hAnsi="Times New Roman" w:cs="Times New Roman"/>
          <w:sz w:val="24"/>
          <w:szCs w:val="24"/>
        </w:rPr>
        <w:t xml:space="preserve">*HR: Hazards ratio; CI: confidence interval </w:t>
      </w:r>
    </w:p>
    <w:p w14:paraId="092649AE" w14:textId="77777777" w:rsidR="009B53D7" w:rsidRPr="00BD3E26" w:rsidRDefault="009B53D7" w:rsidP="00CC2E2E">
      <w:pPr>
        <w:spacing w:line="480" w:lineRule="auto"/>
        <w:rPr>
          <w:rFonts w:ascii="Times New Roman" w:hAnsi="Times New Roman" w:cs="Times New Roman"/>
          <w:sz w:val="24"/>
          <w:szCs w:val="24"/>
        </w:rPr>
      </w:pPr>
      <w:r w:rsidRPr="00BD3E26">
        <w:rPr>
          <w:rFonts w:ascii="Times New Roman" w:hAnsi="Times New Roman" w:cs="Times New Roman"/>
          <w:b/>
          <w:sz w:val="24"/>
          <w:szCs w:val="24"/>
        </w:rPr>
        <w:t>Model 1:</w:t>
      </w:r>
      <w:r w:rsidRPr="00BD3E26">
        <w:rPr>
          <w:rFonts w:ascii="Times New Roman" w:hAnsi="Times New Roman" w:cs="Times New Roman"/>
          <w:sz w:val="24"/>
          <w:szCs w:val="24"/>
        </w:rPr>
        <w:t xml:space="preserve">  (a) Inverse probability of treatment weighting (IPTW) using the propensity score (PS) based on age and gender (b) IPTW using the PS based on age and gender and adjusting for prognostic variables (age, gender, weight, </w:t>
      </w:r>
      <w:r w:rsidR="00AE1604">
        <w:rPr>
          <w:rFonts w:ascii="Times New Roman" w:hAnsi="Times New Roman" w:cs="Times New Roman"/>
          <w:sz w:val="24"/>
          <w:szCs w:val="24"/>
        </w:rPr>
        <w:t>MDS-</w:t>
      </w:r>
      <w:r w:rsidRPr="00BD3E26">
        <w:rPr>
          <w:rFonts w:ascii="Times New Roman" w:hAnsi="Times New Roman" w:cs="Times New Roman"/>
          <w:sz w:val="24"/>
          <w:szCs w:val="24"/>
        </w:rPr>
        <w:t xml:space="preserve">UPDRS, depression, anxiety, dementia, urinary, </w:t>
      </w:r>
      <w:r w:rsidRPr="00BD3E26">
        <w:rPr>
          <w:rFonts w:ascii="Times New Roman" w:hAnsi="Times New Roman" w:cs="Times New Roman"/>
          <w:sz w:val="24"/>
          <w:szCs w:val="24"/>
        </w:rPr>
        <w:lastRenderedPageBreak/>
        <w:t xml:space="preserve">gastrointestinal, sexual, thermoregulatory, cardiovascular, and mci; Model 2 (a) IPTW using the PS based on age, gender, weight, and UPDRS (b) IPTW using the PS based on age, gender, weight, and </w:t>
      </w:r>
      <w:r w:rsidR="00AE1604">
        <w:rPr>
          <w:rFonts w:ascii="Times New Roman" w:hAnsi="Times New Roman" w:cs="Times New Roman"/>
          <w:sz w:val="24"/>
          <w:szCs w:val="24"/>
        </w:rPr>
        <w:t>MDS-</w:t>
      </w:r>
      <w:r w:rsidRPr="00BD3E26">
        <w:rPr>
          <w:rFonts w:ascii="Times New Roman" w:hAnsi="Times New Roman" w:cs="Times New Roman"/>
          <w:sz w:val="24"/>
          <w:szCs w:val="24"/>
        </w:rPr>
        <w:t xml:space="preserve">UPDRS and adjusting for prognostic variables; Model 3 (a) IPTW using the PS based on age, gender, weight, </w:t>
      </w:r>
      <w:r w:rsidR="00AE1604">
        <w:rPr>
          <w:rFonts w:ascii="Times New Roman" w:hAnsi="Times New Roman" w:cs="Times New Roman"/>
          <w:sz w:val="24"/>
          <w:szCs w:val="24"/>
        </w:rPr>
        <w:t>MDS-</w:t>
      </w:r>
      <w:r w:rsidRPr="00BD3E26">
        <w:rPr>
          <w:rFonts w:ascii="Times New Roman" w:hAnsi="Times New Roman" w:cs="Times New Roman"/>
          <w:sz w:val="24"/>
          <w:szCs w:val="24"/>
        </w:rPr>
        <w:t xml:space="preserve">UPDRS, depression, anxiety, dementia, urinary, gastrointestinal, sexual, thermoregulatory, cardiovascular, mci, and falls per year (b) IPTW using the PS based on age, gender, weight, </w:t>
      </w:r>
      <w:r w:rsidR="00AE1604">
        <w:rPr>
          <w:rFonts w:ascii="Times New Roman" w:hAnsi="Times New Roman" w:cs="Times New Roman"/>
          <w:sz w:val="24"/>
          <w:szCs w:val="24"/>
        </w:rPr>
        <w:t>MDS-</w:t>
      </w:r>
      <w:r w:rsidRPr="00BD3E26">
        <w:rPr>
          <w:rFonts w:ascii="Times New Roman" w:hAnsi="Times New Roman" w:cs="Times New Roman"/>
          <w:sz w:val="24"/>
          <w:szCs w:val="24"/>
        </w:rPr>
        <w:t xml:space="preserve">UPDRS, depression, anxiety, dementia, urinary, gastrointestinal, sexual, thermoregulatory, cardiovascular, mci, and falls per year and adjusting for prognostic variables.  </w:t>
      </w:r>
    </w:p>
    <w:p w14:paraId="1CE560D2" w14:textId="77777777" w:rsidR="009B53D7" w:rsidRPr="00BD3E26" w:rsidRDefault="009B53D7" w:rsidP="00CC2E2E">
      <w:pPr>
        <w:spacing w:line="480" w:lineRule="auto"/>
        <w:rPr>
          <w:rFonts w:ascii="Times New Roman" w:hAnsi="Times New Roman" w:cs="Times New Roman"/>
          <w:sz w:val="24"/>
          <w:szCs w:val="24"/>
        </w:rPr>
      </w:pPr>
      <w:r w:rsidRPr="00BD3E26">
        <w:rPr>
          <w:rFonts w:ascii="Times New Roman" w:hAnsi="Times New Roman" w:cs="Times New Roman"/>
          <w:b/>
          <w:sz w:val="24"/>
          <w:szCs w:val="24"/>
        </w:rPr>
        <w:t>Table 2:</w:t>
      </w:r>
      <w:r w:rsidRPr="00BD3E26">
        <w:rPr>
          <w:rFonts w:ascii="Times New Roman" w:hAnsi="Times New Roman" w:cs="Times New Roman"/>
          <w:sz w:val="24"/>
          <w:szCs w:val="24"/>
        </w:rPr>
        <w:t xml:space="preserve">  Balance diagnostics: Comparing baseline cofactors between cases and controls using IPTW-PS method </w:t>
      </w:r>
    </w:p>
    <w:tbl>
      <w:tblPr>
        <w:tblW w:w="7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788"/>
        <w:gridCol w:w="1438"/>
        <w:gridCol w:w="1438"/>
      </w:tblGrid>
      <w:tr w:rsidR="009B53D7" w:rsidRPr="00BD3E26" w14:paraId="637DFA8E" w14:textId="77777777" w:rsidTr="00D45BC1">
        <w:trPr>
          <w:trHeight w:val="296"/>
        </w:trPr>
        <w:tc>
          <w:tcPr>
            <w:tcW w:w="3121" w:type="dxa"/>
            <w:shd w:val="clear" w:color="auto" w:fill="auto"/>
            <w:noWrap/>
            <w:vAlign w:val="bottom"/>
            <w:hideMark/>
          </w:tcPr>
          <w:p w14:paraId="26C00C24" w14:textId="77777777" w:rsidR="009B53D7" w:rsidRPr="00BD3E26" w:rsidRDefault="009B53D7" w:rsidP="00CC2E2E">
            <w:pPr>
              <w:spacing w:after="0" w:line="480" w:lineRule="auto"/>
              <w:rPr>
                <w:rFonts w:ascii="Times New Roman" w:eastAsia="Times New Roman" w:hAnsi="Times New Roman" w:cs="Times New Roman"/>
                <w:sz w:val="24"/>
                <w:szCs w:val="24"/>
              </w:rPr>
            </w:pPr>
          </w:p>
        </w:tc>
        <w:tc>
          <w:tcPr>
            <w:tcW w:w="1788" w:type="dxa"/>
            <w:shd w:val="clear" w:color="auto" w:fill="auto"/>
            <w:noWrap/>
            <w:vAlign w:val="bottom"/>
            <w:hideMark/>
          </w:tcPr>
          <w:p w14:paraId="309E8F3B"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proofErr w:type="spellStart"/>
            <w:r w:rsidRPr="00BD3E26">
              <w:rPr>
                <w:rFonts w:ascii="Times New Roman" w:eastAsia="Times New Roman" w:hAnsi="Times New Roman" w:cs="Times New Roman"/>
                <w:color w:val="000000"/>
                <w:sz w:val="24"/>
                <w:szCs w:val="24"/>
              </w:rPr>
              <w:t>PD+Cancer</w:t>
            </w:r>
            <w:proofErr w:type="spellEnd"/>
          </w:p>
        </w:tc>
        <w:tc>
          <w:tcPr>
            <w:tcW w:w="1438" w:type="dxa"/>
            <w:shd w:val="clear" w:color="auto" w:fill="auto"/>
            <w:noWrap/>
            <w:vAlign w:val="bottom"/>
            <w:hideMark/>
          </w:tcPr>
          <w:p w14:paraId="4DE98F38"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PD</w:t>
            </w:r>
          </w:p>
        </w:tc>
        <w:tc>
          <w:tcPr>
            <w:tcW w:w="1438" w:type="dxa"/>
            <w:shd w:val="clear" w:color="auto" w:fill="auto"/>
            <w:noWrap/>
            <w:vAlign w:val="bottom"/>
            <w:hideMark/>
          </w:tcPr>
          <w:p w14:paraId="14282772"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SD</w:t>
            </w:r>
          </w:p>
        </w:tc>
      </w:tr>
      <w:tr w:rsidR="009B53D7" w:rsidRPr="00BD3E26" w14:paraId="2924458A" w14:textId="77777777" w:rsidTr="00D45BC1">
        <w:trPr>
          <w:trHeight w:val="296"/>
        </w:trPr>
        <w:tc>
          <w:tcPr>
            <w:tcW w:w="3121" w:type="dxa"/>
            <w:shd w:val="clear" w:color="auto" w:fill="auto"/>
            <w:noWrap/>
            <w:vAlign w:val="bottom"/>
            <w:hideMark/>
          </w:tcPr>
          <w:p w14:paraId="730217FD"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Model 1</w:t>
            </w:r>
          </w:p>
        </w:tc>
        <w:tc>
          <w:tcPr>
            <w:tcW w:w="1788" w:type="dxa"/>
            <w:shd w:val="clear" w:color="auto" w:fill="auto"/>
            <w:noWrap/>
            <w:vAlign w:val="bottom"/>
            <w:hideMark/>
          </w:tcPr>
          <w:p w14:paraId="325F2F29"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Mean/%</w:t>
            </w:r>
          </w:p>
        </w:tc>
        <w:tc>
          <w:tcPr>
            <w:tcW w:w="1438" w:type="dxa"/>
            <w:shd w:val="clear" w:color="auto" w:fill="auto"/>
            <w:noWrap/>
            <w:vAlign w:val="bottom"/>
            <w:hideMark/>
          </w:tcPr>
          <w:p w14:paraId="08A10141" w14:textId="77777777" w:rsidR="009B53D7" w:rsidRPr="00BD3E26" w:rsidRDefault="009B53D7" w:rsidP="00CC2E2E">
            <w:pPr>
              <w:spacing w:after="0" w:line="480" w:lineRule="auto"/>
              <w:rPr>
                <w:rFonts w:ascii="Times New Roman" w:eastAsia="Times New Roman" w:hAnsi="Times New Roman" w:cs="Times New Roman"/>
                <w:sz w:val="24"/>
                <w:szCs w:val="24"/>
              </w:rPr>
            </w:pPr>
            <w:r w:rsidRPr="00BD3E26">
              <w:rPr>
                <w:rFonts w:ascii="Times New Roman" w:eastAsia="Times New Roman" w:hAnsi="Times New Roman" w:cs="Times New Roman"/>
                <w:color w:val="000000"/>
                <w:sz w:val="24"/>
                <w:szCs w:val="24"/>
              </w:rPr>
              <w:t>Mean/%</w:t>
            </w:r>
          </w:p>
        </w:tc>
        <w:tc>
          <w:tcPr>
            <w:tcW w:w="1438" w:type="dxa"/>
            <w:shd w:val="clear" w:color="auto" w:fill="auto"/>
            <w:noWrap/>
            <w:vAlign w:val="bottom"/>
            <w:hideMark/>
          </w:tcPr>
          <w:p w14:paraId="23B9C76C" w14:textId="77777777" w:rsidR="009B53D7" w:rsidRPr="00BD3E26" w:rsidRDefault="009B53D7" w:rsidP="00CC2E2E">
            <w:pPr>
              <w:spacing w:after="0" w:line="480" w:lineRule="auto"/>
              <w:rPr>
                <w:rFonts w:ascii="Times New Roman" w:eastAsia="Times New Roman" w:hAnsi="Times New Roman" w:cs="Times New Roman"/>
                <w:sz w:val="24"/>
                <w:szCs w:val="24"/>
              </w:rPr>
            </w:pPr>
          </w:p>
        </w:tc>
      </w:tr>
      <w:tr w:rsidR="009B53D7" w:rsidRPr="00BD3E26" w14:paraId="2A705482" w14:textId="77777777" w:rsidTr="00D45BC1">
        <w:trPr>
          <w:trHeight w:val="296"/>
        </w:trPr>
        <w:tc>
          <w:tcPr>
            <w:tcW w:w="3121" w:type="dxa"/>
            <w:shd w:val="clear" w:color="auto" w:fill="auto"/>
            <w:noWrap/>
            <w:vAlign w:val="bottom"/>
            <w:hideMark/>
          </w:tcPr>
          <w:p w14:paraId="6F8C87A9"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 xml:space="preserve">Age at disease onset </w:t>
            </w:r>
          </w:p>
        </w:tc>
        <w:tc>
          <w:tcPr>
            <w:tcW w:w="1788" w:type="dxa"/>
            <w:shd w:val="clear" w:color="auto" w:fill="auto"/>
            <w:noWrap/>
            <w:vAlign w:val="bottom"/>
            <w:hideMark/>
          </w:tcPr>
          <w:p w14:paraId="7D3D5800"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63.35</w:t>
            </w:r>
          </w:p>
        </w:tc>
        <w:tc>
          <w:tcPr>
            <w:tcW w:w="1438" w:type="dxa"/>
            <w:shd w:val="clear" w:color="auto" w:fill="auto"/>
            <w:noWrap/>
            <w:vAlign w:val="bottom"/>
            <w:hideMark/>
          </w:tcPr>
          <w:p w14:paraId="3565F0B6"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63.66</w:t>
            </w:r>
          </w:p>
        </w:tc>
        <w:tc>
          <w:tcPr>
            <w:tcW w:w="1438" w:type="dxa"/>
            <w:shd w:val="clear" w:color="auto" w:fill="auto"/>
            <w:noWrap/>
            <w:vAlign w:val="bottom"/>
            <w:hideMark/>
          </w:tcPr>
          <w:p w14:paraId="22D04192"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-0.027</w:t>
            </w:r>
          </w:p>
        </w:tc>
      </w:tr>
      <w:tr w:rsidR="009B53D7" w:rsidRPr="00BD3E26" w14:paraId="49DAC984" w14:textId="77777777" w:rsidTr="00D45BC1">
        <w:trPr>
          <w:trHeight w:val="296"/>
        </w:trPr>
        <w:tc>
          <w:tcPr>
            <w:tcW w:w="3121" w:type="dxa"/>
            <w:shd w:val="clear" w:color="auto" w:fill="auto"/>
            <w:noWrap/>
            <w:vAlign w:val="bottom"/>
            <w:hideMark/>
          </w:tcPr>
          <w:p w14:paraId="3266CA3B"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Male</w:t>
            </w:r>
          </w:p>
        </w:tc>
        <w:tc>
          <w:tcPr>
            <w:tcW w:w="1788" w:type="dxa"/>
            <w:shd w:val="clear" w:color="auto" w:fill="auto"/>
            <w:noWrap/>
            <w:vAlign w:val="bottom"/>
            <w:hideMark/>
          </w:tcPr>
          <w:p w14:paraId="2C690C75"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0.70</w:t>
            </w:r>
          </w:p>
        </w:tc>
        <w:tc>
          <w:tcPr>
            <w:tcW w:w="1438" w:type="dxa"/>
            <w:shd w:val="clear" w:color="auto" w:fill="auto"/>
            <w:noWrap/>
            <w:vAlign w:val="bottom"/>
            <w:hideMark/>
          </w:tcPr>
          <w:p w14:paraId="550FA1DF"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0.70</w:t>
            </w:r>
          </w:p>
        </w:tc>
        <w:tc>
          <w:tcPr>
            <w:tcW w:w="1438" w:type="dxa"/>
            <w:shd w:val="clear" w:color="auto" w:fill="auto"/>
            <w:noWrap/>
            <w:vAlign w:val="bottom"/>
            <w:hideMark/>
          </w:tcPr>
          <w:p w14:paraId="53C1B8C9"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-0.006</w:t>
            </w:r>
          </w:p>
        </w:tc>
      </w:tr>
      <w:tr w:rsidR="009B53D7" w:rsidRPr="00BD3E26" w14:paraId="08B343ED" w14:textId="77777777" w:rsidTr="00D45BC1">
        <w:trPr>
          <w:trHeight w:val="296"/>
        </w:trPr>
        <w:tc>
          <w:tcPr>
            <w:tcW w:w="3121" w:type="dxa"/>
            <w:shd w:val="clear" w:color="auto" w:fill="auto"/>
            <w:noWrap/>
            <w:vAlign w:val="bottom"/>
            <w:hideMark/>
          </w:tcPr>
          <w:p w14:paraId="6971A644"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p>
        </w:tc>
        <w:tc>
          <w:tcPr>
            <w:tcW w:w="1788" w:type="dxa"/>
            <w:shd w:val="clear" w:color="auto" w:fill="auto"/>
            <w:noWrap/>
            <w:vAlign w:val="bottom"/>
            <w:hideMark/>
          </w:tcPr>
          <w:p w14:paraId="48046C53" w14:textId="77777777" w:rsidR="009B53D7" w:rsidRPr="00BD3E26" w:rsidRDefault="009B53D7" w:rsidP="00CC2E2E">
            <w:pPr>
              <w:spacing w:after="0" w:line="480" w:lineRule="auto"/>
              <w:rPr>
                <w:rFonts w:ascii="Times New Roman" w:eastAsia="Times New Roman" w:hAnsi="Times New Roman" w:cs="Times New Roman"/>
                <w:sz w:val="24"/>
                <w:szCs w:val="24"/>
              </w:rPr>
            </w:pPr>
          </w:p>
        </w:tc>
        <w:tc>
          <w:tcPr>
            <w:tcW w:w="1438" w:type="dxa"/>
            <w:shd w:val="clear" w:color="auto" w:fill="auto"/>
            <w:noWrap/>
            <w:vAlign w:val="bottom"/>
            <w:hideMark/>
          </w:tcPr>
          <w:p w14:paraId="6CBC7C06" w14:textId="77777777" w:rsidR="009B53D7" w:rsidRPr="00BD3E26" w:rsidRDefault="009B53D7" w:rsidP="00CC2E2E">
            <w:pPr>
              <w:spacing w:after="0" w:line="480" w:lineRule="auto"/>
              <w:rPr>
                <w:rFonts w:ascii="Times New Roman" w:eastAsia="Times New Roman" w:hAnsi="Times New Roman" w:cs="Times New Roman"/>
                <w:sz w:val="24"/>
                <w:szCs w:val="24"/>
              </w:rPr>
            </w:pPr>
          </w:p>
        </w:tc>
        <w:tc>
          <w:tcPr>
            <w:tcW w:w="1438" w:type="dxa"/>
            <w:shd w:val="clear" w:color="auto" w:fill="auto"/>
            <w:noWrap/>
            <w:vAlign w:val="bottom"/>
            <w:hideMark/>
          </w:tcPr>
          <w:p w14:paraId="15EEE426" w14:textId="77777777" w:rsidR="009B53D7" w:rsidRPr="00BD3E26" w:rsidRDefault="009B53D7" w:rsidP="00CC2E2E">
            <w:pPr>
              <w:spacing w:after="0" w:line="480" w:lineRule="auto"/>
              <w:rPr>
                <w:rFonts w:ascii="Times New Roman" w:eastAsia="Times New Roman" w:hAnsi="Times New Roman" w:cs="Times New Roman"/>
                <w:sz w:val="24"/>
                <w:szCs w:val="24"/>
              </w:rPr>
            </w:pPr>
          </w:p>
        </w:tc>
      </w:tr>
      <w:tr w:rsidR="009B53D7" w:rsidRPr="00BD3E26" w14:paraId="6901F973" w14:textId="77777777" w:rsidTr="00D45BC1">
        <w:trPr>
          <w:trHeight w:val="296"/>
        </w:trPr>
        <w:tc>
          <w:tcPr>
            <w:tcW w:w="3121" w:type="dxa"/>
            <w:shd w:val="clear" w:color="auto" w:fill="auto"/>
            <w:noWrap/>
            <w:vAlign w:val="bottom"/>
            <w:hideMark/>
          </w:tcPr>
          <w:p w14:paraId="60417E76"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Model 2</w:t>
            </w:r>
          </w:p>
        </w:tc>
        <w:tc>
          <w:tcPr>
            <w:tcW w:w="1788" w:type="dxa"/>
            <w:shd w:val="clear" w:color="auto" w:fill="auto"/>
            <w:noWrap/>
            <w:vAlign w:val="bottom"/>
            <w:hideMark/>
          </w:tcPr>
          <w:p w14:paraId="4B9D6AE1"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p>
        </w:tc>
        <w:tc>
          <w:tcPr>
            <w:tcW w:w="1438" w:type="dxa"/>
            <w:shd w:val="clear" w:color="auto" w:fill="auto"/>
            <w:noWrap/>
            <w:vAlign w:val="bottom"/>
            <w:hideMark/>
          </w:tcPr>
          <w:p w14:paraId="711A16CC" w14:textId="77777777" w:rsidR="009B53D7" w:rsidRPr="00BD3E26" w:rsidRDefault="009B53D7" w:rsidP="00CC2E2E">
            <w:pPr>
              <w:spacing w:after="0" w:line="480" w:lineRule="auto"/>
              <w:rPr>
                <w:rFonts w:ascii="Times New Roman" w:eastAsia="Times New Roman" w:hAnsi="Times New Roman" w:cs="Times New Roman"/>
                <w:sz w:val="24"/>
                <w:szCs w:val="24"/>
              </w:rPr>
            </w:pPr>
          </w:p>
        </w:tc>
        <w:tc>
          <w:tcPr>
            <w:tcW w:w="1438" w:type="dxa"/>
            <w:shd w:val="clear" w:color="auto" w:fill="auto"/>
            <w:noWrap/>
            <w:vAlign w:val="bottom"/>
            <w:hideMark/>
          </w:tcPr>
          <w:p w14:paraId="10E980E1" w14:textId="77777777" w:rsidR="009B53D7" w:rsidRPr="00BD3E26" w:rsidRDefault="009B53D7" w:rsidP="00CC2E2E">
            <w:pPr>
              <w:spacing w:after="0" w:line="480" w:lineRule="auto"/>
              <w:rPr>
                <w:rFonts w:ascii="Times New Roman" w:eastAsia="Times New Roman" w:hAnsi="Times New Roman" w:cs="Times New Roman"/>
                <w:sz w:val="24"/>
                <w:szCs w:val="24"/>
              </w:rPr>
            </w:pPr>
          </w:p>
        </w:tc>
      </w:tr>
      <w:tr w:rsidR="009B53D7" w:rsidRPr="00BD3E26" w14:paraId="0F26C326" w14:textId="77777777" w:rsidTr="00D45BC1">
        <w:trPr>
          <w:trHeight w:val="296"/>
        </w:trPr>
        <w:tc>
          <w:tcPr>
            <w:tcW w:w="3121" w:type="dxa"/>
            <w:shd w:val="clear" w:color="auto" w:fill="auto"/>
            <w:noWrap/>
            <w:vAlign w:val="bottom"/>
            <w:hideMark/>
          </w:tcPr>
          <w:p w14:paraId="0BCB9615"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 xml:space="preserve">Age at disease onset </w:t>
            </w:r>
          </w:p>
        </w:tc>
        <w:tc>
          <w:tcPr>
            <w:tcW w:w="1788" w:type="dxa"/>
            <w:shd w:val="clear" w:color="auto" w:fill="auto"/>
            <w:noWrap/>
            <w:vAlign w:val="bottom"/>
            <w:hideMark/>
          </w:tcPr>
          <w:p w14:paraId="1C496D49"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63.20</w:t>
            </w:r>
          </w:p>
        </w:tc>
        <w:tc>
          <w:tcPr>
            <w:tcW w:w="1438" w:type="dxa"/>
            <w:shd w:val="clear" w:color="auto" w:fill="auto"/>
            <w:noWrap/>
            <w:vAlign w:val="bottom"/>
            <w:hideMark/>
          </w:tcPr>
          <w:p w14:paraId="47F25233"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63.33</w:t>
            </w:r>
          </w:p>
        </w:tc>
        <w:tc>
          <w:tcPr>
            <w:tcW w:w="1438" w:type="dxa"/>
            <w:shd w:val="clear" w:color="auto" w:fill="auto"/>
            <w:noWrap/>
            <w:vAlign w:val="bottom"/>
            <w:hideMark/>
          </w:tcPr>
          <w:p w14:paraId="36484FB6"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-0.011</w:t>
            </w:r>
          </w:p>
        </w:tc>
      </w:tr>
      <w:tr w:rsidR="009B53D7" w:rsidRPr="00BD3E26" w14:paraId="52760890" w14:textId="77777777" w:rsidTr="00D45BC1">
        <w:trPr>
          <w:trHeight w:val="296"/>
        </w:trPr>
        <w:tc>
          <w:tcPr>
            <w:tcW w:w="3121" w:type="dxa"/>
            <w:shd w:val="clear" w:color="auto" w:fill="auto"/>
            <w:noWrap/>
            <w:vAlign w:val="bottom"/>
            <w:hideMark/>
          </w:tcPr>
          <w:p w14:paraId="5D194DF6"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 xml:space="preserve">Weight </w:t>
            </w:r>
          </w:p>
        </w:tc>
        <w:tc>
          <w:tcPr>
            <w:tcW w:w="1788" w:type="dxa"/>
            <w:shd w:val="clear" w:color="auto" w:fill="auto"/>
            <w:noWrap/>
            <w:vAlign w:val="bottom"/>
            <w:hideMark/>
          </w:tcPr>
          <w:p w14:paraId="2ED0C94F"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183.30</w:t>
            </w:r>
          </w:p>
        </w:tc>
        <w:tc>
          <w:tcPr>
            <w:tcW w:w="1438" w:type="dxa"/>
            <w:shd w:val="clear" w:color="auto" w:fill="auto"/>
            <w:noWrap/>
            <w:vAlign w:val="bottom"/>
            <w:hideMark/>
          </w:tcPr>
          <w:p w14:paraId="1AC7A79B"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182.18</w:t>
            </w:r>
          </w:p>
        </w:tc>
        <w:tc>
          <w:tcPr>
            <w:tcW w:w="1438" w:type="dxa"/>
            <w:shd w:val="clear" w:color="auto" w:fill="auto"/>
            <w:noWrap/>
            <w:vAlign w:val="bottom"/>
            <w:hideMark/>
          </w:tcPr>
          <w:p w14:paraId="787598DB"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0.027</w:t>
            </w:r>
          </w:p>
        </w:tc>
      </w:tr>
      <w:tr w:rsidR="009B53D7" w:rsidRPr="00BD3E26" w14:paraId="0997BB46" w14:textId="77777777" w:rsidTr="00D45BC1">
        <w:trPr>
          <w:trHeight w:val="296"/>
        </w:trPr>
        <w:tc>
          <w:tcPr>
            <w:tcW w:w="3121" w:type="dxa"/>
            <w:shd w:val="clear" w:color="auto" w:fill="auto"/>
            <w:noWrap/>
            <w:vAlign w:val="bottom"/>
            <w:hideMark/>
          </w:tcPr>
          <w:p w14:paraId="153351A9"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MDS UPDRS</w:t>
            </w:r>
          </w:p>
        </w:tc>
        <w:tc>
          <w:tcPr>
            <w:tcW w:w="1788" w:type="dxa"/>
            <w:shd w:val="clear" w:color="auto" w:fill="auto"/>
            <w:noWrap/>
            <w:vAlign w:val="bottom"/>
            <w:hideMark/>
          </w:tcPr>
          <w:p w14:paraId="6CD06F99"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26.62</w:t>
            </w:r>
          </w:p>
        </w:tc>
        <w:tc>
          <w:tcPr>
            <w:tcW w:w="1438" w:type="dxa"/>
            <w:shd w:val="clear" w:color="auto" w:fill="auto"/>
            <w:noWrap/>
            <w:vAlign w:val="bottom"/>
            <w:hideMark/>
          </w:tcPr>
          <w:p w14:paraId="13562B0F"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26.52</w:t>
            </w:r>
          </w:p>
        </w:tc>
        <w:tc>
          <w:tcPr>
            <w:tcW w:w="1438" w:type="dxa"/>
            <w:shd w:val="clear" w:color="auto" w:fill="auto"/>
            <w:noWrap/>
            <w:vAlign w:val="bottom"/>
            <w:hideMark/>
          </w:tcPr>
          <w:p w14:paraId="6BBE9645"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0.006</w:t>
            </w:r>
          </w:p>
        </w:tc>
      </w:tr>
      <w:tr w:rsidR="009B53D7" w:rsidRPr="00BD3E26" w14:paraId="16D74139" w14:textId="77777777" w:rsidTr="00D45BC1">
        <w:trPr>
          <w:trHeight w:val="296"/>
        </w:trPr>
        <w:tc>
          <w:tcPr>
            <w:tcW w:w="3121" w:type="dxa"/>
            <w:shd w:val="clear" w:color="auto" w:fill="auto"/>
            <w:noWrap/>
            <w:vAlign w:val="bottom"/>
            <w:hideMark/>
          </w:tcPr>
          <w:p w14:paraId="1CF8169E"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Male</w:t>
            </w:r>
          </w:p>
        </w:tc>
        <w:tc>
          <w:tcPr>
            <w:tcW w:w="1788" w:type="dxa"/>
            <w:shd w:val="clear" w:color="auto" w:fill="auto"/>
            <w:noWrap/>
            <w:vAlign w:val="bottom"/>
            <w:hideMark/>
          </w:tcPr>
          <w:p w14:paraId="748868FD"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0.70</w:t>
            </w:r>
          </w:p>
        </w:tc>
        <w:tc>
          <w:tcPr>
            <w:tcW w:w="1438" w:type="dxa"/>
            <w:shd w:val="clear" w:color="auto" w:fill="auto"/>
            <w:noWrap/>
            <w:vAlign w:val="bottom"/>
            <w:hideMark/>
          </w:tcPr>
          <w:p w14:paraId="30309797"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0.70</w:t>
            </w:r>
          </w:p>
        </w:tc>
        <w:tc>
          <w:tcPr>
            <w:tcW w:w="1438" w:type="dxa"/>
            <w:shd w:val="clear" w:color="auto" w:fill="auto"/>
            <w:noWrap/>
            <w:vAlign w:val="bottom"/>
            <w:hideMark/>
          </w:tcPr>
          <w:p w14:paraId="53344210"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-0.004</w:t>
            </w:r>
          </w:p>
        </w:tc>
      </w:tr>
      <w:tr w:rsidR="009B53D7" w:rsidRPr="00BD3E26" w14:paraId="37D03E08" w14:textId="77777777" w:rsidTr="00D45BC1">
        <w:trPr>
          <w:trHeight w:val="296"/>
        </w:trPr>
        <w:tc>
          <w:tcPr>
            <w:tcW w:w="3121" w:type="dxa"/>
            <w:shd w:val="clear" w:color="auto" w:fill="auto"/>
            <w:noWrap/>
            <w:vAlign w:val="bottom"/>
            <w:hideMark/>
          </w:tcPr>
          <w:p w14:paraId="5AEDE047" w14:textId="77777777" w:rsidR="009B53D7" w:rsidRPr="00BD3E26" w:rsidRDefault="009B53D7" w:rsidP="00CC2E2E">
            <w:pPr>
              <w:spacing w:after="0" w:line="480" w:lineRule="auto"/>
              <w:rPr>
                <w:rFonts w:ascii="Times New Roman" w:eastAsia="Times New Roman" w:hAnsi="Times New Roman" w:cs="Times New Roman"/>
                <w:sz w:val="24"/>
                <w:szCs w:val="24"/>
              </w:rPr>
            </w:pPr>
          </w:p>
        </w:tc>
        <w:tc>
          <w:tcPr>
            <w:tcW w:w="1788" w:type="dxa"/>
            <w:shd w:val="clear" w:color="auto" w:fill="auto"/>
            <w:noWrap/>
            <w:vAlign w:val="bottom"/>
            <w:hideMark/>
          </w:tcPr>
          <w:p w14:paraId="72C1E2F3" w14:textId="77777777" w:rsidR="009B53D7" w:rsidRPr="00BD3E26" w:rsidRDefault="009B53D7" w:rsidP="00CC2E2E">
            <w:pPr>
              <w:spacing w:after="0" w:line="480" w:lineRule="auto"/>
              <w:rPr>
                <w:rFonts w:ascii="Times New Roman" w:eastAsia="Times New Roman" w:hAnsi="Times New Roman" w:cs="Times New Roman"/>
                <w:sz w:val="24"/>
                <w:szCs w:val="24"/>
              </w:rPr>
            </w:pPr>
          </w:p>
        </w:tc>
        <w:tc>
          <w:tcPr>
            <w:tcW w:w="1438" w:type="dxa"/>
            <w:shd w:val="clear" w:color="auto" w:fill="auto"/>
            <w:noWrap/>
            <w:vAlign w:val="bottom"/>
            <w:hideMark/>
          </w:tcPr>
          <w:p w14:paraId="132C7858" w14:textId="77777777" w:rsidR="009B53D7" w:rsidRPr="00BD3E26" w:rsidRDefault="009B53D7" w:rsidP="00CC2E2E">
            <w:pPr>
              <w:spacing w:after="0" w:line="480" w:lineRule="auto"/>
              <w:rPr>
                <w:rFonts w:ascii="Times New Roman" w:eastAsia="Times New Roman" w:hAnsi="Times New Roman" w:cs="Times New Roman"/>
                <w:sz w:val="24"/>
                <w:szCs w:val="24"/>
              </w:rPr>
            </w:pPr>
          </w:p>
        </w:tc>
        <w:tc>
          <w:tcPr>
            <w:tcW w:w="1438" w:type="dxa"/>
            <w:shd w:val="clear" w:color="auto" w:fill="auto"/>
            <w:noWrap/>
            <w:vAlign w:val="bottom"/>
            <w:hideMark/>
          </w:tcPr>
          <w:p w14:paraId="2C118962" w14:textId="77777777" w:rsidR="009B53D7" w:rsidRPr="00BD3E26" w:rsidRDefault="009B53D7" w:rsidP="00CC2E2E">
            <w:pPr>
              <w:spacing w:after="0" w:line="480" w:lineRule="auto"/>
              <w:rPr>
                <w:rFonts w:ascii="Times New Roman" w:eastAsia="Times New Roman" w:hAnsi="Times New Roman" w:cs="Times New Roman"/>
                <w:sz w:val="24"/>
                <w:szCs w:val="24"/>
              </w:rPr>
            </w:pPr>
          </w:p>
        </w:tc>
      </w:tr>
      <w:tr w:rsidR="009B53D7" w:rsidRPr="00BD3E26" w14:paraId="1522531C" w14:textId="77777777" w:rsidTr="00D45BC1">
        <w:trPr>
          <w:trHeight w:val="296"/>
        </w:trPr>
        <w:tc>
          <w:tcPr>
            <w:tcW w:w="3121" w:type="dxa"/>
            <w:shd w:val="clear" w:color="auto" w:fill="auto"/>
            <w:noWrap/>
            <w:vAlign w:val="bottom"/>
            <w:hideMark/>
          </w:tcPr>
          <w:p w14:paraId="4AE8930B"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Model 3</w:t>
            </w:r>
          </w:p>
        </w:tc>
        <w:tc>
          <w:tcPr>
            <w:tcW w:w="1788" w:type="dxa"/>
            <w:shd w:val="clear" w:color="auto" w:fill="auto"/>
            <w:noWrap/>
            <w:vAlign w:val="bottom"/>
            <w:hideMark/>
          </w:tcPr>
          <w:p w14:paraId="575DFA8A"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p>
        </w:tc>
        <w:tc>
          <w:tcPr>
            <w:tcW w:w="1438" w:type="dxa"/>
            <w:shd w:val="clear" w:color="auto" w:fill="auto"/>
            <w:noWrap/>
            <w:vAlign w:val="bottom"/>
            <w:hideMark/>
          </w:tcPr>
          <w:p w14:paraId="4B616F67" w14:textId="77777777" w:rsidR="009B53D7" w:rsidRPr="00BD3E26" w:rsidRDefault="009B53D7" w:rsidP="00CC2E2E">
            <w:pPr>
              <w:spacing w:after="0" w:line="480" w:lineRule="auto"/>
              <w:rPr>
                <w:rFonts w:ascii="Times New Roman" w:eastAsia="Times New Roman" w:hAnsi="Times New Roman" w:cs="Times New Roman"/>
                <w:sz w:val="24"/>
                <w:szCs w:val="24"/>
              </w:rPr>
            </w:pPr>
          </w:p>
        </w:tc>
        <w:tc>
          <w:tcPr>
            <w:tcW w:w="1438" w:type="dxa"/>
            <w:shd w:val="clear" w:color="auto" w:fill="auto"/>
            <w:noWrap/>
            <w:vAlign w:val="bottom"/>
            <w:hideMark/>
          </w:tcPr>
          <w:p w14:paraId="73FB9224" w14:textId="77777777" w:rsidR="009B53D7" w:rsidRPr="00BD3E26" w:rsidRDefault="009B53D7" w:rsidP="00CC2E2E">
            <w:pPr>
              <w:spacing w:after="0" w:line="480" w:lineRule="auto"/>
              <w:rPr>
                <w:rFonts w:ascii="Times New Roman" w:eastAsia="Times New Roman" w:hAnsi="Times New Roman" w:cs="Times New Roman"/>
                <w:sz w:val="24"/>
                <w:szCs w:val="24"/>
              </w:rPr>
            </w:pPr>
          </w:p>
        </w:tc>
      </w:tr>
      <w:tr w:rsidR="009B53D7" w:rsidRPr="00BD3E26" w14:paraId="53546D35" w14:textId="77777777" w:rsidTr="00D45BC1">
        <w:trPr>
          <w:trHeight w:val="296"/>
        </w:trPr>
        <w:tc>
          <w:tcPr>
            <w:tcW w:w="3121" w:type="dxa"/>
            <w:shd w:val="clear" w:color="auto" w:fill="auto"/>
            <w:noWrap/>
            <w:vAlign w:val="bottom"/>
            <w:hideMark/>
          </w:tcPr>
          <w:p w14:paraId="60DB1F87"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 xml:space="preserve">Age at disease onset </w:t>
            </w:r>
          </w:p>
        </w:tc>
        <w:tc>
          <w:tcPr>
            <w:tcW w:w="1788" w:type="dxa"/>
            <w:shd w:val="clear" w:color="auto" w:fill="auto"/>
            <w:noWrap/>
            <w:vAlign w:val="bottom"/>
            <w:hideMark/>
          </w:tcPr>
          <w:p w14:paraId="51556D63"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64.86</w:t>
            </w:r>
          </w:p>
        </w:tc>
        <w:tc>
          <w:tcPr>
            <w:tcW w:w="1438" w:type="dxa"/>
            <w:shd w:val="clear" w:color="auto" w:fill="auto"/>
            <w:noWrap/>
            <w:vAlign w:val="bottom"/>
            <w:hideMark/>
          </w:tcPr>
          <w:p w14:paraId="555245A8"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63.95</w:t>
            </w:r>
          </w:p>
        </w:tc>
        <w:tc>
          <w:tcPr>
            <w:tcW w:w="1438" w:type="dxa"/>
            <w:shd w:val="clear" w:color="auto" w:fill="auto"/>
            <w:noWrap/>
            <w:vAlign w:val="bottom"/>
            <w:hideMark/>
          </w:tcPr>
          <w:p w14:paraId="50471DF0"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0.08</w:t>
            </w:r>
          </w:p>
        </w:tc>
      </w:tr>
      <w:tr w:rsidR="009B53D7" w:rsidRPr="00BD3E26" w14:paraId="52955988" w14:textId="77777777" w:rsidTr="00D45BC1">
        <w:trPr>
          <w:trHeight w:val="296"/>
        </w:trPr>
        <w:tc>
          <w:tcPr>
            <w:tcW w:w="3121" w:type="dxa"/>
            <w:shd w:val="clear" w:color="auto" w:fill="auto"/>
            <w:noWrap/>
            <w:vAlign w:val="bottom"/>
            <w:hideMark/>
          </w:tcPr>
          <w:p w14:paraId="68EE6F1B"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lastRenderedPageBreak/>
              <w:t xml:space="preserve">Weight </w:t>
            </w:r>
          </w:p>
        </w:tc>
        <w:tc>
          <w:tcPr>
            <w:tcW w:w="1788" w:type="dxa"/>
            <w:shd w:val="clear" w:color="auto" w:fill="auto"/>
            <w:noWrap/>
            <w:vAlign w:val="bottom"/>
            <w:hideMark/>
          </w:tcPr>
          <w:p w14:paraId="1E294B62"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180.45</w:t>
            </w:r>
          </w:p>
        </w:tc>
        <w:tc>
          <w:tcPr>
            <w:tcW w:w="1438" w:type="dxa"/>
            <w:shd w:val="clear" w:color="auto" w:fill="auto"/>
            <w:noWrap/>
            <w:vAlign w:val="bottom"/>
            <w:hideMark/>
          </w:tcPr>
          <w:p w14:paraId="313DA9A5"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179.87</w:t>
            </w:r>
          </w:p>
        </w:tc>
        <w:tc>
          <w:tcPr>
            <w:tcW w:w="1438" w:type="dxa"/>
            <w:shd w:val="clear" w:color="auto" w:fill="auto"/>
            <w:noWrap/>
            <w:vAlign w:val="bottom"/>
            <w:hideMark/>
          </w:tcPr>
          <w:p w14:paraId="25A1FDE1"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0.014</w:t>
            </w:r>
          </w:p>
        </w:tc>
      </w:tr>
      <w:tr w:rsidR="009B53D7" w:rsidRPr="00BD3E26" w14:paraId="4431DE48" w14:textId="77777777" w:rsidTr="00D45BC1">
        <w:trPr>
          <w:trHeight w:val="296"/>
        </w:trPr>
        <w:tc>
          <w:tcPr>
            <w:tcW w:w="3121" w:type="dxa"/>
            <w:shd w:val="clear" w:color="auto" w:fill="auto"/>
            <w:noWrap/>
            <w:vAlign w:val="bottom"/>
            <w:hideMark/>
          </w:tcPr>
          <w:p w14:paraId="4698AA78"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MDS UPDRS</w:t>
            </w:r>
          </w:p>
        </w:tc>
        <w:tc>
          <w:tcPr>
            <w:tcW w:w="1788" w:type="dxa"/>
            <w:shd w:val="clear" w:color="auto" w:fill="auto"/>
            <w:noWrap/>
            <w:vAlign w:val="bottom"/>
            <w:hideMark/>
          </w:tcPr>
          <w:p w14:paraId="69D0A54B"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26.92</w:t>
            </w:r>
          </w:p>
        </w:tc>
        <w:tc>
          <w:tcPr>
            <w:tcW w:w="1438" w:type="dxa"/>
            <w:shd w:val="clear" w:color="auto" w:fill="auto"/>
            <w:noWrap/>
            <w:vAlign w:val="bottom"/>
            <w:hideMark/>
          </w:tcPr>
          <w:p w14:paraId="04621713"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27.21</w:t>
            </w:r>
          </w:p>
        </w:tc>
        <w:tc>
          <w:tcPr>
            <w:tcW w:w="1438" w:type="dxa"/>
            <w:shd w:val="clear" w:color="auto" w:fill="auto"/>
            <w:noWrap/>
            <w:vAlign w:val="bottom"/>
            <w:hideMark/>
          </w:tcPr>
          <w:p w14:paraId="421BEBCD"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-0.017</w:t>
            </w:r>
          </w:p>
        </w:tc>
      </w:tr>
      <w:tr w:rsidR="009B53D7" w:rsidRPr="00BD3E26" w14:paraId="2BBE7993" w14:textId="77777777" w:rsidTr="00D45BC1">
        <w:trPr>
          <w:trHeight w:val="296"/>
        </w:trPr>
        <w:tc>
          <w:tcPr>
            <w:tcW w:w="3121" w:type="dxa"/>
            <w:shd w:val="clear" w:color="auto" w:fill="auto"/>
            <w:noWrap/>
            <w:vAlign w:val="bottom"/>
            <w:hideMark/>
          </w:tcPr>
          <w:p w14:paraId="48293C95"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Male</w:t>
            </w:r>
          </w:p>
        </w:tc>
        <w:tc>
          <w:tcPr>
            <w:tcW w:w="1788" w:type="dxa"/>
            <w:shd w:val="clear" w:color="auto" w:fill="auto"/>
            <w:noWrap/>
            <w:vAlign w:val="bottom"/>
            <w:hideMark/>
          </w:tcPr>
          <w:p w14:paraId="71060475"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0.69</w:t>
            </w:r>
          </w:p>
        </w:tc>
        <w:tc>
          <w:tcPr>
            <w:tcW w:w="1438" w:type="dxa"/>
            <w:shd w:val="clear" w:color="auto" w:fill="auto"/>
            <w:noWrap/>
            <w:vAlign w:val="bottom"/>
            <w:hideMark/>
          </w:tcPr>
          <w:p w14:paraId="0EE5DEAA"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0.70</w:t>
            </w:r>
          </w:p>
        </w:tc>
        <w:tc>
          <w:tcPr>
            <w:tcW w:w="1438" w:type="dxa"/>
            <w:shd w:val="clear" w:color="auto" w:fill="auto"/>
            <w:noWrap/>
            <w:vAlign w:val="bottom"/>
            <w:hideMark/>
          </w:tcPr>
          <w:p w14:paraId="239BD170"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-0.025</w:t>
            </w:r>
          </w:p>
        </w:tc>
      </w:tr>
      <w:tr w:rsidR="009B53D7" w:rsidRPr="00BD3E26" w14:paraId="45E5658C" w14:textId="77777777" w:rsidTr="00D45BC1">
        <w:trPr>
          <w:trHeight w:val="296"/>
        </w:trPr>
        <w:tc>
          <w:tcPr>
            <w:tcW w:w="3121" w:type="dxa"/>
            <w:shd w:val="clear" w:color="auto" w:fill="auto"/>
            <w:noWrap/>
            <w:vAlign w:val="bottom"/>
            <w:hideMark/>
          </w:tcPr>
          <w:p w14:paraId="454AC59B"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 xml:space="preserve">Depression </w:t>
            </w:r>
          </w:p>
        </w:tc>
        <w:tc>
          <w:tcPr>
            <w:tcW w:w="1788" w:type="dxa"/>
            <w:shd w:val="clear" w:color="auto" w:fill="auto"/>
            <w:noWrap/>
            <w:vAlign w:val="bottom"/>
            <w:hideMark/>
          </w:tcPr>
          <w:p w14:paraId="608BB6E7"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0.33</w:t>
            </w:r>
          </w:p>
        </w:tc>
        <w:tc>
          <w:tcPr>
            <w:tcW w:w="1438" w:type="dxa"/>
            <w:shd w:val="clear" w:color="auto" w:fill="auto"/>
            <w:noWrap/>
            <w:vAlign w:val="bottom"/>
            <w:hideMark/>
          </w:tcPr>
          <w:p w14:paraId="6AF4B5D3"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0.30</w:t>
            </w:r>
          </w:p>
        </w:tc>
        <w:tc>
          <w:tcPr>
            <w:tcW w:w="1438" w:type="dxa"/>
            <w:shd w:val="clear" w:color="auto" w:fill="auto"/>
            <w:noWrap/>
            <w:vAlign w:val="bottom"/>
            <w:hideMark/>
          </w:tcPr>
          <w:p w14:paraId="48F04DCC"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0.06</w:t>
            </w:r>
          </w:p>
        </w:tc>
      </w:tr>
      <w:tr w:rsidR="009B53D7" w:rsidRPr="00BD3E26" w14:paraId="1C38F539" w14:textId="77777777" w:rsidTr="00D45BC1">
        <w:trPr>
          <w:trHeight w:val="296"/>
        </w:trPr>
        <w:tc>
          <w:tcPr>
            <w:tcW w:w="3121" w:type="dxa"/>
            <w:shd w:val="clear" w:color="auto" w:fill="auto"/>
            <w:noWrap/>
            <w:vAlign w:val="bottom"/>
            <w:hideMark/>
          </w:tcPr>
          <w:p w14:paraId="0C758EEB"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 xml:space="preserve">Anxiety </w:t>
            </w:r>
          </w:p>
        </w:tc>
        <w:tc>
          <w:tcPr>
            <w:tcW w:w="1788" w:type="dxa"/>
            <w:shd w:val="clear" w:color="auto" w:fill="auto"/>
            <w:noWrap/>
            <w:vAlign w:val="bottom"/>
            <w:hideMark/>
          </w:tcPr>
          <w:p w14:paraId="14F885CC"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0.38</w:t>
            </w:r>
          </w:p>
        </w:tc>
        <w:tc>
          <w:tcPr>
            <w:tcW w:w="1438" w:type="dxa"/>
            <w:shd w:val="clear" w:color="auto" w:fill="auto"/>
            <w:noWrap/>
            <w:vAlign w:val="bottom"/>
            <w:hideMark/>
          </w:tcPr>
          <w:p w14:paraId="1D318DF9"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0.38</w:t>
            </w:r>
          </w:p>
        </w:tc>
        <w:tc>
          <w:tcPr>
            <w:tcW w:w="1438" w:type="dxa"/>
            <w:shd w:val="clear" w:color="auto" w:fill="auto"/>
            <w:noWrap/>
            <w:vAlign w:val="bottom"/>
            <w:hideMark/>
          </w:tcPr>
          <w:p w14:paraId="1120390A"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-0.007</w:t>
            </w:r>
          </w:p>
        </w:tc>
      </w:tr>
      <w:tr w:rsidR="009B53D7" w:rsidRPr="00BD3E26" w14:paraId="256F238E" w14:textId="77777777" w:rsidTr="00D45BC1">
        <w:trPr>
          <w:trHeight w:val="296"/>
        </w:trPr>
        <w:tc>
          <w:tcPr>
            <w:tcW w:w="3121" w:type="dxa"/>
            <w:shd w:val="clear" w:color="auto" w:fill="auto"/>
            <w:noWrap/>
            <w:vAlign w:val="bottom"/>
            <w:hideMark/>
          </w:tcPr>
          <w:p w14:paraId="50245536"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Dementia</w:t>
            </w:r>
          </w:p>
        </w:tc>
        <w:tc>
          <w:tcPr>
            <w:tcW w:w="1788" w:type="dxa"/>
            <w:shd w:val="clear" w:color="auto" w:fill="auto"/>
            <w:noWrap/>
            <w:vAlign w:val="bottom"/>
            <w:hideMark/>
          </w:tcPr>
          <w:p w14:paraId="1CE5D9BA"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0.34</w:t>
            </w:r>
          </w:p>
        </w:tc>
        <w:tc>
          <w:tcPr>
            <w:tcW w:w="1438" w:type="dxa"/>
            <w:shd w:val="clear" w:color="auto" w:fill="auto"/>
            <w:noWrap/>
            <w:vAlign w:val="bottom"/>
            <w:hideMark/>
          </w:tcPr>
          <w:p w14:paraId="38DE77A2"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0.34</w:t>
            </w:r>
          </w:p>
        </w:tc>
        <w:tc>
          <w:tcPr>
            <w:tcW w:w="1438" w:type="dxa"/>
            <w:shd w:val="clear" w:color="auto" w:fill="auto"/>
            <w:noWrap/>
            <w:vAlign w:val="bottom"/>
            <w:hideMark/>
          </w:tcPr>
          <w:p w14:paraId="49A04B22"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0.003</w:t>
            </w:r>
          </w:p>
        </w:tc>
      </w:tr>
      <w:tr w:rsidR="009B53D7" w:rsidRPr="00BD3E26" w14:paraId="1506EA79" w14:textId="77777777" w:rsidTr="00D45BC1">
        <w:trPr>
          <w:trHeight w:val="296"/>
        </w:trPr>
        <w:tc>
          <w:tcPr>
            <w:tcW w:w="3121" w:type="dxa"/>
            <w:shd w:val="clear" w:color="auto" w:fill="auto"/>
            <w:noWrap/>
            <w:vAlign w:val="bottom"/>
            <w:hideMark/>
          </w:tcPr>
          <w:p w14:paraId="33B3CE03"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gastrointestinal</w:t>
            </w:r>
          </w:p>
        </w:tc>
        <w:tc>
          <w:tcPr>
            <w:tcW w:w="1788" w:type="dxa"/>
            <w:shd w:val="clear" w:color="auto" w:fill="auto"/>
            <w:noWrap/>
            <w:vAlign w:val="bottom"/>
            <w:hideMark/>
          </w:tcPr>
          <w:p w14:paraId="13F31140"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0.45</w:t>
            </w:r>
          </w:p>
        </w:tc>
        <w:tc>
          <w:tcPr>
            <w:tcW w:w="1438" w:type="dxa"/>
            <w:shd w:val="clear" w:color="auto" w:fill="auto"/>
            <w:noWrap/>
            <w:vAlign w:val="bottom"/>
            <w:hideMark/>
          </w:tcPr>
          <w:p w14:paraId="6EE974A7"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0.47</w:t>
            </w:r>
          </w:p>
        </w:tc>
        <w:tc>
          <w:tcPr>
            <w:tcW w:w="1438" w:type="dxa"/>
            <w:shd w:val="clear" w:color="auto" w:fill="auto"/>
            <w:noWrap/>
            <w:vAlign w:val="bottom"/>
            <w:hideMark/>
          </w:tcPr>
          <w:p w14:paraId="0D2D118C"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-0.03</w:t>
            </w:r>
          </w:p>
        </w:tc>
      </w:tr>
      <w:tr w:rsidR="009B53D7" w:rsidRPr="00BD3E26" w14:paraId="68ECF6B8" w14:textId="77777777" w:rsidTr="00D45BC1">
        <w:trPr>
          <w:trHeight w:val="296"/>
        </w:trPr>
        <w:tc>
          <w:tcPr>
            <w:tcW w:w="3121" w:type="dxa"/>
            <w:shd w:val="clear" w:color="auto" w:fill="auto"/>
            <w:noWrap/>
            <w:vAlign w:val="bottom"/>
            <w:hideMark/>
          </w:tcPr>
          <w:p w14:paraId="455DE9CA"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cardiovascular</w:t>
            </w:r>
          </w:p>
        </w:tc>
        <w:tc>
          <w:tcPr>
            <w:tcW w:w="1788" w:type="dxa"/>
            <w:shd w:val="clear" w:color="auto" w:fill="auto"/>
            <w:noWrap/>
            <w:vAlign w:val="bottom"/>
            <w:hideMark/>
          </w:tcPr>
          <w:p w14:paraId="3EDECF50"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0.27</w:t>
            </w:r>
          </w:p>
        </w:tc>
        <w:tc>
          <w:tcPr>
            <w:tcW w:w="1438" w:type="dxa"/>
            <w:shd w:val="clear" w:color="auto" w:fill="auto"/>
            <w:noWrap/>
            <w:vAlign w:val="bottom"/>
            <w:hideMark/>
          </w:tcPr>
          <w:p w14:paraId="04C3FD3E"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0.25</w:t>
            </w:r>
          </w:p>
        </w:tc>
        <w:tc>
          <w:tcPr>
            <w:tcW w:w="1438" w:type="dxa"/>
            <w:shd w:val="clear" w:color="auto" w:fill="auto"/>
            <w:noWrap/>
            <w:vAlign w:val="bottom"/>
            <w:hideMark/>
          </w:tcPr>
          <w:p w14:paraId="6DD6EA72"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0.056</w:t>
            </w:r>
          </w:p>
        </w:tc>
      </w:tr>
      <w:tr w:rsidR="009B53D7" w:rsidRPr="00BD3E26" w14:paraId="223A1E5A" w14:textId="77777777" w:rsidTr="00D45BC1">
        <w:trPr>
          <w:trHeight w:val="296"/>
        </w:trPr>
        <w:tc>
          <w:tcPr>
            <w:tcW w:w="3121" w:type="dxa"/>
            <w:shd w:val="clear" w:color="auto" w:fill="auto"/>
            <w:noWrap/>
            <w:vAlign w:val="bottom"/>
            <w:hideMark/>
          </w:tcPr>
          <w:p w14:paraId="65C1F2D8"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 xml:space="preserve">thermoregulatory </w:t>
            </w:r>
          </w:p>
        </w:tc>
        <w:tc>
          <w:tcPr>
            <w:tcW w:w="1788" w:type="dxa"/>
            <w:shd w:val="clear" w:color="auto" w:fill="auto"/>
            <w:noWrap/>
            <w:vAlign w:val="bottom"/>
            <w:hideMark/>
          </w:tcPr>
          <w:p w14:paraId="5C8E27ED"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0.08</w:t>
            </w:r>
          </w:p>
        </w:tc>
        <w:tc>
          <w:tcPr>
            <w:tcW w:w="1438" w:type="dxa"/>
            <w:shd w:val="clear" w:color="auto" w:fill="auto"/>
            <w:noWrap/>
            <w:vAlign w:val="bottom"/>
            <w:hideMark/>
          </w:tcPr>
          <w:p w14:paraId="549E98AC"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0.09</w:t>
            </w:r>
          </w:p>
        </w:tc>
        <w:tc>
          <w:tcPr>
            <w:tcW w:w="1438" w:type="dxa"/>
            <w:shd w:val="clear" w:color="auto" w:fill="auto"/>
            <w:noWrap/>
            <w:vAlign w:val="bottom"/>
            <w:hideMark/>
          </w:tcPr>
          <w:p w14:paraId="6353D5B3"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-0.027</w:t>
            </w:r>
          </w:p>
        </w:tc>
      </w:tr>
      <w:tr w:rsidR="009B53D7" w:rsidRPr="00BD3E26" w14:paraId="320F52F2" w14:textId="77777777" w:rsidTr="00D45BC1">
        <w:trPr>
          <w:trHeight w:val="296"/>
        </w:trPr>
        <w:tc>
          <w:tcPr>
            <w:tcW w:w="3121" w:type="dxa"/>
            <w:shd w:val="clear" w:color="auto" w:fill="auto"/>
            <w:noWrap/>
            <w:vAlign w:val="bottom"/>
            <w:hideMark/>
          </w:tcPr>
          <w:p w14:paraId="2AAB32DF"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urinary</w:t>
            </w:r>
          </w:p>
        </w:tc>
        <w:tc>
          <w:tcPr>
            <w:tcW w:w="1788" w:type="dxa"/>
            <w:shd w:val="clear" w:color="auto" w:fill="auto"/>
            <w:noWrap/>
            <w:vAlign w:val="bottom"/>
            <w:hideMark/>
          </w:tcPr>
          <w:p w14:paraId="04CB5621"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0.19</w:t>
            </w:r>
          </w:p>
        </w:tc>
        <w:tc>
          <w:tcPr>
            <w:tcW w:w="1438" w:type="dxa"/>
            <w:shd w:val="clear" w:color="auto" w:fill="auto"/>
            <w:noWrap/>
            <w:vAlign w:val="bottom"/>
            <w:hideMark/>
          </w:tcPr>
          <w:p w14:paraId="07B3DD8C"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0.19</w:t>
            </w:r>
          </w:p>
        </w:tc>
        <w:tc>
          <w:tcPr>
            <w:tcW w:w="1438" w:type="dxa"/>
            <w:shd w:val="clear" w:color="auto" w:fill="auto"/>
            <w:noWrap/>
            <w:vAlign w:val="bottom"/>
            <w:hideMark/>
          </w:tcPr>
          <w:p w14:paraId="1A47081F"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0.013</w:t>
            </w:r>
          </w:p>
        </w:tc>
      </w:tr>
      <w:tr w:rsidR="009B53D7" w:rsidRPr="00BD3E26" w14:paraId="1F8D323F" w14:textId="77777777" w:rsidTr="00D45BC1">
        <w:trPr>
          <w:trHeight w:val="296"/>
        </w:trPr>
        <w:tc>
          <w:tcPr>
            <w:tcW w:w="3121" w:type="dxa"/>
            <w:shd w:val="clear" w:color="auto" w:fill="auto"/>
            <w:noWrap/>
            <w:vAlign w:val="bottom"/>
            <w:hideMark/>
          </w:tcPr>
          <w:p w14:paraId="10EDE4E9"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falls1episodeperyear</w:t>
            </w:r>
          </w:p>
        </w:tc>
        <w:tc>
          <w:tcPr>
            <w:tcW w:w="1788" w:type="dxa"/>
            <w:shd w:val="clear" w:color="auto" w:fill="auto"/>
            <w:noWrap/>
            <w:vAlign w:val="bottom"/>
            <w:hideMark/>
          </w:tcPr>
          <w:p w14:paraId="11736DB4"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0.35</w:t>
            </w:r>
          </w:p>
        </w:tc>
        <w:tc>
          <w:tcPr>
            <w:tcW w:w="1438" w:type="dxa"/>
            <w:shd w:val="clear" w:color="auto" w:fill="auto"/>
            <w:noWrap/>
            <w:vAlign w:val="bottom"/>
            <w:hideMark/>
          </w:tcPr>
          <w:p w14:paraId="14444891"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0.38</w:t>
            </w:r>
          </w:p>
        </w:tc>
        <w:tc>
          <w:tcPr>
            <w:tcW w:w="1438" w:type="dxa"/>
            <w:shd w:val="clear" w:color="auto" w:fill="auto"/>
            <w:noWrap/>
            <w:vAlign w:val="bottom"/>
            <w:hideMark/>
          </w:tcPr>
          <w:p w14:paraId="1AA0A2AB"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-0.062</w:t>
            </w:r>
          </w:p>
        </w:tc>
      </w:tr>
      <w:tr w:rsidR="009B53D7" w:rsidRPr="00BD3E26" w14:paraId="204DBBDA" w14:textId="77777777" w:rsidTr="00D45BC1">
        <w:trPr>
          <w:trHeight w:val="296"/>
        </w:trPr>
        <w:tc>
          <w:tcPr>
            <w:tcW w:w="3121" w:type="dxa"/>
            <w:shd w:val="clear" w:color="auto" w:fill="auto"/>
            <w:noWrap/>
            <w:vAlign w:val="bottom"/>
            <w:hideMark/>
          </w:tcPr>
          <w:p w14:paraId="06CD503D"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sexual</w:t>
            </w:r>
          </w:p>
        </w:tc>
        <w:tc>
          <w:tcPr>
            <w:tcW w:w="1788" w:type="dxa"/>
            <w:shd w:val="clear" w:color="auto" w:fill="auto"/>
            <w:noWrap/>
            <w:vAlign w:val="bottom"/>
            <w:hideMark/>
          </w:tcPr>
          <w:p w14:paraId="0D8BF43A"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0.08</w:t>
            </w:r>
          </w:p>
        </w:tc>
        <w:tc>
          <w:tcPr>
            <w:tcW w:w="1438" w:type="dxa"/>
            <w:shd w:val="clear" w:color="auto" w:fill="auto"/>
            <w:noWrap/>
            <w:vAlign w:val="bottom"/>
            <w:hideMark/>
          </w:tcPr>
          <w:p w14:paraId="4D251429"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0.11</w:t>
            </w:r>
          </w:p>
        </w:tc>
        <w:tc>
          <w:tcPr>
            <w:tcW w:w="1438" w:type="dxa"/>
            <w:shd w:val="clear" w:color="auto" w:fill="auto"/>
            <w:noWrap/>
            <w:vAlign w:val="bottom"/>
            <w:hideMark/>
          </w:tcPr>
          <w:p w14:paraId="2283407D"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-0.092</w:t>
            </w:r>
          </w:p>
        </w:tc>
      </w:tr>
      <w:tr w:rsidR="009B53D7" w:rsidRPr="00BD3E26" w14:paraId="401DA7D8" w14:textId="77777777" w:rsidTr="00D45BC1">
        <w:trPr>
          <w:trHeight w:val="296"/>
        </w:trPr>
        <w:tc>
          <w:tcPr>
            <w:tcW w:w="3121" w:type="dxa"/>
            <w:shd w:val="clear" w:color="auto" w:fill="auto"/>
            <w:noWrap/>
            <w:vAlign w:val="bottom"/>
            <w:hideMark/>
          </w:tcPr>
          <w:p w14:paraId="612C55C3"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MCI</w:t>
            </w:r>
          </w:p>
        </w:tc>
        <w:tc>
          <w:tcPr>
            <w:tcW w:w="1788" w:type="dxa"/>
            <w:shd w:val="clear" w:color="auto" w:fill="auto"/>
            <w:noWrap/>
            <w:vAlign w:val="bottom"/>
            <w:hideMark/>
          </w:tcPr>
          <w:p w14:paraId="7CE30330"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0.30</w:t>
            </w:r>
          </w:p>
        </w:tc>
        <w:tc>
          <w:tcPr>
            <w:tcW w:w="1438" w:type="dxa"/>
            <w:shd w:val="clear" w:color="auto" w:fill="auto"/>
            <w:noWrap/>
            <w:vAlign w:val="bottom"/>
            <w:hideMark/>
          </w:tcPr>
          <w:p w14:paraId="2BFE311D"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0.27</w:t>
            </w:r>
          </w:p>
        </w:tc>
        <w:tc>
          <w:tcPr>
            <w:tcW w:w="1438" w:type="dxa"/>
            <w:shd w:val="clear" w:color="auto" w:fill="auto"/>
            <w:noWrap/>
            <w:vAlign w:val="bottom"/>
            <w:hideMark/>
          </w:tcPr>
          <w:p w14:paraId="51AEF5EF"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0.075</w:t>
            </w:r>
          </w:p>
        </w:tc>
      </w:tr>
      <w:tr w:rsidR="009B53D7" w:rsidRPr="00BD3E26" w14:paraId="6E117C29" w14:textId="77777777" w:rsidTr="00D45BC1">
        <w:trPr>
          <w:trHeight w:val="296"/>
        </w:trPr>
        <w:tc>
          <w:tcPr>
            <w:tcW w:w="3121" w:type="dxa"/>
            <w:shd w:val="clear" w:color="auto" w:fill="auto"/>
            <w:noWrap/>
            <w:vAlign w:val="bottom"/>
            <w:hideMark/>
          </w:tcPr>
          <w:p w14:paraId="4CBCD106" w14:textId="77777777" w:rsidR="009B53D7" w:rsidRPr="00BD3E26" w:rsidRDefault="009B53D7" w:rsidP="00CC2E2E">
            <w:pPr>
              <w:spacing w:after="0" w:line="480" w:lineRule="auto"/>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 xml:space="preserve">MCI-unknown </w:t>
            </w:r>
          </w:p>
        </w:tc>
        <w:tc>
          <w:tcPr>
            <w:tcW w:w="1788" w:type="dxa"/>
            <w:shd w:val="clear" w:color="auto" w:fill="auto"/>
            <w:noWrap/>
            <w:vAlign w:val="bottom"/>
            <w:hideMark/>
          </w:tcPr>
          <w:p w14:paraId="02ABBEEE"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0.41</w:t>
            </w:r>
          </w:p>
        </w:tc>
        <w:tc>
          <w:tcPr>
            <w:tcW w:w="1438" w:type="dxa"/>
            <w:shd w:val="clear" w:color="auto" w:fill="auto"/>
            <w:noWrap/>
            <w:vAlign w:val="bottom"/>
            <w:hideMark/>
          </w:tcPr>
          <w:p w14:paraId="11C86B95"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0.44</w:t>
            </w:r>
          </w:p>
        </w:tc>
        <w:tc>
          <w:tcPr>
            <w:tcW w:w="1438" w:type="dxa"/>
            <w:shd w:val="clear" w:color="auto" w:fill="auto"/>
            <w:noWrap/>
            <w:vAlign w:val="bottom"/>
            <w:hideMark/>
          </w:tcPr>
          <w:p w14:paraId="50D3F2AB" w14:textId="77777777" w:rsidR="009B53D7" w:rsidRPr="00BD3E26" w:rsidRDefault="009B53D7" w:rsidP="00CC2E2E">
            <w:pPr>
              <w:spacing w:after="0" w:line="480" w:lineRule="auto"/>
              <w:jc w:val="right"/>
              <w:rPr>
                <w:rFonts w:ascii="Times New Roman" w:eastAsia="Times New Roman" w:hAnsi="Times New Roman" w:cs="Times New Roman"/>
                <w:color w:val="000000"/>
                <w:sz w:val="24"/>
                <w:szCs w:val="24"/>
              </w:rPr>
            </w:pPr>
            <w:r w:rsidRPr="00BD3E26">
              <w:rPr>
                <w:rFonts w:ascii="Times New Roman" w:eastAsia="Times New Roman" w:hAnsi="Times New Roman" w:cs="Times New Roman"/>
                <w:color w:val="000000"/>
                <w:sz w:val="24"/>
                <w:szCs w:val="24"/>
              </w:rPr>
              <w:t>-0.062</w:t>
            </w:r>
          </w:p>
        </w:tc>
      </w:tr>
    </w:tbl>
    <w:p w14:paraId="2FD51C45" w14:textId="77777777" w:rsidR="00F21969" w:rsidRPr="00BD3E26" w:rsidRDefault="009B53D7" w:rsidP="00F21969">
      <w:pPr>
        <w:spacing w:line="480" w:lineRule="auto"/>
        <w:rPr>
          <w:rFonts w:ascii="Times New Roman" w:hAnsi="Times New Roman" w:cs="Times New Roman"/>
          <w:sz w:val="24"/>
          <w:szCs w:val="24"/>
        </w:rPr>
      </w:pPr>
      <w:r w:rsidRPr="00BD3E26">
        <w:rPr>
          <w:rFonts w:ascii="Times New Roman" w:hAnsi="Times New Roman" w:cs="Times New Roman"/>
          <w:sz w:val="24"/>
          <w:szCs w:val="24"/>
        </w:rPr>
        <w:t xml:space="preserve">*SD: standardized differences </w:t>
      </w:r>
    </w:p>
    <w:p w14:paraId="1DAA41C9" w14:textId="77777777" w:rsidR="00F75ADF" w:rsidRPr="00BD3E26" w:rsidRDefault="00F75ADF" w:rsidP="00F21969">
      <w:pPr>
        <w:spacing w:line="480" w:lineRule="auto"/>
        <w:rPr>
          <w:rFonts w:ascii="Times New Roman" w:hAnsi="Times New Roman" w:cs="Times New Roman"/>
          <w:b/>
          <w:sz w:val="24"/>
          <w:szCs w:val="24"/>
        </w:rPr>
      </w:pPr>
      <w:r w:rsidRPr="00BD3E26">
        <w:rPr>
          <w:rFonts w:ascii="Times New Roman" w:hAnsi="Times New Roman" w:cs="Times New Roman"/>
          <w:b/>
          <w:sz w:val="24"/>
          <w:szCs w:val="24"/>
        </w:rPr>
        <w:t>Table: Prevalence of cancer subtypes in Parkinson’s disease in our study sample</w:t>
      </w:r>
    </w:p>
    <w:tbl>
      <w:tblPr>
        <w:tblStyle w:val="TableGridLight1"/>
        <w:tblW w:w="719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685"/>
        <w:gridCol w:w="3510"/>
      </w:tblGrid>
      <w:tr w:rsidR="00F75ADF" w:rsidRPr="00BD3E26" w14:paraId="555AF487"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27AA70C5" w14:textId="77777777" w:rsidR="00F75ADF" w:rsidRPr="00BD3E26" w:rsidRDefault="00F75ADF">
            <w:pPr>
              <w:pStyle w:val="EndNoteBibliography"/>
              <w:ind w:left="720" w:hanging="720"/>
              <w:rPr>
                <w:rFonts w:ascii="Times New Roman" w:hAnsi="Times New Roman" w:cs="Times New Roman"/>
                <w:b/>
                <w:sz w:val="24"/>
                <w:szCs w:val="24"/>
              </w:rPr>
            </w:pPr>
            <w:r w:rsidRPr="00BD3E26">
              <w:rPr>
                <w:rFonts w:ascii="Times New Roman" w:hAnsi="Times New Roman" w:cs="Times New Roman"/>
                <w:b/>
                <w:sz w:val="24"/>
                <w:szCs w:val="24"/>
              </w:rPr>
              <w:t xml:space="preserve">Cancer type </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50B50A9C" w14:textId="77777777" w:rsidR="00F75ADF" w:rsidRPr="00BD3E26" w:rsidRDefault="00F75ADF">
            <w:pPr>
              <w:pStyle w:val="EndNoteBibliography"/>
              <w:ind w:left="720" w:hanging="720"/>
              <w:rPr>
                <w:rFonts w:ascii="Times New Roman" w:hAnsi="Times New Roman" w:cs="Times New Roman"/>
                <w:b/>
                <w:sz w:val="24"/>
                <w:szCs w:val="24"/>
              </w:rPr>
            </w:pPr>
            <w:r w:rsidRPr="00BD3E26">
              <w:rPr>
                <w:rFonts w:ascii="Times New Roman" w:hAnsi="Times New Roman" w:cs="Times New Roman"/>
                <w:b/>
                <w:sz w:val="24"/>
                <w:szCs w:val="24"/>
              </w:rPr>
              <w:t>Prevalence</w:t>
            </w:r>
          </w:p>
          <w:p w14:paraId="4C64E2BB" w14:textId="77777777" w:rsidR="00F75ADF" w:rsidRPr="00BD3E26" w:rsidRDefault="00F75ADF">
            <w:pPr>
              <w:pStyle w:val="EndNoteBibliography"/>
              <w:ind w:left="720" w:hanging="720"/>
              <w:rPr>
                <w:rFonts w:ascii="Times New Roman" w:hAnsi="Times New Roman" w:cs="Times New Roman"/>
                <w:b/>
                <w:sz w:val="24"/>
                <w:szCs w:val="24"/>
              </w:rPr>
            </w:pPr>
            <w:r w:rsidRPr="00BD3E26">
              <w:rPr>
                <w:rFonts w:ascii="Times New Roman" w:hAnsi="Times New Roman" w:cs="Times New Roman"/>
                <w:b/>
                <w:sz w:val="24"/>
                <w:szCs w:val="24"/>
              </w:rPr>
              <w:t>n = 125 (%)</w:t>
            </w:r>
          </w:p>
        </w:tc>
      </w:tr>
      <w:tr w:rsidR="00F75ADF" w:rsidRPr="00BD3E26" w14:paraId="536ADE46"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1D63BBA8"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Skin </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1622E2FE"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94 (75.2%)</w:t>
            </w:r>
          </w:p>
        </w:tc>
      </w:tr>
      <w:tr w:rsidR="00F75ADF" w:rsidRPr="00BD3E26" w14:paraId="26065AF9"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00317C1C"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Basal cell carcinoma</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0572F3F9"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43 (34.4%)</w:t>
            </w:r>
          </w:p>
        </w:tc>
      </w:tr>
      <w:tr w:rsidR="00F75ADF" w:rsidRPr="00BD3E26" w14:paraId="57C17EC8"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5CDCB731"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Melanoma</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1A6CB752"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6 (4.8%)</w:t>
            </w:r>
          </w:p>
        </w:tc>
      </w:tr>
      <w:tr w:rsidR="00F75ADF" w:rsidRPr="00BD3E26" w14:paraId="21E4F692"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3529AF20"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Squamous cell carcinoma</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1B302AC1"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32 (25.6%)</w:t>
            </w:r>
          </w:p>
        </w:tc>
      </w:tr>
      <w:tr w:rsidR="00F75ADF" w:rsidRPr="00BD3E26" w14:paraId="6ED05452"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67D40B50"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Mixed </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4CC2F8D1"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12 (9.6%)</w:t>
            </w:r>
          </w:p>
        </w:tc>
      </w:tr>
      <w:tr w:rsidR="00F75ADF" w:rsidRPr="00BD3E26" w14:paraId="189FCB1D"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493FCB4B"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Non-specific skin cancer</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2F66DFAD"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1 (0.8%)</w:t>
            </w:r>
          </w:p>
        </w:tc>
      </w:tr>
      <w:tr w:rsidR="00B50351" w:rsidRPr="00BD3E26" w14:paraId="06E5D6DD"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tcPr>
          <w:p w14:paraId="3F786A53" w14:textId="6A121B40" w:rsidR="00B50351" w:rsidRPr="00BD3E26" w:rsidRDefault="00B50351" w:rsidP="00B50351">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w:t>
            </w:r>
            <w:bookmarkStart w:id="0" w:name="_GoBack"/>
            <w:bookmarkEnd w:id="0"/>
            <w:r w:rsidRPr="00BD3E26">
              <w:rPr>
                <w:rFonts w:ascii="Times New Roman" w:hAnsi="Times New Roman" w:cs="Times New Roman"/>
                <w:sz w:val="24"/>
                <w:szCs w:val="24"/>
              </w:rPr>
              <w:t>No type specified</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tcPr>
          <w:p w14:paraId="0993D1D7" w14:textId="4AC9FB52" w:rsidR="00B50351" w:rsidRPr="00BD3E26" w:rsidRDefault="00B50351" w:rsidP="00B50351">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31 (24.8%)</w:t>
            </w:r>
          </w:p>
        </w:tc>
      </w:tr>
      <w:tr w:rsidR="00F75ADF" w:rsidRPr="00BD3E26" w14:paraId="61979FE3"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453FD427"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Prostate cancer</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3CBAB3FC"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16 (12.8%)</w:t>
            </w:r>
          </w:p>
        </w:tc>
      </w:tr>
      <w:tr w:rsidR="00F75ADF" w:rsidRPr="00BD3E26" w14:paraId="1246FD5F"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10DDC366"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Bladder cancer</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269DE42B"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3 (2.4%)</w:t>
            </w:r>
          </w:p>
        </w:tc>
      </w:tr>
      <w:tr w:rsidR="00F75ADF" w:rsidRPr="00BD3E26" w14:paraId="5BC47CA5"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4872DE62"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lastRenderedPageBreak/>
              <w:t xml:space="preserve">  Acute myeloid leukemia</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79CA2A44"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1 (0.8%)</w:t>
            </w:r>
          </w:p>
        </w:tc>
      </w:tr>
      <w:tr w:rsidR="00F75ADF" w:rsidRPr="00BD3E26" w14:paraId="4B07DE62"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1BEEAF38"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Chronic lymphocytic leukemia</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2EC4B2B0"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3 (2.4%)</w:t>
            </w:r>
          </w:p>
        </w:tc>
      </w:tr>
      <w:tr w:rsidR="00F75ADF" w:rsidRPr="00BD3E26" w14:paraId="1AD697E4"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07EB2448"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Thyroid cancer</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62DB86FE"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3 (2.4%)</w:t>
            </w:r>
          </w:p>
        </w:tc>
      </w:tr>
      <w:tr w:rsidR="00F75ADF" w:rsidRPr="00BD3E26" w14:paraId="3536EB8F"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358DC299"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Adenocarcinoma stomach</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1A6F26F9"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1 (0.8%)</w:t>
            </w:r>
          </w:p>
        </w:tc>
      </w:tr>
      <w:tr w:rsidR="00F75ADF" w:rsidRPr="00BD3E26" w14:paraId="5832329D"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16F7A345"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Breast cancer</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353F4B22"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1 (0.8%)</w:t>
            </w:r>
          </w:p>
        </w:tc>
      </w:tr>
      <w:tr w:rsidR="00F75ADF" w:rsidRPr="00BD3E26" w14:paraId="5BA36D69"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18CC9405"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Meningioma</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7B573544"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2 (1.6%)</w:t>
            </w:r>
          </w:p>
        </w:tc>
      </w:tr>
      <w:tr w:rsidR="00F75ADF" w:rsidRPr="00BD3E26" w14:paraId="3BF752DB"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27A92ACA"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Leg chondrosarcoma</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1FDB5277"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1 (0.8%)</w:t>
            </w:r>
          </w:p>
        </w:tc>
      </w:tr>
      <w:tr w:rsidR="00F75ADF" w:rsidRPr="00BD3E26" w14:paraId="6866E18A"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1A327B2B"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Diffuse large B-cell lymphoma</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1DABF1C5"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1 (0.8%)</w:t>
            </w:r>
          </w:p>
        </w:tc>
      </w:tr>
      <w:tr w:rsidR="00F75ADF" w:rsidRPr="00BD3E26" w14:paraId="245FAC3B"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4DE75634"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Endometrial cancer </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3EE2F862"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1 (0.8%)</w:t>
            </w:r>
          </w:p>
        </w:tc>
      </w:tr>
      <w:tr w:rsidR="00F75ADF" w:rsidRPr="00BD3E26" w14:paraId="793BC801"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055F2B1B"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Hepatocellular carcinoma</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2F054BDA"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1 (0.8%)</w:t>
            </w:r>
          </w:p>
        </w:tc>
      </w:tr>
      <w:tr w:rsidR="00F75ADF" w:rsidRPr="00BD3E26" w14:paraId="13B99265"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0574B817"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Non-small cell lung cancer</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69C70938"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2 (1.6%)</w:t>
            </w:r>
          </w:p>
        </w:tc>
      </w:tr>
      <w:tr w:rsidR="00F75ADF" w:rsidRPr="00BD3E26" w14:paraId="188A1CAF"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5131F97E"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Non-Hodgkin lymphoma</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053D3796"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1 (0.8%)</w:t>
            </w:r>
          </w:p>
        </w:tc>
      </w:tr>
      <w:tr w:rsidR="00F75ADF" w:rsidRPr="00BD3E26" w14:paraId="08666732" w14:textId="77777777" w:rsidTr="00F75ADF">
        <w:trPr>
          <w:trHeight w:val="300"/>
        </w:trPr>
        <w:tc>
          <w:tcPr>
            <w:tcW w:w="3685" w:type="dxa"/>
            <w:tcBorders>
              <w:top w:val="single" w:sz="4" w:space="0" w:color="auto"/>
              <w:left w:val="single" w:sz="4" w:space="0" w:color="auto"/>
              <w:bottom w:val="single" w:sz="4" w:space="0" w:color="auto"/>
              <w:right w:val="single" w:sz="4" w:space="0" w:color="BFBFBF" w:themeColor="background1" w:themeShade="BF"/>
            </w:tcBorders>
            <w:noWrap/>
            <w:hideMark/>
          </w:tcPr>
          <w:p w14:paraId="057B18FB"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 xml:space="preserve">  Colon cancer</w:t>
            </w:r>
          </w:p>
        </w:tc>
        <w:tc>
          <w:tcPr>
            <w:tcW w:w="3510" w:type="dxa"/>
            <w:tcBorders>
              <w:top w:val="single" w:sz="4" w:space="0" w:color="auto"/>
              <w:left w:val="single" w:sz="4" w:space="0" w:color="BFBFBF" w:themeColor="background1" w:themeShade="BF"/>
              <w:bottom w:val="single" w:sz="4" w:space="0" w:color="auto"/>
              <w:right w:val="single" w:sz="4" w:space="0" w:color="auto"/>
            </w:tcBorders>
            <w:noWrap/>
            <w:hideMark/>
          </w:tcPr>
          <w:p w14:paraId="5E79F986" w14:textId="77777777" w:rsidR="00F75ADF" w:rsidRPr="00BD3E26" w:rsidRDefault="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1 (0.8%)</w:t>
            </w:r>
          </w:p>
        </w:tc>
      </w:tr>
    </w:tbl>
    <w:p w14:paraId="5B9190A6" w14:textId="77777777" w:rsidR="00F75ADF" w:rsidRPr="00BD3E26" w:rsidRDefault="00F75ADF" w:rsidP="00F75ADF">
      <w:pPr>
        <w:pStyle w:val="EndNoteBibliography"/>
        <w:ind w:left="720" w:hanging="720"/>
        <w:rPr>
          <w:rFonts w:ascii="Times New Roman" w:hAnsi="Times New Roman" w:cs="Times New Roman"/>
          <w:sz w:val="24"/>
          <w:szCs w:val="24"/>
        </w:rPr>
      </w:pPr>
      <w:r w:rsidRPr="00BD3E26">
        <w:rPr>
          <w:rFonts w:ascii="Times New Roman" w:hAnsi="Times New Roman" w:cs="Times New Roman"/>
          <w:sz w:val="24"/>
          <w:szCs w:val="24"/>
        </w:rPr>
        <w:t>Each patient may have more than one type of cancer.</w:t>
      </w:r>
    </w:p>
    <w:p w14:paraId="7A6725F0" w14:textId="77777777" w:rsidR="0018490E" w:rsidRPr="00BD3E26" w:rsidRDefault="0018490E" w:rsidP="00CC2E2E">
      <w:pPr>
        <w:spacing w:line="480" w:lineRule="auto"/>
        <w:rPr>
          <w:rFonts w:ascii="Times New Roman" w:hAnsi="Times New Roman" w:cs="Times New Roman"/>
        </w:rPr>
      </w:pPr>
    </w:p>
    <w:sectPr w:rsidR="0018490E" w:rsidRPr="00BD3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D7"/>
    <w:rsid w:val="000453CC"/>
    <w:rsid w:val="00141B58"/>
    <w:rsid w:val="001704DB"/>
    <w:rsid w:val="0017209F"/>
    <w:rsid w:val="0018490E"/>
    <w:rsid w:val="002E361F"/>
    <w:rsid w:val="0031515A"/>
    <w:rsid w:val="003322ED"/>
    <w:rsid w:val="005E5FCF"/>
    <w:rsid w:val="007B40AD"/>
    <w:rsid w:val="0081268A"/>
    <w:rsid w:val="008B53E8"/>
    <w:rsid w:val="009B53D7"/>
    <w:rsid w:val="00AE1604"/>
    <w:rsid w:val="00B50351"/>
    <w:rsid w:val="00BD3D5C"/>
    <w:rsid w:val="00BD3E26"/>
    <w:rsid w:val="00CC2E2E"/>
    <w:rsid w:val="00E3651B"/>
    <w:rsid w:val="00E55145"/>
    <w:rsid w:val="00F21969"/>
    <w:rsid w:val="00F7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F4A70"/>
  <w15:docId w15:val="{F6D0C3AB-8903-497E-B49B-964A62C3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5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F75ADF"/>
    <w:rPr>
      <w:rFonts w:ascii="Calibri" w:hAnsi="Calibri" w:cs="Calibri"/>
      <w:noProof/>
    </w:rPr>
  </w:style>
  <w:style w:type="paragraph" w:customStyle="1" w:styleId="EndNoteBibliography">
    <w:name w:val="EndNote Bibliography"/>
    <w:basedOn w:val="Normal"/>
    <w:link w:val="EndNoteBibliographyChar"/>
    <w:rsid w:val="00F75ADF"/>
    <w:pPr>
      <w:spacing w:line="240" w:lineRule="auto"/>
    </w:pPr>
    <w:rPr>
      <w:rFonts w:ascii="Calibri" w:hAnsi="Calibri" w:cs="Calibri"/>
      <w:noProof/>
    </w:rPr>
  </w:style>
  <w:style w:type="table" w:customStyle="1" w:styleId="TableGridLight1">
    <w:name w:val="Table Grid Light1"/>
    <w:basedOn w:val="TableNormal"/>
    <w:uiPriority w:val="40"/>
    <w:rsid w:val="00F75A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Mahajan, Abhimanyu (mahajaau)</dc:creator>
  <cp:keywords/>
  <dc:description/>
  <cp:lastModifiedBy>Abhimanyu Mahajan</cp:lastModifiedBy>
  <cp:revision>2</cp:revision>
  <dcterms:created xsi:type="dcterms:W3CDTF">2020-05-15T12:49:00Z</dcterms:created>
  <dcterms:modified xsi:type="dcterms:W3CDTF">2020-05-15T12:49:00Z</dcterms:modified>
</cp:coreProperties>
</file>